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t>As filed with the U.S. Securities and Exchange Commission on November 18, 2022.</w:t>
      </w:r>
    </w:p>
    <w:p>
      <w:pPr>
        <w:spacing w:after="0" w:line="22"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33020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S-4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REGISTRATION STATEMENT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UNDER THE SECURITIES ACT OF 1933</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4932</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98-1578357</w:t>
            </w:r>
          </w:p>
        </w:tc>
      </w:tr>
      <w:tr>
        <w:trPr>
          <w:trHeight w:val="172"/>
        </w:trPr>
        <w:tc>
          <w:tcPr>
            <w:tcW w:w="3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(Primary Standard Industrial</w:t>
            </w:r>
          </w:p>
        </w:tc>
        <w:tc>
          <w:tcPr>
            <w:tcW w:w="220" w:type="dxa"/>
            <w:vAlign w:val="bottom"/>
          </w:tcPr>
          <w:p>
            <w:pPr>
              <w:spacing w:after="0"/>
              <w:rPr>
                <w:sz w:val="14"/>
                <w:szCs w:val="14"/>
                <w:color w:val="auto"/>
              </w:rPr>
            </w:pPr>
          </w:p>
        </w:tc>
        <w:tc>
          <w:tcPr>
            <w:tcW w:w="36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6"/>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Identification Number)</w:t>
            </w:r>
          </w:p>
        </w:tc>
      </w:tr>
    </w:tbl>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North Lexington Avenue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Suite 1450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White Plains, New York 10601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(914) 705-4000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 Anthony</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 OPAL Fuels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North Lexington Avenue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Suite 1450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White Plains, New York 10601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(914) 705-4000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77"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276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Copies to:</w:t>
            </w:r>
          </w:p>
        </w:tc>
        <w:tc>
          <w:tcPr>
            <w:tcW w:w="2780" w:type="dxa"/>
            <w:vAlign w:val="bottom"/>
          </w:tcPr>
          <w:p>
            <w:pPr>
              <w:spacing w:after="0"/>
              <w:rPr>
                <w:sz w:val="17"/>
                <w:szCs w:val="17"/>
                <w:color w:val="auto"/>
              </w:rPr>
            </w:pPr>
          </w:p>
        </w:tc>
      </w:tr>
      <w:tr>
        <w:trPr>
          <w:trHeight w:val="359"/>
        </w:trPr>
        <w:tc>
          <w:tcPr>
            <w:tcW w:w="2760" w:type="dxa"/>
            <w:vAlign w:val="bottom"/>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7"/>
              </w:rPr>
              <w:t>Andrew Felner, Esq.</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Ann Anthony</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7"/>
              </w:rPr>
              <w:t>Derek J. Dostal, Esq.</w:t>
            </w:r>
          </w:p>
        </w:tc>
      </w:tr>
      <w:tr>
        <w:trPr>
          <w:trHeight w:val="189"/>
        </w:trPr>
        <w:tc>
          <w:tcPr>
            <w:tcW w:w="2760" w:type="dxa"/>
            <w:vAlign w:val="bottom"/>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7"/>
              </w:rPr>
              <w:t>Edward M. Welch, Esq.</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8"/>
              </w:rPr>
              <w:t>Byron B. Rooney, Esq.</w:t>
            </w:r>
          </w:p>
        </w:tc>
      </w:tr>
      <w:tr>
        <w:trPr>
          <w:trHeight w:val="189"/>
        </w:trPr>
        <w:tc>
          <w:tcPr>
            <w:tcW w:w="2760" w:type="dxa"/>
            <w:vAlign w:val="bottom"/>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7"/>
              </w:rPr>
              <w:t>Sheppard, Mullin,</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 OPAL Fuels Inc.</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7"/>
              </w:rPr>
              <w:t>Davis Polk &amp; Wardwell LLP</w:t>
            </w:r>
          </w:p>
        </w:tc>
      </w:tr>
      <w:tr>
        <w:trPr>
          <w:trHeight w:val="189"/>
        </w:trPr>
        <w:tc>
          <w:tcPr>
            <w:tcW w:w="2760" w:type="dxa"/>
            <w:vAlign w:val="bottom"/>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8"/>
              </w:rPr>
              <w:t>Richter &amp; Hampton LLP</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One North Lexington Avenue</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6"/>
              </w:rPr>
              <w:t>450 Lexington Avenue</w:t>
            </w:r>
          </w:p>
        </w:tc>
      </w:tr>
      <w:tr>
        <w:trPr>
          <w:trHeight w:val="189"/>
        </w:trPr>
        <w:tc>
          <w:tcPr>
            <w:tcW w:w="2760" w:type="dxa"/>
            <w:vAlign w:val="bottom"/>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8"/>
              </w:rPr>
              <w:t>30 Rockefeller Plaza</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Suite 1450</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w w:val="96"/>
              </w:rPr>
              <w:t>New York, New York 10017</w:t>
            </w:r>
          </w:p>
        </w:tc>
      </w:tr>
      <w:tr>
        <w:trPr>
          <w:trHeight w:val="189"/>
        </w:trPr>
        <w:tc>
          <w:tcPr>
            <w:tcW w:w="2760" w:type="dxa"/>
            <w:vAlign w:val="bottom"/>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6"/>
              </w:rPr>
              <w:t>New York, New York 10112</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White Plains, New York 10601</w:t>
            </w:r>
          </w:p>
        </w:tc>
        <w:tc>
          <w:tcPr>
            <w:tcW w:w="2780" w:type="dxa"/>
            <w:vAlign w:val="bottom"/>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rPr>
              <w:t>Tel: (212) 450-4000</w:t>
            </w:r>
          </w:p>
        </w:tc>
      </w:tr>
      <w:tr>
        <w:trPr>
          <w:trHeight w:val="208"/>
        </w:trPr>
        <w:tc>
          <w:tcPr>
            <w:tcW w:w="2760" w:type="dxa"/>
            <w:vAlign w:val="bottom"/>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7"/>
              </w:rPr>
              <w:t>Tel: (212) 653-8700</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(914) 705-4000</w:t>
            </w:r>
          </w:p>
        </w:tc>
        <w:tc>
          <w:tcPr>
            <w:tcW w:w="2780" w:type="dxa"/>
            <w:vAlign w:val="bottom"/>
          </w:tcPr>
          <w:p>
            <w:pPr>
              <w:spacing w:after="0"/>
              <w:rPr>
                <w:sz w:val="18"/>
                <w:szCs w:val="18"/>
                <w:color w:val="auto"/>
              </w:rPr>
            </w:pPr>
          </w:p>
        </w:tc>
      </w:tr>
    </w:tbl>
    <w:p>
      <w:pPr>
        <w:spacing w:after="0" w:line="17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194" w:lineRule="exact"/>
        <w:rPr>
          <w:sz w:val="24"/>
          <w:szCs w:val="24"/>
          <w:color w:val="auto"/>
        </w:rPr>
      </w:pPr>
    </w:p>
    <w:p>
      <w:pPr>
        <w:jc w:val="both"/>
        <w:ind w:right="20" w:firstLine="567"/>
        <w:spacing w:after="0" w:line="206"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56" w:lineRule="exact"/>
        <w:rPr>
          <w:sz w:val="24"/>
          <w:szCs w:val="24"/>
          <w:color w:val="auto"/>
        </w:rPr>
      </w:pPr>
    </w:p>
    <w:p>
      <w:pPr>
        <w:jc w:val="both"/>
        <w:ind w:right="20" w:firstLine="567"/>
        <w:spacing w:after="0" w:line="20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6" w:lineRule="exact"/>
        <w:rPr>
          <w:sz w:val="24"/>
          <w:szCs w:val="24"/>
          <w:color w:val="auto"/>
        </w:rPr>
      </w:pPr>
    </w:p>
    <w:p>
      <w:pPr>
        <w:jc w:val="both"/>
        <w:ind w:firstLine="567"/>
        <w:spacing w:after="0" w:line="20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6" w:lineRule="exact"/>
        <w:rPr>
          <w:sz w:val="24"/>
          <w:szCs w:val="24"/>
          <w:color w:val="auto"/>
        </w:rPr>
      </w:pPr>
    </w:p>
    <w:p>
      <w:pPr>
        <w:jc w:val="both"/>
        <w:ind w:right="20" w:firstLine="567"/>
        <w:spacing w:after="0" w:line="31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2580" w:type="dxa"/>
            <w:vAlign w:val="bottom"/>
          </w:tcPr>
          <w:p>
            <w:pPr>
              <w:ind w:left="24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18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580" w:type="dxa"/>
            <w:vAlign w:val="bottom"/>
          </w:tcPr>
          <w:p>
            <w:pPr>
              <w:ind w:left="2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2580" w:type="dxa"/>
            <w:vAlign w:val="bottom"/>
          </w:tcPr>
          <w:p>
            <w:pPr>
              <w:ind w:left="2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6" w:lineRule="exact"/>
        <w:rPr>
          <w:sz w:val="24"/>
          <w:szCs w:val="24"/>
          <w:color w:val="auto"/>
        </w:rPr>
      </w:pPr>
    </w:p>
    <w:p>
      <w:pPr>
        <w:jc w:val="both"/>
        <w:ind w:right="20" w:firstLine="567"/>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170"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194"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20" w:firstLine="567"/>
        <w:spacing w:after="0" w:line="25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7149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509270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 w:name="page2"/>
    <w:bookmarkEnd w:id="1"/>
    <w:p>
      <w:pPr>
        <w:jc w:val="both"/>
        <w:ind w:right="20"/>
        <w:spacing w:after="0" w:line="256" w:lineRule="auto"/>
        <w:rPr>
          <w:sz w:val="20"/>
          <w:szCs w:val="20"/>
          <w:color w:val="auto"/>
        </w:rPr>
      </w:pPr>
      <w:r>
        <w:rPr>
          <w:rFonts w:ascii="Times New Roman" w:cs="Times New Roman" w:eastAsia="Times New Roman" w:hAnsi="Times New Roman"/>
          <w:sz w:val="16"/>
          <w:szCs w:val="16"/>
          <w:color w:val="FF0000"/>
        </w:rPr>
        <w:t>The information in this document may change. The registrant may not complete the offer and issue these securities until the registration statement filed with the U.S.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FF0000"/>
        </w:rPr>
        <w:t>PRELIMINARY — SUBJECT TO COMPLETION, DATED NOVEMBER 18,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PROSPECTUS/OFFER TO EXCHANGE</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Offer to Exchange Warrants to Acquire Shares of Class A Common Stock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Solicitation</w:t>
      </w:r>
    </w:p>
    <w:p>
      <w:pPr>
        <w:spacing w:after="0" w:line="177"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OFFER PERIOD (AS DEFINED BELOW) AND WITHDRAWAL RIGHTS WILL EXPIRE AT 11:59 P.M., EASTERN TIME, ON DECEMBER 16, 2022, OR SUCH LATER TIME AND DATE TO WHICH WE MAY EXTEND.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the Offer and Consent Solicitation</w:t>
      </w:r>
    </w:p>
    <w:p>
      <w:pPr>
        <w:spacing w:after="0" w:line="194"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Until the Expiration Date (as defined below), we are offering to the holders of our outstanding warrants (collectively, the “</w:t>
      </w: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to purchase shares of Class A common stock, par value $0.0001 per share (“</w:t>
      </w:r>
      <w:r>
        <w:rPr>
          <w:rFonts w:ascii="Times New Roman" w:cs="Times New Roman" w:eastAsia="Times New Roman" w:hAnsi="Times New Roman"/>
          <w:sz w:val="16"/>
          <w:szCs w:val="16"/>
          <w:i w:val="1"/>
          <w:iCs w:val="1"/>
          <w:color w:val="auto"/>
        </w:rPr>
        <w:t>Class A common stock</w:t>
      </w:r>
      <w:r>
        <w:rPr>
          <w:rFonts w:ascii="Times New Roman" w:cs="Times New Roman" w:eastAsia="Times New Roman" w:hAnsi="Times New Roman"/>
          <w:sz w:val="16"/>
          <w:szCs w:val="16"/>
          <w:color w:val="auto"/>
        </w:rPr>
        <w:t>”), of OPAL Fuels Inc., a Delaware corporation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the opportunity to receive 0.250 shares of Class A common stock in exchange for each of our outstanding warrants tendered by the holder and exchanged pursuant to the offer (the “</w:t>
      </w:r>
      <w:r>
        <w:rPr>
          <w:rFonts w:ascii="Times New Roman" w:cs="Times New Roman" w:eastAsia="Times New Roman" w:hAnsi="Times New Roman"/>
          <w:sz w:val="16"/>
          <w:szCs w:val="16"/>
          <w:i w:val="1"/>
          <w:iCs w:val="1"/>
          <w:color w:val="auto"/>
        </w:rPr>
        <w:t>Offer</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Offer is being made to all holders of our warrants, including the public warrants and the private placement warrants (each as defined below). The warrants are governed by the warrant agreement, dated as of March 22, 2021 (the “</w:t>
      </w:r>
      <w:r>
        <w:rPr>
          <w:rFonts w:ascii="Times New Roman" w:cs="Times New Roman" w:eastAsia="Times New Roman" w:hAnsi="Times New Roman"/>
          <w:sz w:val="16"/>
          <w:szCs w:val="16"/>
          <w:i w:val="1"/>
          <w:iCs w:val="1"/>
          <w:color w:val="auto"/>
        </w:rPr>
        <w:t>Warrant Agreement</w:t>
      </w:r>
      <w:r>
        <w:rPr>
          <w:rFonts w:ascii="Times New Roman" w:cs="Times New Roman" w:eastAsia="Times New Roman" w:hAnsi="Times New Roman"/>
          <w:sz w:val="16"/>
          <w:szCs w:val="16"/>
          <w:color w:val="auto"/>
        </w:rPr>
        <w:t>”), by and between the Company (as successor to ArcLight Clean Transition Corp. II, our predecessor and a Cayman Islands exempted company (“</w:t>
      </w:r>
      <w:r>
        <w:rPr>
          <w:rFonts w:ascii="Times New Roman" w:cs="Times New Roman" w:eastAsia="Times New Roman" w:hAnsi="Times New Roman"/>
          <w:sz w:val="16"/>
          <w:szCs w:val="16"/>
          <w:i w:val="1"/>
          <w:iCs w:val="1"/>
          <w:color w:val="auto"/>
        </w:rPr>
        <w:t>Arclight</w:t>
      </w:r>
      <w:r>
        <w:rPr>
          <w:rFonts w:ascii="Times New Roman" w:cs="Times New Roman" w:eastAsia="Times New Roman" w:hAnsi="Times New Roman"/>
          <w:sz w:val="16"/>
          <w:szCs w:val="16"/>
          <w:color w:val="auto"/>
        </w:rPr>
        <w:t>”)) and Continental Stock Transfer &amp; Trust Company, as warrant agent. Our Class A common stock and public warrants are listed on The Nasdaq Capital Market (the “</w:t>
      </w:r>
      <w:r>
        <w:rPr>
          <w:rFonts w:ascii="Times New Roman" w:cs="Times New Roman" w:eastAsia="Times New Roman" w:hAnsi="Times New Roman"/>
          <w:sz w:val="16"/>
          <w:szCs w:val="16"/>
          <w:i w:val="1"/>
          <w:iCs w:val="1"/>
          <w:color w:val="auto"/>
        </w:rPr>
        <w:t>Nasdaq</w:t>
      </w:r>
      <w:r>
        <w:rPr>
          <w:rFonts w:ascii="Times New Roman" w:cs="Times New Roman" w:eastAsia="Times New Roman" w:hAnsi="Times New Roman"/>
          <w:sz w:val="16"/>
          <w:szCs w:val="16"/>
          <w:color w:val="auto"/>
        </w:rPr>
        <w:t>”) under the symbols “OPAL” and “OPALW,” respectively. As of November 16, 2022, a total of 15,446,494 warrants were outstanding, consisting of 6,223,233 public warrants and 9,223,261 private placement warrants. Pursuant to the Offer, we are offering up to an aggregate of 3,861,623 shares of our Class A common stock in exchange for the public warrants and private placement warrants.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Each warrant holder whose warrants are exchanged pursuant to the Offer will receive 0.250 shares of our Class A common stock for each warrant tendered by such holder and exchanged. No fractional shares of Class A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Class A common stock on the Nasdaq on the last trading day of the Offer Period, less any applicable withholding taxes. Our obligation to complete the Offer is not conditioned on the receipt of a minimum number of tendered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 w:name="page3"/>
    <w:bookmarkEnd w:id="2"/>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Concurrently with the Offer, we are also soliciting consents (the “</w:t>
      </w:r>
      <w:r>
        <w:rPr>
          <w:rFonts w:ascii="Times New Roman" w:cs="Times New Roman" w:eastAsia="Times New Roman" w:hAnsi="Times New Roman"/>
          <w:sz w:val="16"/>
          <w:szCs w:val="16"/>
          <w:i w:val="1"/>
          <w:iCs w:val="1"/>
          <w:color w:val="auto"/>
        </w:rPr>
        <w:t>Consent Solicitation</w:t>
      </w:r>
      <w:r>
        <w:rPr>
          <w:rFonts w:ascii="Times New Roman" w:cs="Times New Roman" w:eastAsia="Times New Roman" w:hAnsi="Times New Roman"/>
          <w:sz w:val="16"/>
          <w:szCs w:val="16"/>
          <w:color w:val="auto"/>
        </w:rPr>
        <w:t>”) from holders of the warrants to amend the Warrant Agreement (such amendment, the “</w:t>
      </w:r>
      <w:r>
        <w:rPr>
          <w:rFonts w:ascii="Times New Roman" w:cs="Times New Roman" w:eastAsia="Times New Roman" w:hAnsi="Times New Roman"/>
          <w:sz w:val="16"/>
          <w:szCs w:val="16"/>
          <w:i w:val="1"/>
          <w:iCs w:val="1"/>
          <w:color w:val="auto"/>
        </w:rPr>
        <w:t>Warrant Amendment</w:t>
      </w:r>
      <w:r>
        <w:rPr>
          <w:rFonts w:ascii="Times New Roman" w:cs="Times New Roman" w:eastAsia="Times New Roman" w:hAnsi="Times New Roman"/>
          <w:sz w:val="16"/>
          <w:szCs w:val="16"/>
          <w:color w:val="auto"/>
        </w:rPr>
        <w:t>”), which amendment will govern all of the warrants, to permit the Company to require that each warrant that is outstanding upon the closing of the Offer be exchanged for 0.225 shares of Class A common stock, which is a ratio 10% less than the exchange ratio applicable to the Offer. Pursuant to the terms of the Warrant Agreement, all except certain specified modifications or amendments require the vote or written consent of holders of at least 65% of each of (i) the outstanding public warrants and (ii) the outstanding private placement warrants.</w:t>
      </w:r>
    </w:p>
    <w:p>
      <w:pPr>
        <w:spacing w:after="0" w:line="163"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Parties representing approximately 53.3% of our outstanding public warrants and approximately 100% of our outstanding private placement warrants have agreed to tender their public warrants and private placement warrants (as applicable) in the Offer and to consent to the Warrant Amendment in the Consent Solicitation pursuant to a tender and support agreement (the “</w:t>
      </w:r>
      <w:r>
        <w:rPr>
          <w:rFonts w:ascii="Times New Roman" w:cs="Times New Roman" w:eastAsia="Times New Roman" w:hAnsi="Times New Roman"/>
          <w:sz w:val="16"/>
          <w:szCs w:val="16"/>
          <w:i w:val="1"/>
          <w:iCs w:val="1"/>
          <w:color w:val="auto"/>
        </w:rPr>
        <w:t>Tender and Support Agreement</w:t>
      </w:r>
      <w:r>
        <w:rPr>
          <w:rFonts w:ascii="Times New Roman" w:cs="Times New Roman" w:eastAsia="Times New Roman" w:hAnsi="Times New Roman"/>
          <w:sz w:val="16"/>
          <w:szCs w:val="16"/>
          <w:color w:val="auto"/>
        </w:rPr>
        <w:t>”). Accordingly, if holders of an additional approximately 11.7% of our outstanding public warrants consent to the Warrant Amendment in the Consent Solicitation, and the other conditions described herein are satisfied or waived, then the Warrant Amendment will be adopted. For additional detail regarding the Tender and Support Agreement, see “</w:t>
      </w:r>
      <w:r>
        <w:rPr>
          <w:rFonts w:ascii="Times New Roman" w:cs="Times New Roman" w:eastAsia="Times New Roman" w:hAnsi="Times New Roman"/>
          <w:sz w:val="16"/>
          <w:szCs w:val="16"/>
          <w:i w:val="1"/>
          <w:iCs w:val="1"/>
          <w:color w:val="auto"/>
        </w:rPr>
        <w:t>Market Information, Dividends, and Related Stockholder Matters—Transactions and Agreements Concerning Our 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Tender and Support Agreement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You may not consent to the Warrant Amendment without tendering your warrants in the Offer, and you may not tender such warrants without consenting to the Warrant Amendment. The consent to the Warrant Amendment is a part of the Letter of Transmittal and Consent (as defined below) relating to the warrants, and, therefore, by tendering your warrants for exchange you will be delivering to us your consent. You may revoke your consent at any time prior to the Expiration Date by withdrawing the warrants you have tendered in the Offer.</w:t>
      </w:r>
    </w:p>
    <w:p>
      <w:pPr>
        <w:spacing w:after="0" w:line="15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Offer and Consent Solicitation is made solely upon the terms and conditions in this prospectus/offer to exchange (this “</w:t>
      </w:r>
      <w:r>
        <w:rPr>
          <w:rFonts w:ascii="Times New Roman" w:cs="Times New Roman" w:eastAsia="Times New Roman" w:hAnsi="Times New Roman"/>
          <w:sz w:val="16"/>
          <w:szCs w:val="16"/>
          <w:i w:val="1"/>
          <w:iCs w:val="1"/>
          <w:color w:val="auto"/>
        </w:rPr>
        <w:t>Prospectus/Offer to Exchange</w:t>
      </w:r>
      <w:r>
        <w:rPr>
          <w:rFonts w:ascii="Times New Roman" w:cs="Times New Roman" w:eastAsia="Times New Roman" w:hAnsi="Times New Roman"/>
          <w:sz w:val="16"/>
          <w:szCs w:val="16"/>
          <w:color w:val="auto"/>
        </w:rPr>
        <w:t>”) and in the related letter of transmittal and consent (as it may be supplemented and amended from time to time, the “</w:t>
      </w:r>
      <w:r>
        <w:rPr>
          <w:rFonts w:ascii="Times New Roman" w:cs="Times New Roman" w:eastAsia="Times New Roman" w:hAnsi="Times New Roman"/>
          <w:sz w:val="16"/>
          <w:szCs w:val="16"/>
          <w:i w:val="1"/>
          <w:iCs w:val="1"/>
          <w:color w:val="auto"/>
        </w:rPr>
        <w:t>Letter of Transmittal and Consent</w:t>
      </w:r>
      <w:r>
        <w:rPr>
          <w:rFonts w:ascii="Times New Roman" w:cs="Times New Roman" w:eastAsia="Times New Roman" w:hAnsi="Times New Roman"/>
          <w:sz w:val="16"/>
          <w:szCs w:val="16"/>
          <w:color w:val="auto"/>
        </w:rPr>
        <w:t>”). The Offer and Consent Solicitation will be open until 11:59 p.m., Eastern Time, on December 16, 2022, or such later time and date to which we may extend the Offer and Consent Solicitation (the period during which the Offer and Consent Solicitation is open, giving effect to any withdrawal or extension, is referred to as the “</w:t>
      </w:r>
      <w:r>
        <w:rPr>
          <w:rFonts w:ascii="Times New Roman" w:cs="Times New Roman" w:eastAsia="Times New Roman" w:hAnsi="Times New Roman"/>
          <w:sz w:val="16"/>
          <w:szCs w:val="16"/>
          <w:i w:val="1"/>
          <w:iCs w:val="1"/>
          <w:color w:val="auto"/>
        </w:rPr>
        <w:t>Offer Period</w:t>
      </w:r>
      <w:r>
        <w:rPr>
          <w:rFonts w:ascii="Times New Roman" w:cs="Times New Roman" w:eastAsia="Times New Roman" w:hAnsi="Times New Roman"/>
          <w:sz w:val="16"/>
          <w:szCs w:val="16"/>
          <w:color w:val="auto"/>
        </w:rPr>
        <w:t>,” and the date and time at which the Offer Period ends is referred to as the “</w:t>
      </w:r>
      <w:r>
        <w:rPr>
          <w:rFonts w:ascii="Times New Roman" w:cs="Times New Roman" w:eastAsia="Times New Roman" w:hAnsi="Times New Roman"/>
          <w:sz w:val="16"/>
          <w:szCs w:val="16"/>
          <w:i w:val="1"/>
          <w:iCs w:val="1"/>
          <w:color w:val="auto"/>
        </w:rPr>
        <w:t>Expiration Date</w:t>
      </w:r>
      <w:r>
        <w:rPr>
          <w:rFonts w:ascii="Times New Roman" w:cs="Times New Roman" w:eastAsia="Times New Roman" w:hAnsi="Times New Roman"/>
          <w:sz w:val="16"/>
          <w:szCs w:val="16"/>
          <w:color w:val="auto"/>
        </w:rPr>
        <w:t>”). The Offer and Consent Solicitation is not made to those holders who reside in states or other jurisdictions where an offer, solicitation, or sale would be unlawful.</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to the Offer and Consent Solicitation are not satisfied or waived prior to the Expiration 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Promptly upon any such withdrawal, we will return the tendered warrants to the holders (and the related consent to the Warrant Amendment will be revoked).</w:t>
      </w:r>
    </w:p>
    <w:p>
      <w:pPr>
        <w:spacing w:after="0" w:line="177"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December 16, 2022 may thereafter be withdrawn by you until such time as the warrants are accepted by us for exchange. If you withdraw the tender of your warrants, your related consent to the Warrant Amendment will be withdrawn as a result.</w:t>
      </w:r>
    </w:p>
    <w:p>
      <w:pPr>
        <w:spacing w:after="0" w:line="15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Warrants not exchanged for shares of our Class A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exchange of all outstanding warrants to shares of Class A common stock as provided in the Warrant Amendment. Our public warrants are currently listed on the Nasdaq under the symbol “OPALW”; however, our public warrants may be delisted if, following the completion of the Offer and Consent Solicitation, the extent of public distribution or the aggregate market value of outstanding warrants has become so reduced as to make further listing inadvisable or unavailable.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3" w:name="page4"/>
    <w:bookmarkEnd w:id="3"/>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Offer and Consent Solicitation is conditioned upon the effectiveness of a registration statement on Form S-4 that we filed with the U.S. Securities and Exchange Commission (the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regarding the shares of Class A common stock issuable upon exchange of the warrants pursuant to the Offer. This Prospectus/Offer to Exchange forms a part of the registration statement.</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board of directors has approved the Offer and Consent Solicitation. However, neither we nor any of our management, our board of directors, or the information agent, the exchange agent, or the dealer manager for the Offer and Consent Solicitation is making any recommendation as to whether holders of warrants should tender warrants for exchange in the Offer and consent to the Warrant Amendment in the Consent Solicitation. Each holder of a warrant must make its own decision as to whether to exchange some or all of its warrants and consent to the Warrant Amendment.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questions concerning the terms of the Offer and Consent Solicitation should be directed to the dealer manager:</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All questions concerning exchange procedures and requests for additional copies of this Prospectus/Offer to Exchange, the Letter of Transmittal and Consent, or the Notice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Guaranteed Delivery should be directed to the information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7"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The securities offered by this Prospectus/Offer to Exchange involve risks. Before participating in the Offer and consenting to the Warrant Amendment, you are urged to read carefully the section entitled “Risk Factors” beginning on page 8 of this Prospectus/Offer to Exchange.</w:t>
      </w:r>
    </w:p>
    <w:p>
      <w:pPr>
        <w:spacing w:after="0" w:line="143"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Neither the SEC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Through the Offer, we are soliciting your consent to the Warrant Amendment. By tendering your warrants, you will be delivering your consent to the proposed Warrant Amendment, which consent will be effective upon our acceptance of such warrants for exchange.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dealer manager for the Offer and Consent Solicitation is: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ind w:left="3680"/>
              <w:spacing w:after="0"/>
              <w:rPr>
                <w:sz w:val="20"/>
                <w:szCs w:val="20"/>
                <w:color w:val="auto"/>
              </w:rPr>
            </w:pPr>
            <w:r>
              <w:rPr>
                <w:rFonts w:ascii="Times New Roman" w:cs="Times New Roman" w:eastAsia="Times New Roman" w:hAnsi="Times New Roman"/>
                <w:sz w:val="16"/>
                <w:szCs w:val="16"/>
                <w:i w:val="1"/>
                <w:iCs w:val="1"/>
                <w:color w:val="auto"/>
                <w:w w:val="99"/>
              </w:rPr>
              <w:t>This Prospectus/Offer to Exchange is dated</w:t>
            </w:r>
          </w:p>
        </w:tc>
        <w:tc>
          <w:tcPr>
            <w:tcW w:w="4800" w:type="dxa"/>
            <w:vAlign w:val="bottom"/>
            <w:gridSpan w:val="2"/>
          </w:tcPr>
          <w:p>
            <w:pPr>
              <w:jc w:val="right"/>
              <w:ind w:right="3700"/>
              <w:spacing w:after="0"/>
              <w:rPr>
                <w:sz w:val="20"/>
                <w:szCs w:val="20"/>
                <w:color w:val="auto"/>
              </w:rPr>
            </w:pPr>
            <w:r>
              <w:rPr>
                <w:rFonts w:ascii="Times New Roman" w:cs="Times New Roman" w:eastAsia="Times New Roman" w:hAnsi="Times New Roman"/>
                <w:sz w:val="16"/>
                <w:szCs w:val="16"/>
                <w:i w:val="1"/>
                <w:iCs w:val="1"/>
                <w:color w:val="auto"/>
              </w:rPr>
              <w:t>, 2022.</w:t>
            </w:r>
          </w:p>
        </w:tc>
      </w:tr>
      <w:tr>
        <w:trPr>
          <w:trHeight w:val="586"/>
        </w:trPr>
        <w:tc>
          <w:tcPr>
            <w:tcW w:w="64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20" w:type="dxa"/>
            <w:vAlign w:val="bottom"/>
          </w:tcPr>
          <w:p>
            <w:pPr>
              <w:spacing w:after="0"/>
              <w:rPr>
                <w:sz w:val="18"/>
                <w:szCs w:val="18"/>
                <w:color w:val="auto"/>
              </w:rPr>
            </w:pPr>
          </w:p>
        </w:tc>
      </w:tr>
      <w:tr>
        <w:trPr>
          <w:trHeight w:val="381"/>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ABOUT THIS PROSPECTUS/OFFER TO EXCHANGE</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SELECTED DEFINITIONS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CAUTIONARY NOTE REGARDING FORWARD LOOKING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vii</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SUMMARY</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RISK FACTORS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8</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THE OFFER AND CONSENT SOLICITATION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BUSINESS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60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UNAUDITED PRO FORMA CONDENSED COMBINED FINANCIAL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77</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81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MANAGEMENT</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100</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EXECUTIVE COMPENSATION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105</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MARKET INFORMATION, DIVIDENDS, AND RELATED STOCKHOLDER MATTERS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109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MATERIAL U.S. FEDERAL INCOME TAX CONSEQUENCES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113</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DESCRIPTION OF SECURITIES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119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CERTAIN RELATIONSHIPS AND RELATED PERSON TRANSACTIONS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133</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BENEFICIAL OWNERSHIP OF SECURITIES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139</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LEGAL MATTERS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EXPERTS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1"/>
              </w:rPr>
              <w:t>141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10240" w:type="dxa"/>
            <w:vAlign w:val="bottom"/>
            <w:gridSpan w:val="2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rPr>
              <w:t>INDEX TO FINANCIAL STATEMENTS</w:t>
            </w:r>
          </w:p>
        </w:tc>
        <w:tc>
          <w:tcPr>
            <w:tcW w:w="10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F-1</w:t>
            </w:r>
          </w:p>
        </w:tc>
      </w:tr>
      <w:tr>
        <w:trPr>
          <w:trHeight w:val="189"/>
        </w:trPr>
        <w:tc>
          <w:tcPr>
            <w:tcW w:w="6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169"/>
        </w:trPr>
        <w:tc>
          <w:tcPr>
            <w:tcW w:w="3400" w:type="dxa"/>
            <w:vAlign w:val="bottom"/>
            <w:tcBorders>
              <w:bottom w:val="single" w:sz="8" w:color="0000EE"/>
            </w:tcBorders>
            <w:gridSpan w:val="14"/>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0000EE"/>
                <w:w w:val="97"/>
              </w:rPr>
              <w:t>ANNEX A - FORM OF WARRANT AMENDMENT</w:t>
            </w:r>
          </w:p>
        </w:tc>
        <w:tc>
          <w:tcPr>
            <w:tcW w:w="6840" w:type="dxa"/>
            <w:vAlign w:val="bottom"/>
            <w:tcBorders>
              <w:bottom w:val="single" w:sz="8" w:color="CCEEFF"/>
            </w:tcBorders>
            <w:gridSpan w:val="8"/>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rPr>
              <w:t>A-1</w:t>
            </w:r>
          </w:p>
        </w:tc>
      </w:tr>
    </w:tbl>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PROSPECTUS/OFFER TO EXCHANGE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This Prospectus/Offer to Exchange is a part of the registration statement that we filed on Form S-4 with the SEC. You should read this Prospectus/Offer to Exchange, including the detailed information regarding the Company and our Class A common stock and warrants and the financial statements and the notes included herein, as well as any applicable prospectus supplement.</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have not authorized anyone to provide you with information different from that contained in this Prospectus/Offer to Exchange.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offered hereby if the person making the offer or solicitation is not qualified to do so, or if it is unlawful for you to receive such an offer or solicitation.</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are making the Offer to all warrant holders except those holders who reside in states or other jurisdictions where an offer, solicitation, or sale would be unlawful (or would require further action in order to comply with applicable securities laws).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This document contains references to trademarks and service marks belonging to other entities. Solely for convenience, trademarks and trade names referred to in this Prospectus/Offer to Exchange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SELECTED DEFINITIONS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When used in this Prospectus/Offer to Exchange, unless the context otherwise requires:</w:t>
      </w:r>
    </w:p>
    <w:p>
      <w:pPr>
        <w:spacing w:after="0" w:line="19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“ArcLight” refers to ArcLight Clean Transaction Corp. II, a blank check company incorporated as a Cayman Islands exempt company, and our previous name prior to the closing of the Business Combination.</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“Ares” refers to ARCC Beacon LLC, a Delaware limited liability company.</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“Business Combination” refers to the transaction contemplated by the BCA.</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“Bylaws” refers to the bylaws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“Charter” refers to the certificate of incorporation of OPAL.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16"/>
          <w:szCs w:val="16"/>
          <w:i w:val="1"/>
          <w:iCs w:val="1"/>
          <w:color w:val="auto"/>
        </w:rPr>
        <w:t>“Class A common stock” refers to the shares of Class A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B common stock” refers to the shares of Class B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C common stock” refers to the shares of Class C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D common stock” refers to the shares of Class D common stock, par value $0.0001 per share, of OPAL.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A Units” refers to the Class A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“Class B Units” refers to the Class B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“Common Stock” refers to the collective shares of Class A common stock, Class B common stock, Class C common stock and Class D common stock.</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“Company”, “we”, “our”, “us” or similar terms refers to OPAL Fuels Inc. individually or on a consolidated basis, as the context may require.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“Exchange Act” refers to the Securities Exchange Act of 1934,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“Fortistar” refers to Fortistar LLC, a Delaware limited liability company.</w:t>
      </w:r>
    </w:p>
    <w:p>
      <w:pPr>
        <w:spacing w:after="0" w:line="194"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(as defined below).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“Hillman” refers to Hillman RNG Investments,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“Investment Company Act” refers to the Investment Company Act of 1940, as amended.</w:t>
      </w:r>
    </w:p>
    <w:p>
      <w:pPr>
        <w:spacing w:after="0" w:line="194"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5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“IPO” refers to ArcLight’s initial public offering of its Class A ordinary shares and ArcLight Public Warrants pursuant to the IPO Registration Statement and completed on March 25, 2021.</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“IPO Registration Statement” refers to ArcLight’s registration statement on Form S-1, filed with the SEC (File No. 333-252730), on March 22, 2021.</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“Meteora” refers to Meteora Capital Partners and its affiliates.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7" w:name="page8"/>
    <w:bookmarkEnd w:id="7"/>
    <w:p>
      <w:pPr>
        <w:ind w:left="280"/>
        <w:spacing w:after="0"/>
        <w:rPr>
          <w:sz w:val="20"/>
          <w:szCs w:val="20"/>
          <w:color w:val="auto"/>
        </w:rPr>
      </w:pPr>
      <w:r>
        <w:rPr>
          <w:rFonts w:ascii="Times New Roman" w:cs="Times New Roman" w:eastAsia="Times New Roman" w:hAnsi="Times New Roman"/>
          <w:sz w:val="16"/>
          <w:szCs w:val="16"/>
          <w:i w:val="1"/>
          <w:iCs w:val="1"/>
          <w:color w:val="auto"/>
        </w:rPr>
        <w:t>“Nasdaq” refers to the Nasdaq Capital Market.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“NextEra” refers to Mendocino Capital,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and “OPAL Fuels” refers to OPAL Fuels Inc., a Delaware corporation.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“our Board” refers to our board of directors.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Holdco” refers to OPAL Holdco LLC, a Delaware limited liability.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“OPAL Preferred Stock” refers to our shares of preferred stock, par value $0.0001 per share.</w:t>
      </w:r>
    </w:p>
    <w:p>
      <w:pPr>
        <w:spacing w:after="0" w:line="194"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“Private Placement Warrants” refers to the 9,223,261 redeemable warrants that were exchanged for the ArcLight Private Placement Warrants in connection with the closing of the Business Combination, entitling the holder thereof to purchase Class A common stock.</w:t>
      </w:r>
    </w:p>
    <w:p>
      <w:pPr>
        <w:spacing w:after="0" w:line="141" w:lineRule="exact"/>
        <w:rPr>
          <w:sz w:val="20"/>
          <w:szCs w:val="20"/>
          <w:color w:val="auto"/>
        </w:rPr>
      </w:pP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“Public Warrants” refers to the 6,223,233 redeemable warrants exchanged for the ArcLight Public Warrants in connection with the closing of the Business Combination, entitling the holder thereof to purchase Class A common stock.</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“Warrants” refers collectively to the Private Placement Warrants together with the Public Warrants.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“Opco” refers to OPAL Fuels LLC, a Delaware limited liability company.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“Opco Common Equityholders” refers to OPAL Holdco and Hillman.</w:t>
      </w:r>
    </w:p>
    <w:p>
      <w:pPr>
        <w:spacing w:after="0" w:line="194"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“Opco Common Units” refers to the Class B Units resulting from the re-classification of the collective Opco common units existing immediately prior to the closing of the Business Combination.</w:t>
      </w:r>
    </w:p>
    <w:p>
      <w:pPr>
        <w:spacing w:after="0" w:line="141" w:lineRule="exact"/>
        <w:rPr>
          <w:sz w:val="20"/>
          <w:szCs w:val="20"/>
          <w:color w:val="auto"/>
        </w:rPr>
      </w:pPr>
    </w:p>
    <w:p>
      <w:pPr>
        <w:ind w:left="280" w:right="4500"/>
        <w:spacing w:after="0" w:line="493" w:lineRule="auto"/>
        <w:rPr>
          <w:sz w:val="20"/>
          <w:szCs w:val="20"/>
          <w:color w:val="auto"/>
        </w:rPr>
      </w:pPr>
      <w:r>
        <w:rPr>
          <w:rFonts w:ascii="Times New Roman" w:cs="Times New Roman" w:eastAsia="Times New Roman" w:hAnsi="Times New Roman"/>
          <w:sz w:val="16"/>
          <w:szCs w:val="16"/>
          <w:i w:val="1"/>
          <w:iCs w:val="1"/>
          <w:color w:val="auto"/>
        </w:rPr>
        <w:t>“Series A Preferred Units” refers to the 1,000,000 Series A preferred units of Opco held by NextEra. “Series A-1 Preferred Units” refers to the 300,000 Series A-1 preferred units of Opco held by Hillman. “Organizational Documents” refers to the Charter and the Bylaws;</w:t>
      </w: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41" w:lineRule="exact"/>
        <w:rPr>
          <w:sz w:val="20"/>
          <w:szCs w:val="20"/>
          <w:color w:val="auto"/>
        </w:rPr>
      </w:pPr>
    </w:p>
    <w:p>
      <w:pPr>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“PIPE Investment” refers to the PIPE Investors that purchased a total of 11,080,600 shares of Class A common stock in connection with the closing of the Business Combination at a cash purchase price of $10.00 per share pursuant to the Subscription Agreements.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“PIPE Investors” refers, collectively, to the institutional and accredited investors that entered into Subscription Agreements with ArcLight.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“Sarbanes-Oxley Act” refers to the Sarbanes-Oxley Act of 2002.</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 refers to the U.S. Securities and Exchange Commission.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“Second A&amp;R LLC Agreement” refers to the Second Amended and Restated Limited Liability Company Agreement of Opco.</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“Securities Act” refers to the Securities Act of 1933,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“Sponsor” refers to ArcLight CTC Holdings II, L.P., a Delaware limited partnership.</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8" w:name="page9"/>
    <w:bookmarkEnd w:id="8"/>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41"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“Tax Receivable Agreement” refers to the Tax Receivable Agreement, dated July 21, 2022, by and among OPAL Fuels Inc, Opal Holdco LLC and the Tax Receivable Agreement Parties named therein as included in Exhibit 10.6 to the Current Report on Form 8-K, filed with the SEC on July 29, 2021, as the same may be amended, modified, supplemented or waived from time to time in accordance with its terms.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the following is a glossary of key industry terms used herein:</w:t>
      </w:r>
    </w:p>
    <w:p>
      <w:pPr>
        <w:spacing w:after="0" w:line="19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“Advanced Clean Trucks Regulation” refers to the rules adopted by the California Air Resources Board on June 25, 2020 requiring the sale of zero-emission heavy-duty trucks.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“ADG” refers to anaerobic digester gas.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“BOD” refers to biochemical oxygen demand.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“Btu” refers to British thermal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“CARB” refers to the California Air Resources Board.</w:t>
      </w:r>
    </w:p>
    <w:p>
      <w:pPr>
        <w:spacing w:after="0" w:line="172"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i w:val="1"/>
          <w:iCs w:val="1"/>
          <w:color w:val="auto"/>
        </w:rPr>
        <w:t>“CO</w:t>
      </w:r>
      <w:r>
        <w:rPr>
          <w:rFonts w:ascii="MS PGothic" w:cs="MS PGothic" w:eastAsia="MS PGothic" w:hAnsi="MS PGothic"/>
          <w:sz w:val="16"/>
          <w:szCs w:val="16"/>
          <w:i w:val="1"/>
          <w:iCs w:val="1"/>
          <w:color w:val="auto"/>
        </w:rPr>
        <w:t>₂</w:t>
      </w:r>
      <w:r>
        <w:rPr>
          <w:rFonts w:ascii="Times New Roman" w:cs="Times New Roman" w:eastAsia="Times New Roman" w:hAnsi="Times New Roman"/>
          <w:sz w:val="16"/>
          <w:szCs w:val="16"/>
          <w:i w:val="1"/>
          <w:iCs w:val="1"/>
          <w:color w:val="auto"/>
        </w:rPr>
        <w:t>” refers to carbon dioxide.</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“CNG” refers to compressed natural gas.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“CI” refers to carbon intensity.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“D3” refers to cellulosic biofuel with a 60% GHG reduction requirement.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“EHS” refers to environment, health and safety.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“EISA” refers to Energy Independence and Security Act of 2007.</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“EPA” refers to the U.S. Environmental Protection Agency.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“EPACT 2005” refers to the Energy Policy Act of 2005.</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“FERC” refers to the U.S. Federal Energy Regulatory Commission.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“GHG” refers to greenhouse gases.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“ISOs” refers to Independent System Operators.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“LCFS” refers to Low Carbon Fuel Standard or similar types of federal and state programs.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“LFG” refers to landfill gas.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9" w:name="page10"/>
    <w:bookmarkEnd w:id="9"/>
    <w:p>
      <w:pPr>
        <w:jc w:val="both"/>
        <w:ind w:firstLine="283"/>
        <w:spacing w:after="0" w:line="262" w:lineRule="auto"/>
        <w:rPr>
          <w:sz w:val="20"/>
          <w:szCs w:val="20"/>
          <w:color w:val="auto"/>
        </w:rPr>
      </w:pPr>
      <w:r>
        <w:rPr>
          <w:rFonts w:ascii="Times New Roman" w:cs="Times New Roman" w:eastAsia="Times New Roman" w:hAnsi="Times New Roman"/>
          <w:sz w:val="16"/>
          <w:szCs w:val="16"/>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“Obligated Parties” means refiners or importers of gasoline or diesel fuel under the RFS program.</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“QFs” refers to qualifying small power production facilities under the Federal Power Act and the Public Utility Regulatory Policies Act of 1978, as amended.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“RECs” refers to Renewable Energy Credits.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“Renewable Power” refers to electricity generated from renewable sources.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“RFS” refers to the EPA’s Renewable Fuel Standard.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“RINs” refers to Renewable Identification Numbers.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“RNG” refers to renewable natural gas.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“RPS” refers to Renewable Portfolio Standards.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“RTOs” refers to Regional Transmission Organizations.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“RVOs” refers to renewable volume obligations.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“September 2020 Executive Order” refers to Executive Order N-79-20 issued by the Governor of the State of California in September 2020.</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CAUTIONARY NOTE REGARDING FORWARD LOOKING STATEMENTS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Certain statements made in this Prospectus/Offer to Exchange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64" w:lineRule="exact"/>
        <w:rPr>
          <w:sz w:val="20"/>
          <w:szCs w:val="20"/>
          <w:color w:val="auto"/>
        </w:rPr>
      </w:pPr>
    </w:p>
    <w:p>
      <w:pPr>
        <w:ind w:left="560" w:right="20" w:hanging="282"/>
        <w:spacing w:after="0" w:line="275"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in retaining or recruiting, our principal officers, key employees or directors;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competition and competitive pressures from other companies in the industry in which we operate;</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of, or delays in obtaining, key components or labor for the construction and completion of LFG and livestock waste projects that generate electricity and renewable natural gas (“</w:t>
      </w:r>
      <w:r>
        <w:rPr>
          <w:rFonts w:ascii="Times New Roman" w:cs="Times New Roman" w:eastAsia="Times New Roman" w:hAnsi="Times New Roman"/>
          <w:sz w:val="16"/>
          <w:szCs w:val="16"/>
          <w:i w:val="1"/>
          <w:iCs w:val="1"/>
          <w:color w:val="auto"/>
        </w:rPr>
        <w:t>RNG</w:t>
      </w:r>
      <w:r>
        <w:rPr>
          <w:rFonts w:ascii="Times New Roman" w:cs="Times New Roman" w:eastAsia="Times New Roman" w:hAnsi="Times New Roman"/>
          <w:sz w:val="16"/>
          <w:szCs w:val="16"/>
          <w:color w:val="auto"/>
        </w:rPr>
        <w:t>”) and compressed natural gas (“</w:t>
      </w:r>
      <w:r>
        <w:rPr>
          <w:rFonts w:ascii="Times New Roman" w:cs="Times New Roman" w:eastAsia="Times New Roman" w:hAnsi="Times New Roman"/>
          <w:sz w:val="16"/>
          <w:szCs w:val="16"/>
          <w:i w:val="1"/>
          <w:iCs w:val="1"/>
          <w:color w:val="auto"/>
        </w:rPr>
        <w:t>CNG</w:t>
      </w:r>
      <w:r>
        <w:rPr>
          <w:rFonts w:ascii="Times New Roman" w:cs="Times New Roman" w:eastAsia="Times New Roman" w:hAnsi="Times New Roman"/>
          <w:sz w:val="16"/>
          <w:szCs w:val="16"/>
          <w:color w:val="auto"/>
        </w:rPr>
        <w:t>”) and hydrogen dispensing stations;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relating to our business, operations and financial performance, including market conditions and global and economic factors beyond our control;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related to the global COVID-19 pandemic;</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or elimination of government economic incentives to the renewable energy market;</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spacing w:after="0" w:line="16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identify, acquire, develop and operate renewable projects and Fueling Stations;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issue equity or equity-linked securities or obtain debt financing;</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renewable energy not being sustained;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impacts of climate change, changing weather patterns and conditions and natural disasters;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legal, tax and regulatory changes; and</w:t>
      </w:r>
    </w:p>
    <w:p>
      <w:pPr>
        <w:spacing w:after="0" w:line="19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389890</wp:posOffset>
            </wp:positionV>
            <wp:extent cx="7154545" cy="4949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4949190"/>
                    </a:xfrm>
                    <a:prstGeom prst="rect">
                      <a:avLst/>
                    </a:prstGeom>
                    <a:noFill/>
                  </pic:spPr>
                </pic:pic>
              </a:graphicData>
            </a:graphic>
          </wp:anchor>
        </w:drawing>
        <w:t>SUMMARY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Offer and Consent Solicitation</w:t>
      </w:r>
    </w:p>
    <w:p>
      <w:pPr>
        <w:spacing w:after="0" w:line="194" w:lineRule="exact"/>
        <w:rPr>
          <w:sz w:val="20"/>
          <w:szCs w:val="20"/>
          <w:color w:val="auto"/>
        </w:rPr>
      </w:pPr>
    </w:p>
    <w:p>
      <w:pPr>
        <w:jc w:val="both"/>
        <w:ind w:left="120" w:right="120" w:firstLine="567"/>
        <w:spacing w:after="0" w:line="254" w:lineRule="auto"/>
        <w:rPr>
          <w:sz w:val="20"/>
          <w:szCs w:val="20"/>
          <w:color w:val="auto"/>
        </w:rPr>
      </w:pPr>
      <w:r>
        <w:rPr>
          <w:rFonts w:ascii="Times New Roman" w:cs="Times New Roman" w:eastAsia="Times New Roman" w:hAnsi="Times New Roman"/>
          <w:sz w:val="16"/>
          <w:szCs w:val="16"/>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exhibits may be obtained by following the procedures set forth herein in the section entitled “Where You Can Find More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Summary of the Offer and Consent Solicitation</w:t>
            </w:r>
          </w:p>
        </w:tc>
        <w:tc>
          <w:tcPr>
            <w:tcW w:w="110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378"/>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The Company</w:t>
            </w: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OPAL Fuels Inc.</w:t>
            </w:r>
          </w:p>
        </w:tc>
      </w:tr>
      <w:tr>
        <w:trPr>
          <w:trHeight w:val="361"/>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Warrants that Qualify for the Offer</w:t>
            </w: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As of November 16, 2022, we had outstanding an aggregate of 15,446,494 warrants, consisting of 6,223,233</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public warrants and 9,223,261 private placement warrants, each exercisable for one share of our Class A</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9"/>
              </w:rPr>
              <w:t>common stock at a price of $11.50 per share, subject to adjustments pursuant to the Warrant Agreement. Pursuant</w:t>
            </w:r>
          </w:p>
        </w:tc>
      </w:tr>
      <w:tr>
        <w:trPr>
          <w:trHeight w:val="189"/>
        </w:trPr>
        <w:tc>
          <w:tcPr>
            <w:tcW w:w="364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 the Offer, we are offering up to an aggregate of 3,861,623 shares of our Class A common stock in exchange</w:t>
            </w:r>
          </w:p>
        </w:tc>
      </w:tr>
      <w:tr>
        <w:trPr>
          <w:trHeight w:val="206"/>
        </w:trPr>
        <w:tc>
          <w:tcPr>
            <w:tcW w:w="364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for all of our outstanding warrants.</w:t>
            </w:r>
          </w:p>
        </w:tc>
      </w:tr>
      <w:tr>
        <w:trPr>
          <w:trHeight w:val="378"/>
        </w:trPr>
        <w:tc>
          <w:tcPr>
            <w:tcW w:w="3640" w:type="dxa"/>
            <w:vAlign w:val="bottom"/>
          </w:tcPr>
          <w:p>
            <w:pPr>
              <w:spacing w:after="0"/>
              <w:rPr>
                <w:sz w:val="24"/>
                <w:szCs w:val="24"/>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Under the Warrant Agreement, we may call the public warrants for redemption at our option:</w:t>
            </w:r>
          </w:p>
        </w:tc>
      </w:tr>
      <w:tr>
        <w:trPr>
          <w:trHeight w:val="378"/>
        </w:trPr>
        <w:tc>
          <w:tcPr>
            <w:tcW w:w="3640" w:type="dxa"/>
            <w:vAlign w:val="bottom"/>
          </w:tcPr>
          <w:p>
            <w:pPr>
              <w:spacing w:after="0"/>
              <w:rPr>
                <w:sz w:val="24"/>
                <w:szCs w:val="24"/>
                <w:color w:val="auto"/>
              </w:rPr>
            </w:pPr>
          </w:p>
        </w:tc>
        <w:tc>
          <w:tcPr>
            <w:tcW w:w="76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in whole and not in part;</w:t>
            </w:r>
          </w:p>
        </w:tc>
      </w:tr>
      <w:tr>
        <w:trPr>
          <w:trHeight w:val="361"/>
        </w:trPr>
        <w:tc>
          <w:tcPr>
            <w:tcW w:w="3640" w:type="dxa"/>
            <w:vAlign w:val="bottom"/>
          </w:tcPr>
          <w:p>
            <w:pPr>
              <w:spacing w:after="0"/>
              <w:rPr>
                <w:sz w:val="24"/>
                <w:szCs w:val="24"/>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upon a minimum of 30 days’ prior written notice of redemption (the “</w:t>
            </w:r>
            <w:r>
              <w:rPr>
                <w:rFonts w:ascii="Times New Roman" w:cs="Times New Roman" w:eastAsia="Times New Roman" w:hAnsi="Times New Roman"/>
                <w:sz w:val="16"/>
                <w:szCs w:val="16"/>
                <w:i w:val="1"/>
                <w:iCs w:val="1"/>
                <w:color w:val="auto"/>
              </w:rPr>
              <w:t>30-day redemption period</w:t>
            </w:r>
            <w:r>
              <w:rPr>
                <w:rFonts w:ascii="Times New Roman" w:cs="Times New Roman" w:eastAsia="Times New Roman" w:hAnsi="Times New Roman"/>
                <w:sz w:val="16"/>
                <w:szCs w:val="16"/>
                <w:color w:val="auto"/>
              </w:rPr>
              <w:t>”)</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each warrant holder;</w:t>
            </w:r>
          </w:p>
        </w:tc>
      </w:tr>
      <w:tr>
        <w:trPr>
          <w:trHeight w:val="361"/>
        </w:trPr>
        <w:tc>
          <w:tcPr>
            <w:tcW w:w="3640" w:type="dxa"/>
            <w:vAlign w:val="bottom"/>
          </w:tcPr>
          <w:p>
            <w:pPr>
              <w:spacing w:after="0"/>
              <w:rPr>
                <w:sz w:val="24"/>
                <w:szCs w:val="24"/>
                <w:color w:val="auto"/>
              </w:rPr>
            </w:pPr>
          </w:p>
        </w:tc>
        <w:tc>
          <w:tcPr>
            <w:tcW w:w="76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at a price of $0.01 per warrant if, and only if, the last reported sales price of our Class A common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equals or exceeds $18.00 per  share  (as  adjusted  for  stock  splits,  stock  dividends,</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reorganizations, recapitalizations, and the like) for any 20 trading days within a 30-trading day</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period ending on the third trading day prior to the date on which we send notice of the redemption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warrant holders; provided that there is an effective registration statement covering the shares of</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common stock issuable upon exercise of the warrants, and a current prospectus relating</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thereto, available throughout the 30-day redemption period; and</w:t>
            </w:r>
          </w:p>
        </w:tc>
      </w:tr>
      <w:tr>
        <w:trPr>
          <w:trHeight w:val="361"/>
        </w:trPr>
        <w:tc>
          <w:tcPr>
            <w:tcW w:w="3640" w:type="dxa"/>
            <w:vAlign w:val="bottom"/>
          </w:tcPr>
          <w:p>
            <w:pPr>
              <w:spacing w:after="0"/>
              <w:rPr>
                <w:sz w:val="24"/>
                <w:szCs w:val="24"/>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a price of $0.10 per warrant if, and only if, the last reported sales price of our Class A common</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equals  or  exceeds  $10.00 per share (as  adjusted  for  stock splits, stock  dividends,</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reorganizations, recapitalizations, and the like) for any 20 trading days within the 30-trading day</w:t>
            </w:r>
          </w:p>
        </w:tc>
      </w:tr>
      <w:tr>
        <w:trPr>
          <w:trHeight w:val="189"/>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period ending on the third trading day prior to the date on which we send notice of the redemption</w:t>
            </w:r>
          </w:p>
        </w:tc>
      </w:tr>
      <w:tr>
        <w:trPr>
          <w:trHeight w:val="206"/>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warrant holders.</w:t>
            </w:r>
          </w:p>
        </w:tc>
      </w:tr>
      <w:tr>
        <w:trPr>
          <w:trHeight w:val="96"/>
        </w:trPr>
        <w:tc>
          <w:tcPr>
            <w:tcW w:w="3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tcPr>
          <w:p>
            <w:pPr>
              <w:spacing w:after="0"/>
              <w:rPr>
                <w:sz w:val="8"/>
                <w:szCs w:val="8"/>
                <w:color w:val="auto"/>
              </w:rPr>
            </w:pPr>
          </w:p>
        </w:tc>
      </w:tr>
      <w:tr>
        <w:trPr>
          <w:trHeight w:val="383"/>
        </w:trPr>
        <w:tc>
          <w:tcPr>
            <w:tcW w:w="3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w:t>
            </w:r>
          </w:p>
        </w:tc>
      </w:tr>
    </w:tbl>
    <w:p>
      <w:pPr>
        <w:sectPr>
          <w:pgSz w:w="11900" w:h="16838" w:orient="portrait"/>
          <w:cols w:equalWidth="0" w:num="1">
            <w:col w:w="11260"/>
          </w:cols>
          <w:pgMar w:left="320" w:top="712"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280" w:type="dxa"/>
            <w:vAlign w:val="bottom"/>
            <w:tcBorders>
              <w:top w:val="single" w:sz="8" w:color="auto"/>
              <w:left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private placement warrants will not be redeemable by us (except as described below under “</w:t>
            </w:r>
            <w:r>
              <w:rPr>
                <w:rFonts w:ascii="Times New Roman" w:cs="Times New Roman" w:eastAsia="Times New Roman" w:hAnsi="Times New Roman"/>
                <w:sz w:val="16"/>
                <w:szCs w:val="16"/>
                <w:i w:val="1"/>
                <w:iCs w:val="1"/>
                <w:color w:val="auto"/>
              </w:rPr>
              <w:t>Description of</w:t>
            </w:r>
          </w:p>
        </w:tc>
      </w:tr>
      <w:tr>
        <w:trPr>
          <w:trHeight w:val="191"/>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i w:val="1"/>
                <w:iCs w:val="1"/>
                <w:color w:val="auto"/>
              </w:rPr>
              <w:t xml:space="preserve">Securities—Redemption of Public Warrants When the Price Per Share of Class A Common Stock Equals </w:t>
            </w:r>
            <w:r>
              <w:rPr>
                <w:rFonts w:ascii="Times New Roman" w:cs="Times New Roman" w:eastAsia="Times New Roman" w:hAnsi="Times New Roman"/>
                <w:sz w:val="16"/>
                <w:szCs w:val="16"/>
                <w:color w:val="auto"/>
              </w:rPr>
              <w:t>or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Exceeds $10.00”) so long as they are held by ArcLight CTC Holdings II, L.P., a Delaware limited partnership</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“Sponsor”), members of the Sponsor, or their permitted transferees. The Sponsor or its permitted transferees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have the option to exercise the private placement warrants on a cashless basis. If the private placement warrants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are held by holders other than the Sponsor or its permitted transferees, the private placement warrants will be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redeemable by us in all redemption scenarios and exercisable by the holders on the same basis as the public</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warrants. If holders of the private placement warrants elect to exercise them on a cashless basis, they would pay</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exercise price by surrendering his, her or its warrants for that number of shares of our Class A common stock</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equal to the quotient obtained by dividing (x) the product of the number of shares of our Class A common stock</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underlying the warrants, multiplied by the excess of the sponsor exercise fair market value (defined below) over</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exercise price of the warrants by (y) the sponsor exercise fair market value.</w:t>
            </w:r>
          </w:p>
        </w:tc>
      </w:tr>
      <w:tr>
        <w:trPr>
          <w:trHeight w:val="361"/>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i w:val="1"/>
                <w:iCs w:val="1"/>
                <w:color w:val="auto"/>
              </w:rPr>
              <w:t>sponsor exercise fair market value</w:t>
            </w:r>
            <w:r>
              <w:rPr>
                <w:rFonts w:ascii="Times New Roman" w:cs="Times New Roman" w:eastAsia="Times New Roman" w:hAnsi="Times New Roman"/>
                <w:sz w:val="16"/>
                <w:szCs w:val="16"/>
                <w:color w:val="auto"/>
              </w:rPr>
              <w:t>” will mean the average last reported sale price of the shares of our Class</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A common stock for the ten trading days ending on the third trading day prior to the date on which the notice of</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warrant exercise is sent to Continental Stock Transfer &amp; Trust Company.</w:t>
            </w:r>
          </w:p>
        </w:tc>
      </w:tr>
      <w:tr>
        <w:trPr>
          <w:trHeight w:val="378"/>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The warrants expire on July 21, 2027, subject to certain terms and conditions.</w:t>
            </w:r>
          </w:p>
        </w:tc>
      </w:tr>
      <w:tr>
        <w:trPr>
          <w:trHeight w:val="359"/>
        </w:trPr>
        <w:tc>
          <w:tcPr>
            <w:tcW w:w="3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Market Price of Our Common Stock</w:t>
            </w: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w:t>
            </w:r>
          </w:p>
        </w:tc>
      </w:tr>
      <w:tr>
        <w:trPr>
          <w:trHeight w:val="208"/>
        </w:trPr>
        <w:tc>
          <w:tcPr>
            <w:tcW w:w="32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“OPALW,” respectively. See “</w:t>
            </w:r>
            <w:r>
              <w:rPr>
                <w:rFonts w:ascii="Times New Roman" w:cs="Times New Roman" w:eastAsia="Times New Roman" w:hAnsi="Times New Roman"/>
                <w:sz w:val="16"/>
                <w:szCs w:val="16"/>
                <w:i w:val="1"/>
                <w:iCs w:val="1"/>
                <w:color w:val="auto"/>
              </w:rPr>
              <w:t>Market Information, Dividends, and Related Stockholder Matters</w:t>
            </w:r>
            <w:r>
              <w:rPr>
                <w:rFonts w:ascii="Times New Roman" w:cs="Times New Roman" w:eastAsia="Times New Roman" w:hAnsi="Times New Roman"/>
                <w:sz w:val="16"/>
                <w:szCs w:val="16"/>
                <w:color w:val="auto"/>
              </w:rPr>
              <w:t>.”</w:t>
            </w:r>
          </w:p>
        </w:tc>
      </w:tr>
      <w:tr>
        <w:trPr>
          <w:trHeight w:val="361"/>
        </w:trPr>
        <w:tc>
          <w:tcPr>
            <w:tcW w:w="3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The Offer</w:t>
            </w: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Each warrant holder who tenders warrants for exchange pursuant to the Offer will receive 0.250 shares of our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Class A common stock for each warrant so exchanged. No fractional shares of Class A common stock will be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issued pursuant to the Offer. In lieu of issuing fractional shares, any holder of warrants who otherwise would</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have been entitled to receive fractional shares pursuant to the Offer will, after aggregating all such fractional</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shares of such holder, be paid cash (without interest) in an amount equal to such fractional part of a share</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multiplied by the last sale price of our Class A common stock on the Nasdaq on the last trading day of the Offer</w:t>
            </w:r>
          </w:p>
        </w:tc>
      </w:tr>
      <w:tr>
        <w:trPr>
          <w:trHeight w:val="189"/>
        </w:trPr>
        <w:tc>
          <w:tcPr>
            <w:tcW w:w="3280" w:type="dxa"/>
            <w:vAlign w:val="bottom"/>
            <w:tcBorders>
              <w:left w:val="single" w:sz="8" w:color="auto"/>
            </w:tcBorders>
          </w:tcPr>
          <w:p>
            <w:pPr>
              <w:spacing w:after="0"/>
              <w:rPr>
                <w:sz w:val="16"/>
                <w:szCs w:val="16"/>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Period, less any applicable withholding taxes. Our obligation to complete the Offer is not conditioned on the</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receipt of a minimum number of tendered warrants.</w:t>
            </w:r>
          </w:p>
        </w:tc>
      </w:tr>
      <w:tr>
        <w:trPr>
          <w:trHeight w:val="361"/>
        </w:trPr>
        <w:tc>
          <w:tcPr>
            <w:tcW w:w="32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Holders of the warrants tendered for exchange will not have to pay any of the exercise price for the tendered</w:t>
            </w:r>
          </w:p>
        </w:tc>
      </w:tr>
      <w:tr>
        <w:trPr>
          <w:trHeight w:val="206"/>
        </w:trPr>
        <w:tc>
          <w:tcPr>
            <w:tcW w:w="3280" w:type="dxa"/>
            <w:vAlign w:val="bottom"/>
            <w:tcBorders>
              <w:left w:val="single" w:sz="8" w:color="auto"/>
            </w:tcBorders>
          </w:tcPr>
          <w:p>
            <w:pPr>
              <w:spacing w:after="0"/>
              <w:rPr>
                <w:sz w:val="17"/>
                <w:szCs w:val="17"/>
                <w:color w:val="auto"/>
              </w:rPr>
            </w:pPr>
          </w:p>
        </w:tc>
        <w:tc>
          <w:tcPr>
            <w:tcW w:w="7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warrants in order to receive shares of Class A common stock in the exchange.</w:t>
            </w:r>
          </w:p>
        </w:tc>
      </w:tr>
      <w:tr>
        <w:trPr>
          <w:trHeight w:val="96"/>
        </w:trPr>
        <w:tc>
          <w:tcPr>
            <w:tcW w:w="3280" w:type="dxa"/>
            <w:vAlign w:val="bottom"/>
            <w:tcBorders>
              <w:left w:val="single" w:sz="8" w:color="auto"/>
              <w:bottom w:val="single" w:sz="8" w:color="auto"/>
            </w:tcBorders>
          </w:tcPr>
          <w:p>
            <w:pPr>
              <w:spacing w:after="0"/>
              <w:rPr>
                <w:sz w:val="8"/>
                <w:szCs w:val="8"/>
                <w:color w:val="auto"/>
              </w:rPr>
            </w:pPr>
          </w:p>
        </w:tc>
        <w:tc>
          <w:tcPr>
            <w:tcW w:w="7980" w:type="dxa"/>
            <w:vAlign w:val="bottom"/>
            <w:tcBorders>
              <w:bottom w:val="single" w:sz="8" w:color="auto"/>
              <w:right w:val="single" w:sz="8" w:color="auto"/>
            </w:tcBorders>
          </w:tcPr>
          <w:p>
            <w:pPr>
              <w:spacing w:after="0"/>
              <w:rPr>
                <w:sz w:val="8"/>
                <w:szCs w:val="8"/>
                <w:color w:val="auto"/>
              </w:rPr>
            </w:pPr>
          </w:p>
        </w:tc>
      </w:tr>
      <w:tr>
        <w:trPr>
          <w:trHeight w:val="383"/>
        </w:trPr>
        <w:tc>
          <w:tcPr>
            <w:tcW w:w="32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color w:val="auto"/>
              </w:rPr>
              <w:t>2</w:t>
            </w:r>
          </w:p>
        </w:tc>
      </w:tr>
    </w:tbl>
    <w:p>
      <w:pPr>
        <w:sectPr>
          <w:pgSz w:w="11900" w:h="16838" w:orient="portrait"/>
          <w:cols w:equalWidth="0" w:num="1">
            <w:col w:w="11260"/>
          </w:cols>
          <w:pgMar w:left="320" w:top="594"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620" w:type="dxa"/>
            <w:vAlign w:val="bottom"/>
            <w:tcBorders>
              <w:top w:val="single" w:sz="8" w:color="auto"/>
              <w:left w:val="single" w:sz="8" w:color="auto"/>
            </w:tcBorders>
          </w:tcPr>
          <w:p>
            <w:pPr>
              <w:spacing w:after="0"/>
              <w:rPr>
                <w:sz w:val="24"/>
                <w:szCs w:val="24"/>
                <w:color w:val="auto"/>
              </w:rPr>
            </w:pPr>
          </w:p>
        </w:tc>
        <w:tc>
          <w:tcPr>
            <w:tcW w:w="76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shares of Class A common stock issued in exchange for the tendered warrants will be unrestricted and freely</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transferable, as long as the holder is not an affiliate of ours and was not an affiliate of ours within the three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months prior to the proposed transfer of such shares.</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Offer is being made to all warrant holders except those holders who reside in states or other jurisdictions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where an offer, solicitation, or sale would be unlawful (or would require further action in order to comply with</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applicable securities laws).</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The Consent Solicitation</w:t>
            </w: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In order to tender warrants in the Offer and Consent Solicitation, holders are required to consent (by executing</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Letter of Transmittal and Consent or requesting that their broker or nominee consent on their behalf) to an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amendment to the Warrant Agreement governing the warrants as set forth in the Warrant Amendment attached</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hereto as Annex A. If approved, the Warrant Amendment would permit the Company to require that all warrants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that are outstanding upon the closing of the Offer be exchanged for shares of Class A common stock at a ratio of</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0.225 shares of Class A common stock per warrant (a ratio which is 10% less than the exchange ratio applicable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 the Offer). Upon such exchange, no warrants will remain outstanding.</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Purposed of the Offer and Consent Solicitation</w:t>
            </w: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The purpose of the Offer and Consent Solicitation is to attempt to simplify our capital structure and reduce the</w:t>
            </w:r>
          </w:p>
        </w:tc>
      </w:tr>
      <w:tr>
        <w:trPr>
          <w:trHeight w:val="187"/>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potential dilutive impact of the warrants, thereby providing us with more flexibility for financing our operations</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in the future.  See “</w:t>
            </w:r>
            <w:r>
              <w:rPr>
                <w:rFonts w:ascii="Times New Roman" w:cs="Times New Roman" w:eastAsia="Times New Roman" w:hAnsi="Times New Roman"/>
                <w:sz w:val="16"/>
                <w:szCs w:val="16"/>
                <w:i w:val="1"/>
                <w:iCs w:val="1"/>
                <w:color w:val="auto"/>
              </w:rPr>
              <w:t>The Offer and Consent Solicitation—Background and Purpose of the Offer and Consent</w:t>
            </w:r>
          </w:p>
        </w:tc>
      </w:tr>
      <w:tr>
        <w:trPr>
          <w:trHeight w:val="208"/>
        </w:trPr>
        <w:tc>
          <w:tcPr>
            <w:tcW w:w="362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Solicitation</w:t>
            </w:r>
            <w:r>
              <w:rPr>
                <w:rFonts w:ascii="Times New Roman" w:cs="Times New Roman" w:eastAsia="Times New Roman" w:hAnsi="Times New Roman"/>
                <w:sz w:val="16"/>
                <w:szCs w:val="16"/>
                <w:color w:val="auto"/>
              </w:rPr>
              <w:t>.”</w:t>
            </w:r>
          </w:p>
        </w:tc>
      </w:tr>
      <w:tr>
        <w:trPr>
          <w:trHeight w:val="361"/>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Offer Period</w:t>
            </w: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The Offer and Consent Solicitation will expire on the Expiration Date, which is 11:59 p.m., Eastern Time, on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December 16, 2022, or such later time and date to which we may extend. All warrants tendered for exchange</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pursuant to the Offer and Consent Solicitation, and all required related paperwork, must be received by the</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exchange agent by the Expiration Date, as described in this Prospectus/Offer to Exchange.</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If the Offer Period is extended, we will make a public announcement of such extension by no later than 9:00</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9"/>
              </w:rPr>
              <w:t>a.m., Eastern Time, on the next business day following the Expiration Date as in effect immediately prior to such</w:t>
            </w:r>
          </w:p>
        </w:tc>
      </w:tr>
      <w:tr>
        <w:trPr>
          <w:trHeight w:val="206"/>
        </w:trPr>
        <w:tc>
          <w:tcPr>
            <w:tcW w:w="3620" w:type="dxa"/>
            <w:vAlign w:val="bottom"/>
            <w:tcBorders>
              <w:left w:val="single" w:sz="8" w:color="auto"/>
            </w:tcBorders>
          </w:tcPr>
          <w:p>
            <w:pPr>
              <w:spacing w:after="0"/>
              <w:rPr>
                <w:sz w:val="17"/>
                <w:szCs w:val="17"/>
                <w:color w:val="auto"/>
              </w:rPr>
            </w:pPr>
          </w:p>
        </w:tc>
        <w:tc>
          <w:tcPr>
            <w:tcW w:w="76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extension.</w:t>
            </w:r>
          </w:p>
        </w:tc>
      </w:tr>
      <w:tr>
        <w:trPr>
          <w:trHeight w:val="361"/>
        </w:trPr>
        <w:tc>
          <w:tcPr>
            <w:tcW w:w="362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of the Offer and Consent Solicitation</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are not satisfied or waived prior to the Expiration Date. Promptly upon any such withdrawal, we will return the</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tendered warrants (and the related consent to the Warrant Amendment will be revoked). We will announce our</w:t>
            </w:r>
          </w:p>
        </w:tc>
      </w:tr>
      <w:tr>
        <w:trPr>
          <w:trHeight w:val="187"/>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decision to withdraw the Offer and Consent Solicitation by disseminating notice by public announcement or</w:t>
            </w:r>
          </w:p>
        </w:tc>
      </w:tr>
      <w:tr>
        <w:trPr>
          <w:trHeight w:val="189"/>
        </w:trPr>
        <w:tc>
          <w:tcPr>
            <w:tcW w:w="362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otherwise as permitted by applicable law. See “</w:t>
            </w:r>
            <w:r>
              <w:rPr>
                <w:rFonts w:ascii="Times New Roman" w:cs="Times New Roman" w:eastAsia="Times New Roman" w:hAnsi="Times New Roman"/>
                <w:sz w:val="16"/>
                <w:szCs w:val="16"/>
                <w:i w:val="1"/>
                <w:iCs w:val="1"/>
                <w:color w:val="auto"/>
              </w:rPr>
              <w:t>The Offer and Consent Solicitation—General Terms—Offer</w:t>
            </w:r>
          </w:p>
        </w:tc>
      </w:tr>
      <w:tr>
        <w:trPr>
          <w:trHeight w:val="208"/>
        </w:trPr>
        <w:tc>
          <w:tcPr>
            <w:tcW w:w="362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Period</w:t>
            </w:r>
            <w:r>
              <w:rPr>
                <w:rFonts w:ascii="Times New Roman" w:cs="Times New Roman" w:eastAsia="Times New Roman" w:hAnsi="Times New Roman"/>
                <w:sz w:val="16"/>
                <w:szCs w:val="16"/>
                <w:color w:val="auto"/>
              </w:rPr>
              <w:t>.”</w:t>
            </w:r>
          </w:p>
        </w:tc>
      </w:tr>
      <w:tr>
        <w:trPr>
          <w:trHeight w:val="96"/>
        </w:trPr>
        <w:tc>
          <w:tcPr>
            <w:tcW w:w="3620" w:type="dxa"/>
            <w:vAlign w:val="bottom"/>
            <w:tcBorders>
              <w:left w:val="single" w:sz="8" w:color="auto"/>
              <w:bottom w:val="single" w:sz="8" w:color="auto"/>
            </w:tcBorders>
          </w:tcPr>
          <w:p>
            <w:pPr>
              <w:spacing w:after="0"/>
              <w:rPr>
                <w:sz w:val="8"/>
                <w:szCs w:val="8"/>
                <w:color w:val="auto"/>
              </w:rPr>
            </w:pPr>
          </w:p>
        </w:tc>
        <w:tc>
          <w:tcPr>
            <w:tcW w:w="7640" w:type="dxa"/>
            <w:vAlign w:val="bottom"/>
            <w:tcBorders>
              <w:bottom w:val="single" w:sz="8" w:color="auto"/>
              <w:right w:val="single" w:sz="8" w:color="auto"/>
            </w:tcBorders>
          </w:tcPr>
          <w:p>
            <w:pPr>
              <w:spacing w:after="0"/>
              <w:rPr>
                <w:sz w:val="8"/>
                <w:szCs w:val="8"/>
                <w:color w:val="auto"/>
              </w:rPr>
            </w:pPr>
          </w:p>
        </w:tc>
      </w:tr>
      <w:tr>
        <w:trPr>
          <w:trHeight w:val="383"/>
        </w:trPr>
        <w:tc>
          <w:tcPr>
            <w:tcW w:w="36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6"/>
                <w:szCs w:val="16"/>
                <w:color w:val="auto"/>
              </w:rPr>
              <w:t>3</w:t>
            </w:r>
          </w:p>
        </w:tc>
      </w:tr>
    </w:tbl>
    <w:p>
      <w:pPr>
        <w:sectPr>
          <w:pgSz w:w="11900" w:h="16838" w:orient="portrait"/>
          <w:cols w:equalWidth="0" w:num="1">
            <w:col w:w="11260"/>
          </w:cols>
          <w:pgMar w:left="320" w:top="594" w:right="319" w:bottom="1440" w:gutter="0" w:footer="0" w:header="0"/>
        </w:sectPr>
      </w:pPr>
    </w:p>
    <w:bookmarkStart w:id="14" w:name="page15"/>
    <w:bookmarkEnd w:id="14"/>
    <w:p>
      <w:pPr>
        <w:ind w:left="120" w:right="540"/>
        <w:spacing w:after="0" w:line="278" w:lineRule="auto"/>
        <w:rPr>
          <w:sz w:val="20"/>
          <w:szCs w:val="20"/>
          <w:color w:val="auto"/>
        </w:rPr>
      </w:pPr>
      <w:r>
        <w:rPr>
          <w:rFonts w:ascii="Times New Roman" w:cs="Times New Roman" w:eastAsia="Times New Roman" w:hAnsi="Times New Roman"/>
          <w:sz w:val="16"/>
          <w:szCs w:val="16"/>
          <w:b w:val="1"/>
          <w:bCs w:val="1"/>
          <w:color w:val="auto"/>
        </w:rPr>
        <w:t>Amendments to the Offer and Consent Solicitation</w:t>
      </w:r>
    </w:p>
    <w:p>
      <w:pPr>
        <w:spacing w:after="0" w:line="20" w:lineRule="exact"/>
        <w:rPr>
          <w:sz w:val="20"/>
          <w:szCs w:val="20"/>
          <w:color w:val="auto"/>
        </w:rPr>
      </w:pPr>
      <w:r>
        <w:rPr>
          <w:sz w:val="20"/>
          <w:szCs w:val="20"/>
          <w:color w:val="auto"/>
        </w:rPr>
        <w:br w:type="column"/>
      </w:r>
    </w:p>
    <w:p>
      <w:pPr>
        <w:jc w:val="both"/>
        <w:ind w:right="120"/>
        <w:spacing w:after="0" w:line="250" w:lineRule="auto"/>
        <w:rPr>
          <w:sz w:val="20"/>
          <w:szCs w:val="20"/>
          <w:color w:val="auto"/>
        </w:rPr>
      </w:pPr>
      <w:r>
        <w:rPr>
          <w:rFonts w:ascii="Times New Roman" w:cs="Times New Roman" w:eastAsia="Times New Roman" w:hAnsi="Times New Roman"/>
          <w:sz w:val="16"/>
          <w:szCs w:val="16"/>
          <w:color w:val="auto"/>
        </w:rPr>
        <w:t>We reserve the right at any time or from time to time to amend the Offer and Consent Solicitation, including by increasing or (if the conditions to the Offer are not satisfied) decreasing the exchange ratio of Class A common stock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U.S. Securities Exchange Act of 1934, as amended (the “</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See “</w:t>
      </w:r>
      <w:r>
        <w:rPr>
          <w:rFonts w:ascii="Times New Roman" w:cs="Times New Roman" w:eastAsia="Times New Roman" w:hAnsi="Times New Roman"/>
          <w:sz w:val="16"/>
          <w:szCs w:val="16"/>
          <w:i w:val="1"/>
          <w:iCs w:val="1"/>
          <w:color w:val="auto"/>
        </w:rPr>
        <w:t>The Offer and Consent Solicitation—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General Terms—Amendments to the Offer and Consent Solicitation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-1036320</wp:posOffset>
            </wp:positionV>
            <wp:extent cx="7154545" cy="4469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446913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260" w:space="720"/>
            <w:col w:w="7280"/>
          </w:cols>
          <w:pgMar w:left="320" w:top="712" w:right="319" w:bottom="1440" w:gutter="0" w:footer="0" w:header="0"/>
        </w:sectPr>
      </w:pPr>
    </w:p>
    <w:tbl>
      <w:tblPr>
        <w:tblLayout w:type="fixed"/>
        <w:tblInd w:w="0" w:type="dxa"/>
        <w:tblCellMar>
          <w:top w:w="0" w:type="dxa"/>
          <w:left w:w="0" w:type="dxa"/>
          <w:bottom w:w="0" w:type="dxa"/>
          <w:right w:w="0" w:type="dxa"/>
        </w:tblCellMar>
      </w:tblPr>
      <w:tr>
        <w:trPr>
          <w:trHeight w:val="19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Conditions to the Offer and Consent Solicitation</w:t>
            </w: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Offer is subject to customary conditions, including the effectiveness of the registration statement of which</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this Prospectus/Offer to Exchange forms a part and the absence of any action or proceeding, statute, rule,</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regulation, or order that would challenge or restrict the making or completion of the Offer. The Offer is not</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conditioned upon the receipt of a minimum number of tendered warrants. However, the Consent Solicitation is</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conditioned upon receiving the consent of holders of at least 65% of each of (i) the outstanding public warrants</w:t>
            </w:r>
          </w:p>
        </w:tc>
      </w:tr>
      <w:tr>
        <w:trPr>
          <w:trHeight w:val="187"/>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(ii) the outstanding private placement warrants (which is the minimum threshold required to amend the</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 Agreement). We may waive some of the conditions to the Offer. See “</w:t>
            </w:r>
            <w:r>
              <w:rPr>
                <w:rFonts w:ascii="Times New Roman" w:cs="Times New Roman" w:eastAsia="Times New Roman" w:hAnsi="Times New Roman"/>
                <w:sz w:val="16"/>
                <w:szCs w:val="16"/>
                <w:i w:val="1"/>
                <w:iCs w:val="1"/>
                <w:color w:val="auto"/>
              </w:rPr>
              <w:t>The Offer and Consent</w:t>
            </w:r>
          </w:p>
        </w:tc>
      </w:tr>
      <w:tr>
        <w:trPr>
          <w:trHeight w:val="208"/>
        </w:trPr>
        <w:tc>
          <w:tcPr>
            <w:tcW w:w="366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Solicitation—General Terms—Conditions to the Offer and Consent Solicitation</w:t>
            </w:r>
            <w:r>
              <w:rPr>
                <w:rFonts w:ascii="Times New Roman" w:cs="Times New Roman" w:eastAsia="Times New Roman" w:hAnsi="Times New Roman"/>
                <w:sz w:val="16"/>
                <w:szCs w:val="16"/>
                <w:color w:val="auto"/>
              </w:rPr>
              <w:t>.”</w:t>
            </w:r>
          </w:p>
        </w:tc>
      </w:tr>
      <w:tr>
        <w:trPr>
          <w:trHeight w:val="361"/>
        </w:trPr>
        <w:tc>
          <w:tcPr>
            <w:tcW w:w="3660" w:type="dxa"/>
            <w:vAlign w:val="bottom"/>
          </w:tcPr>
          <w:p>
            <w:pPr>
              <w:spacing w:after="0"/>
              <w:rPr>
                <w:sz w:val="24"/>
                <w:szCs w:val="24"/>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 will not complete the Offer and Consent Solicitation unless and until the registration statement described</w:t>
            </w:r>
          </w:p>
        </w:tc>
      </w:tr>
      <w:tr>
        <w:trPr>
          <w:trHeight w:val="189"/>
        </w:trPr>
        <w:tc>
          <w:tcPr>
            <w:tcW w:w="3660" w:type="dxa"/>
            <w:vAlign w:val="bottom"/>
          </w:tcPr>
          <w:p>
            <w:pPr>
              <w:spacing w:after="0"/>
              <w:rPr>
                <w:sz w:val="16"/>
                <w:szCs w:val="16"/>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above is effective. If the registration statement is not effective at the Expiration Date, we may, in our discretion,</w:t>
            </w:r>
          </w:p>
        </w:tc>
      </w:tr>
      <w:tr>
        <w:trPr>
          <w:trHeight w:val="206"/>
        </w:trPr>
        <w:tc>
          <w:tcPr>
            <w:tcW w:w="3660" w:type="dxa"/>
            <w:vAlign w:val="bottom"/>
          </w:tcPr>
          <w:p>
            <w:pPr>
              <w:spacing w:after="0"/>
              <w:rPr>
                <w:sz w:val="17"/>
                <w:szCs w:val="17"/>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extend, suspend, or cancel the Offer and Consent Solicitation, and will inform warrant holders of such event.</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Withdrawal Rights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If you tender your warrants for exchange and change your mind, you may withdraw your tendered warrants (and</w:t>
            </w:r>
          </w:p>
        </w:tc>
      </w:tr>
      <w:tr>
        <w:trPr>
          <w:trHeight w:val="187"/>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thereby automatically revoke the related consent to the Warrant Amendment) at any time prior to the Expiration</w:t>
            </w:r>
          </w:p>
        </w:tc>
      </w:tr>
      <w:tr>
        <w:trPr>
          <w:trHeight w:val="191"/>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Date, as described in greater detail in the section titled “</w:t>
            </w:r>
            <w:r>
              <w:rPr>
                <w:rFonts w:ascii="Times New Roman" w:cs="Times New Roman" w:eastAsia="Times New Roman" w:hAnsi="Times New Roman"/>
                <w:sz w:val="16"/>
                <w:szCs w:val="16"/>
                <w:i w:val="1"/>
                <w:iCs w:val="1"/>
                <w:color w:val="auto"/>
                <w:w w:val="99"/>
              </w:rPr>
              <w:t>The Offer and Consent Solicitation—Withdrawal Rights</w:t>
            </w:r>
            <w:r>
              <w:rPr>
                <w:rFonts w:ascii="Times New Roman" w:cs="Times New Roman" w:eastAsia="Times New Roman" w:hAnsi="Times New Roman"/>
                <w:sz w:val="16"/>
                <w:szCs w:val="16"/>
                <w:color w:val="auto"/>
                <w:w w:val="99"/>
              </w:rPr>
              <w:t>.”</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If the Offer Period is extended, you may withdraw your tendered warrants (and thereby automatically revoke the</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related consent to the Warrant Amendment) at any time until the extended Expiration Date. In addition, tendered</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warrants that are not accepted by us for exchange by December 16, 2022 may thereafter be withdrawn by you</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until such time as the warrants are accepted by us for exchange.</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Federal and State Regulatory Approvals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than compliance with the applicable federal and state securities laws, no federal or state regulatory</w:t>
            </w:r>
          </w:p>
        </w:tc>
      </w:tr>
      <w:tr>
        <w:trPr>
          <w:trHeight w:val="189"/>
        </w:trPr>
        <w:tc>
          <w:tcPr>
            <w:tcW w:w="3660" w:type="dxa"/>
            <w:vAlign w:val="bottom"/>
          </w:tcPr>
          <w:p>
            <w:pPr>
              <w:spacing w:after="0"/>
              <w:rPr>
                <w:sz w:val="16"/>
                <w:szCs w:val="16"/>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requirements must be complied with and no federal or state regulatory approvals must be obtained in connection</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with the Offer and Consent Solicitation.</w:t>
            </w:r>
          </w:p>
        </w:tc>
      </w:tr>
      <w:tr>
        <w:trPr>
          <w:trHeight w:val="361"/>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Absence of Appraisal or Dissenters’ Rights</w:t>
            </w: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Holders of our warrants do not have any appraisal or dissenters’ rights under applicable law in connection with</w:t>
            </w:r>
          </w:p>
        </w:tc>
      </w:tr>
      <w:tr>
        <w:trPr>
          <w:trHeight w:val="206"/>
        </w:trPr>
        <w:tc>
          <w:tcPr>
            <w:tcW w:w="366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Offer and Consent Solicitation.</w:t>
            </w:r>
          </w:p>
        </w:tc>
      </w:tr>
      <w:tr>
        <w:trPr>
          <w:trHeight w:val="96"/>
        </w:trPr>
        <w:tc>
          <w:tcPr>
            <w:tcW w:w="3660" w:type="dxa"/>
            <w:vAlign w:val="bottom"/>
            <w:tcBorders>
              <w:bottom w:val="single" w:sz="8" w:color="auto"/>
            </w:tcBorders>
          </w:tcPr>
          <w:p>
            <w:pPr>
              <w:spacing w:after="0"/>
              <w:rPr>
                <w:sz w:val="8"/>
                <w:szCs w:val="8"/>
                <w:color w:val="auto"/>
              </w:rPr>
            </w:pPr>
          </w:p>
        </w:tc>
        <w:tc>
          <w:tcPr>
            <w:tcW w:w="7600" w:type="dxa"/>
            <w:vAlign w:val="bottom"/>
            <w:tcBorders>
              <w:bottom w:val="single" w:sz="8" w:color="auto"/>
            </w:tcBorders>
          </w:tcPr>
          <w:p>
            <w:pPr>
              <w:spacing w:after="0"/>
              <w:rPr>
                <w:sz w:val="8"/>
                <w:szCs w:val="8"/>
                <w:color w:val="auto"/>
              </w:rPr>
            </w:pPr>
          </w:p>
        </w:tc>
      </w:tr>
      <w:tr>
        <w:trPr>
          <w:trHeight w:val="383"/>
        </w:trPr>
        <w:tc>
          <w:tcPr>
            <w:tcW w:w="36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color w:val="auto"/>
              </w:rPr>
              <w:t>4</w:t>
            </w:r>
          </w:p>
        </w:tc>
      </w:tr>
    </w:tbl>
    <w:p>
      <w:pPr>
        <w:sectPr>
          <w:pgSz w:w="11900" w:h="16838" w:orient="portrait"/>
          <w:cols w:equalWidth="0" w:num="1">
            <w:col w:w="11260"/>
          </w:cols>
          <w:pgMar w:left="320" w:top="712" w:right="319" w:bottom="1440" w:gutter="0" w:footer="0" w:header="0"/>
          <w:type w:val="continuous"/>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5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U.S. Federal Income Tax Consequences of the</w:t>
            </w:r>
          </w:p>
        </w:tc>
        <w:tc>
          <w:tcPr>
            <w:tcW w:w="768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those holders of our warrants participating in the Offer and for any holders of our warrants subsequently</w:t>
            </w:r>
          </w:p>
        </w:tc>
      </w:tr>
      <w:tr>
        <w:trPr>
          <w:trHeight w:val="19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Offer</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exchanged for Class A common stock pursuant to the terms of the Warrant Amendment, we intend to treat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exchange of warrants for our Class A common stock as a “recapitalization” within the meaning of Section 368(a)</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(1)(E) of the U.S. Internal Revenue Code of 1986, as amended (the “Code”). Under such treatment, (i) you</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should not recognize any gain or loss on the exchange of warrants for shares of Class A common stock (except to</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the extent of any cash payment received in lieu of a fractional share in connection with the Offer or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subsequent exchange), (ii) your aggregate tax basis in our Class A common stock received in the exchange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should equal your aggregate tax basis in your warrants surrendered in the exchange (except to the extent of any</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tax basis allocated to a fractional share for which a cash payment is received in connection with the Offer or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subsequent exchange), and (iii) your holding period for our Class A common stock received in the exchange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should include your holding period for the surrendered warrants. However, because there is a lack of direct legal</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authority regarding the U.S. federal income tax consequences of the exchange of our warrants for our Class A</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common stock, there can be no assurance in this regard and alternative characterizations are possible by the U.S.</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Internal Revenue Service (the “IRS”) or a court, including ones that would require U.S. Holders (as defined</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under “Material U.S. Federal Income Tax Consequences”) to recognize taxable income.</w:t>
            </w:r>
          </w:p>
        </w:tc>
      </w:tr>
      <w:tr>
        <w:trPr>
          <w:trHeight w:val="361"/>
        </w:trPr>
        <w:tc>
          <w:tcPr>
            <w:tcW w:w="35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If the Warrant Amendment is approved, we intend to treat all warrants not exchanged for Class A common stock</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 the Offer as having been exchanged for “new” warrants pursuant to the Warrant Amendment and to treat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deemed exchange as a “recapitalization” within the meaning of Section 368(a)(1)(E) of the Code. Under such</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treatment, (i) you should not recognize any gain or loss on the deemed exchange of warrants for “new” warrants,</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(ii) your aggregate tax basis in the “new” warrants deemed to be received in the exchange should equal your</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aggregate tax basis in your existing warrants deemed surrendered in the exchange, and (iii) your holding period</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the “new” warrants deemed to be received in the exchange should include your holding period for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warrants deemed surrendered. Because there is a lack of direct legal authority regarding the U.S. federal income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tax consequences of a deemed exchange of warrants for “new” warrants pursuant to the Warrant Amendment,</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there can be no assurance in this regard and alternative characterizations by the IRS or a court are possible,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including ones that would require U.S. Holders to recognize taxable income. See “Material U.S. Federal Income</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Tax Consequences.”</w:t>
            </w:r>
          </w:p>
        </w:tc>
      </w:tr>
      <w:tr>
        <w:trPr>
          <w:trHeight w:val="36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 Recommendation</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Neither we nor any of our board of directors, our management, the dealer manager, the exchange agent, the</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information agent, or any other person makes any recommendation on whether you should tender or refrain from</w:t>
            </w:r>
          </w:p>
        </w:tc>
      </w:tr>
      <w:tr>
        <w:trPr>
          <w:trHeight w:val="189"/>
        </w:trPr>
        <w:tc>
          <w:tcPr>
            <w:tcW w:w="358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tendering all or any portion of your warrants or consent to the Warrant Amendment, and no one has been</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authorized by any of them to make such a recommendation.</w:t>
            </w:r>
          </w:p>
        </w:tc>
      </w:tr>
      <w:tr>
        <w:trPr>
          <w:trHeight w:val="361"/>
        </w:trPr>
        <w:tc>
          <w:tcPr>
            <w:tcW w:w="3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Rick Factors</w:t>
            </w: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For risks related to the Offer and Consent Solicitation, please read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beginning on</w:t>
            </w:r>
          </w:p>
        </w:tc>
      </w:tr>
      <w:tr>
        <w:trPr>
          <w:trHeight w:val="206"/>
        </w:trPr>
        <w:tc>
          <w:tcPr>
            <w:tcW w:w="358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page 8 of this Prospectus/Offer to Exchange.</w:t>
            </w:r>
          </w:p>
        </w:tc>
      </w:tr>
      <w:tr>
        <w:trPr>
          <w:trHeight w:val="285"/>
        </w:trPr>
        <w:tc>
          <w:tcPr>
            <w:tcW w:w="3580" w:type="dxa"/>
            <w:vAlign w:val="bottom"/>
            <w:tcBorders>
              <w:left w:val="single" w:sz="8" w:color="auto"/>
              <w:bottom w:val="single" w:sz="8" w:color="auto"/>
            </w:tcBorders>
          </w:tcPr>
          <w:p>
            <w:pPr>
              <w:spacing w:after="0"/>
              <w:rPr>
                <w:sz w:val="24"/>
                <w:szCs w:val="24"/>
                <w:color w:val="auto"/>
              </w:rPr>
            </w:pPr>
          </w:p>
        </w:tc>
        <w:tc>
          <w:tcPr>
            <w:tcW w:w="7680" w:type="dxa"/>
            <w:vAlign w:val="bottom"/>
            <w:tcBorders>
              <w:bottom w:val="single" w:sz="8" w:color="auto"/>
              <w:right w:val="single" w:sz="8" w:color="auto"/>
            </w:tcBorders>
          </w:tcPr>
          <w:p>
            <w:pPr>
              <w:spacing w:after="0"/>
              <w:rPr>
                <w:sz w:val="24"/>
                <w:szCs w:val="24"/>
                <w:color w:val="auto"/>
              </w:rPr>
            </w:pPr>
          </w:p>
        </w:tc>
      </w:tr>
      <w:tr>
        <w:trPr>
          <w:trHeight w:val="383"/>
        </w:trPr>
        <w:tc>
          <w:tcPr>
            <w:tcW w:w="35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color w:val="auto"/>
              </w:rPr>
              <w:t>5</w:t>
            </w:r>
          </w:p>
        </w:tc>
      </w:tr>
    </w:tbl>
    <w:p>
      <w:pPr>
        <w:sectPr>
          <w:pgSz w:w="11900" w:h="16838" w:orient="portrait"/>
          <w:cols w:equalWidth="0" w:num="1">
            <w:col w:w="11260"/>
          </w:cols>
          <w:pgMar w:left="320" w:top="59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depositary and exchange agent for the Offer and Consent Solicitation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-172085</wp:posOffset>
            </wp:positionV>
            <wp:extent cx="7154545" cy="5189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5189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140"/>
          </w:cols>
          <w:pgMar w:left="440" w:top="712" w:right="439" w:bottom="1440" w:gutter="0" w:footer="0" w:header="0"/>
        </w:sectPr>
      </w:pP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color w:val="auto"/>
        </w:rPr>
        <w:t>Continental Stock Transfer &amp; Trust Company</w:t>
      </w:r>
    </w:p>
    <w:p>
      <w:pPr>
        <w:spacing w:after="0" w:line="3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1 State Street, 30th Floor</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New York, New York 10004</w:t>
      </w:r>
    </w:p>
    <w:p>
      <w:pPr>
        <w:sectPr>
          <w:pgSz w:w="11900" w:h="16838" w:orient="portrait"/>
          <w:cols w:equalWidth="0" w:num="1">
            <w:col w:w="11020"/>
          </w:cols>
          <w:pgMar w:left="440" w:top="712" w:right="4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Dealer Manager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dealer manager for the Offer and Consent Solicitation is:</w:t>
      </w:r>
    </w:p>
    <w:p>
      <w:pPr>
        <w:spacing w:after="0" w:line="200" w:lineRule="exact"/>
        <w:rPr>
          <w:sz w:val="20"/>
          <w:szCs w:val="20"/>
          <w:color w:val="auto"/>
        </w:rPr>
      </w:pPr>
    </w:p>
    <w:p>
      <w:pPr>
        <w:sectPr>
          <w:pgSz w:w="11900" w:h="16838" w:orient="portrait"/>
          <w:cols w:equalWidth="0" w:num="2">
            <w:col w:w="3160" w:space="720"/>
            <w:col w:w="7140"/>
          </w:cols>
          <w:pgMar w:left="440" w:top="712" w:right="439" w:bottom="1440" w:gutter="0" w:footer="0" w:header="0"/>
          <w:type w:val="continuous"/>
        </w:sectPr>
      </w:pP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75" w:lineRule="exact"/>
        <w:rPr>
          <w:sz w:val="20"/>
          <w:szCs w:val="20"/>
          <w:color w:val="auto"/>
        </w:rPr>
      </w:pPr>
    </w:p>
    <w:p>
      <w:pPr>
        <w:ind w:left="3880"/>
        <w:spacing w:after="0" w:line="278" w:lineRule="auto"/>
        <w:rPr>
          <w:sz w:val="20"/>
          <w:szCs w:val="20"/>
          <w:color w:val="auto"/>
        </w:rPr>
      </w:pPr>
      <w:r>
        <w:rPr>
          <w:rFonts w:ascii="Times New Roman" w:cs="Times New Roman" w:eastAsia="Times New Roman" w:hAnsi="Times New Roman"/>
          <w:sz w:val="16"/>
          <w:szCs w:val="16"/>
          <w:color w:val="auto"/>
        </w:rPr>
        <w:t>We have other business relationships with the dealer manager, as described in “</w:t>
      </w:r>
      <w:r>
        <w:rPr>
          <w:rFonts w:ascii="Times New Roman" w:cs="Times New Roman" w:eastAsia="Times New Roman" w:hAnsi="Times New Roman"/>
          <w:sz w:val="16"/>
          <w:szCs w:val="16"/>
          <w:i w:val="1"/>
          <w:iCs w:val="1"/>
          <w:color w:val="auto"/>
        </w:rPr>
        <w:t>The Offer and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Solicitation—Dealer Manager</w:t>
      </w:r>
      <w:r>
        <w:rPr>
          <w:rFonts w:ascii="Times New Roman" w:cs="Times New Roman" w:eastAsia="Times New Roman" w:hAnsi="Times New Roman"/>
          <w:sz w:val="16"/>
          <w:szCs w:val="16"/>
          <w:color w:val="auto"/>
        </w:rPr>
        <w:t>.”</w:t>
      </w:r>
    </w:p>
    <w:p>
      <w:pPr>
        <w:sectPr>
          <w:pgSz w:w="11900" w:h="16838" w:orient="portrait"/>
          <w:cols w:equalWidth="0" w:num="1">
            <w:col w:w="11020"/>
          </w:cols>
          <w:pgMar w:left="440" w:top="712" w:right="4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We recommend that our warrant holders review the registration statement on Form S-4, of which this Prospectus/Offer to Exchange forms a part, including the exhibits that we have filed with the SEC in connection with the Offer and Consent Solicitation and our other materials that we have filed with the SEC, before making a decision on whether to tender for exchange in the Offer and consent to the Warrant Amendment. All reports and other documents we have filed with the SEC can be accessed electronically on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sectPr>
          <w:pgSz w:w="11900" w:h="16838" w:orient="portrait"/>
          <w:cols w:equalWidth="0" w:num="2">
            <w:col w:w="3160" w:space="720"/>
            <w:col w:w="7140"/>
          </w:cols>
          <w:pgMar w:left="440" w:top="712" w:right="439" w:bottom="1440" w:gutter="0" w:footer="0" w:header="0"/>
          <w:type w:val="continuous"/>
        </w:sectPr>
      </w:pPr>
    </w:p>
    <w:p>
      <w:pPr>
        <w:jc w:val="both"/>
        <w:ind w:left="3880"/>
        <w:spacing w:after="0" w:line="256" w:lineRule="auto"/>
        <w:rPr>
          <w:sz w:val="20"/>
          <w:szCs w:val="20"/>
          <w:color w:val="auto"/>
        </w:rPr>
      </w:pPr>
      <w:r>
        <w:rPr>
          <w:rFonts w:ascii="Times New Roman" w:cs="Times New Roman" w:eastAsia="Times New Roman" w:hAnsi="Times New Roman"/>
          <w:sz w:val="16"/>
          <w:szCs w:val="16"/>
          <w:color w:val="auto"/>
        </w:rPr>
        <w:t>You should direct (1) questions about the terms of the Offer and Consent Solicitation to the dealer manager at its addresses and telephone number listed above and (2) questions about the exchange procedures and requests for additional copies of this Prospectus/Offer to Exchange, the Letter of Transmittal and Consent, or Notice of Guaranteed Delivery to the information agent at the below address and phone number:</w:t>
      </w:r>
    </w:p>
    <w:p>
      <w:pPr>
        <w:spacing w:after="0" w:line="160"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6"/>
          <w:szCs w:val="16"/>
          <w:color w:val="auto"/>
        </w:rPr>
        <w:t>Email: opal@dfking.com</w:t>
      </w:r>
    </w:p>
    <w:p>
      <w:pPr>
        <w:sectPr>
          <w:pgSz w:w="11900" w:h="16838" w:orient="portrait"/>
          <w:cols w:equalWidth="0" w:num="1">
            <w:col w:w="11020"/>
          </w:cols>
          <w:pgMar w:left="440" w:top="712" w:right="4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and Smaller Reporting Company</w:t>
      </w:r>
    </w:p>
    <w:p>
      <w:pPr>
        <w:spacing w:after="0" w:line="194" w:lineRule="exact"/>
        <w:rPr>
          <w:sz w:val="20"/>
          <w:szCs w:val="20"/>
          <w:color w:val="auto"/>
        </w:rPr>
      </w:pPr>
    </w:p>
    <w:p>
      <w:pPr>
        <w:jc w:val="both"/>
        <w:ind w:firstLine="284"/>
        <w:spacing w:after="0" w:line="262"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(the “</w:t>
      </w:r>
      <w:r>
        <w:rPr>
          <w:rFonts w:ascii="Times New Roman" w:cs="Times New Roman" w:eastAsia="Times New Roman" w:hAnsi="Times New Roman"/>
          <w:sz w:val="16"/>
          <w:szCs w:val="16"/>
          <w:i w:val="1"/>
          <w:iCs w:val="1"/>
          <w:color w:val="auto"/>
        </w:rPr>
        <w:t>JOBS Act</w:t>
      </w:r>
      <w:r>
        <w:rPr>
          <w:rFonts w:ascii="Times New Roman" w:cs="Times New Roman" w:eastAsia="Times New Roman" w:hAnsi="Times New Roman"/>
          <w:sz w:val="16"/>
          <w:szCs w:val="16"/>
          <w:color w:val="auto"/>
        </w:rPr>
        <w: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54" w:lineRule="exact"/>
        <w:rPr>
          <w:sz w:val="20"/>
          <w:szCs w:val="20"/>
          <w:color w:val="auto"/>
        </w:rPr>
      </w:pPr>
    </w:p>
    <w:p>
      <w:pPr>
        <w:ind w:left="560" w:right="20" w:hanging="284"/>
        <w:spacing w:after="0" w:line="278"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permitted to present only two years of audited financial statements and selected financial data and only two years of related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r>
        <w:rPr>
          <w:rFonts w:ascii="Times New Roman" w:cs="Times New Roman" w:eastAsia="Times New Roman" w:hAnsi="Times New Roman"/>
          <w:sz w:val="16"/>
          <w:szCs w:val="16"/>
          <w:color w:val="auto"/>
        </w:rPr>
        <w:t>” in our periodic reports and registration statements, subject to certain exceptions;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71494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020"/>
          </w:cols>
          <w:pgMar w:left="440" w:top="712" w:right="439" w:bottom="1440" w:gutter="0" w:footer="0" w:header="0"/>
          <w:type w:val="continuous"/>
        </w:sectPr>
      </w:pPr>
    </w:p>
    <w:bookmarkStart w:id="17" w:name="page18"/>
    <w:bookmarkEnd w:id="17"/>
    <w:p>
      <w:pPr>
        <w:ind w:left="560" w:hanging="284"/>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389890</wp:posOffset>
            </wp:positionV>
            <wp:extent cx="7154545" cy="4229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4229100"/>
                    </a:xfrm>
                    <a:prstGeom prst="rect">
                      <a:avLst/>
                    </a:prstGeom>
                    <a:noFill/>
                  </pic:spPr>
                </pic:pic>
              </a:graphicData>
            </a:graphic>
          </wp:anchor>
        </w:drawing>
        <w:t>not being required to comply with the auditor attestation requirements of Section 404 of the Sarbanes-Oxley Act of 2002, as amended;</w:t>
      </w:r>
    </w:p>
    <w:p>
      <w:pPr>
        <w:spacing w:after="0" w:line="194" w:lineRule="exact"/>
        <w:rPr>
          <w:rFonts w:ascii="Times New Roman" w:cs="Times New Roman" w:eastAsia="Times New Roman" w:hAnsi="Times New Roman"/>
          <w:sz w:val="16"/>
          <w:szCs w:val="16"/>
          <w:color w:val="auto"/>
        </w:rPr>
      </w:pPr>
    </w:p>
    <w:p>
      <w:pPr>
        <w:ind w:left="56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in our periodic reports, proxy statements, and registration statements, including in this Prospectus/Offer to Exchange;</w:t>
      </w:r>
    </w:p>
    <w:p>
      <w:pPr>
        <w:spacing w:after="0" w:line="145" w:lineRule="exact"/>
        <w:rPr>
          <w:rFonts w:ascii="Times New Roman" w:cs="Times New Roman" w:eastAsia="Times New Roman" w:hAnsi="Times New Roman"/>
          <w:sz w:val="16"/>
          <w:szCs w:val="16"/>
          <w:color w:val="auto"/>
        </w:rPr>
      </w:pPr>
    </w:p>
    <w:p>
      <w:pPr>
        <w:ind w:left="56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45" w:lineRule="exact"/>
        <w:rPr>
          <w:rFonts w:ascii="Times New Roman" w:cs="Times New Roman" w:eastAsia="Times New Roman" w:hAnsi="Times New Roman"/>
          <w:sz w:val="16"/>
          <w:szCs w:val="16"/>
          <w:color w:val="auto"/>
        </w:rPr>
      </w:pPr>
    </w:p>
    <w:p>
      <w:pPr>
        <w:ind w:left="560" w:right="20" w:hanging="284"/>
        <w:spacing w:after="0" w:line="27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a nonbinding advisory vote on executive compensation and stockholder approval of any golden parachute payments not previously approved.</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94" w:lineRule="exact"/>
        <w:rPr>
          <w:sz w:val="20"/>
          <w:szCs w:val="20"/>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 (the last day of the fiscal year that follows the fifth anniversary of the completion of ArcLight’s initial public offering);</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have total annual gross revenue of at least $1.235 billion;</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are deemed to be a “large accelerated filer,” as defined in the Exchange Act; and</w:t>
      </w:r>
    </w:p>
    <w:p>
      <w:pPr>
        <w:spacing w:after="0" w:line="19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issued more than $1 billion in non-convertible debt over a three-year period.</w:t>
      </w:r>
    </w:p>
    <w:p>
      <w:pPr>
        <w:spacing w:after="0" w:line="194"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We have elected to take advantage of certain of the reduced disclosure obligations in this Prospectus/Offer to Exchange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56"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56" w:lineRule="exact"/>
        <w:rPr>
          <w:sz w:val="20"/>
          <w:szCs w:val="20"/>
          <w:color w:val="auto"/>
        </w:rPr>
      </w:pPr>
    </w:p>
    <w:p>
      <w:pPr>
        <w:jc w:val="both"/>
        <w:ind w:firstLine="284"/>
        <w:spacing w:after="0" w:line="253" w:lineRule="auto"/>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13970</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020"/>
          </w:cols>
          <w:pgMar w:left="440" w:top="714" w:right="4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In consultation with your own advisors, you should carefully consider, among other matters, the factors set forth below, as well as the other information included in this Prospectus/Offer to Exchange, before deciding whether to participate in the Offer and Consent Solicitation. If any of the risks contained in this Prospectus/Offer to Exchange develop into actual events, our business, financial condition, liquidity, results of operations, and prospects could be materially and adversely affected. Some statements in this Prospectus/Offer to Exchange, including statements in the following risk factors, constitute forward-looking statements. See the “Cautionary Note Regarding Forward Looking Statements” section in this Prospectus/Offer to Exchange.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Third Party Relationships and Government Regulation of Our Business</w:t>
      </w:r>
    </w:p>
    <w:p>
      <w:pPr>
        <w:spacing w:after="0" w:line="19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5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We do not own any of the landfill or livestock waste sites, which we sometimes refer to in this Prospectus/Offer to Exchange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59"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The owners and operators of biogas project sites generally make no warranties to us as to the quality or quantity of gas produced.</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1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5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4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65"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20" w:name="page21"/>
    <w:bookmarkEnd w:id="20"/>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5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5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5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21" w:name="page22"/>
    <w:bookmarkEnd w:id="21"/>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68"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68"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64" w:lineRule="exact"/>
        <w:rPr>
          <w:sz w:val="20"/>
          <w:szCs w:val="20"/>
          <w:color w:val="auto"/>
        </w:rPr>
      </w:pPr>
    </w:p>
    <w:p>
      <w:pPr>
        <w:jc w:val="both"/>
        <w:ind w:left="5" w:right="20" w:firstLine="283"/>
        <w:spacing w:after="0" w:line="266" w:lineRule="auto"/>
        <w:rPr>
          <w:sz w:val="20"/>
          <w:szCs w:val="20"/>
          <w:color w:val="auto"/>
        </w:rPr>
      </w:pPr>
      <w:r>
        <w:rPr>
          <w:rFonts w:ascii="Times New Roman" w:cs="Times New Roman" w:eastAsia="Times New Roman" w:hAnsi="Times New Roman"/>
          <w:sz w:val="15"/>
          <w:szCs w:val="15"/>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w:t>
      </w:r>
    </w:p>
    <w:p>
      <w:pPr>
        <w:ind w:left="5" w:right="20" w:hanging="5"/>
        <w:spacing w:after="0" w:line="253" w:lineRule="auto"/>
        <w:tabs>
          <w:tab w:leader="none" w:pos="28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special presidential envoy for climate on the National Security Council. At this time, we cannot predict the outcome of any of these executive orders on our operations.</w:t>
      </w:r>
    </w:p>
    <w:p>
      <w:pPr>
        <w:spacing w:after="0" w:line="3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22" w:name="page23"/>
    <w:bookmarkEnd w:id="22"/>
    <w:p>
      <w:pPr>
        <w:jc w:val="both"/>
        <w:ind w:left="5"/>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58" w:lineRule="exact"/>
        <w:rPr>
          <w:sz w:val="20"/>
          <w:szCs w:val="20"/>
          <w:color w:val="auto"/>
        </w:rPr>
      </w:pPr>
    </w:p>
    <w:p>
      <w:pPr>
        <w:jc w:val="both"/>
        <w:ind w:left="5" w:firstLine="283"/>
        <w:spacing w:after="0" w:line="267" w:lineRule="auto"/>
        <w:rPr>
          <w:sz w:val="20"/>
          <w:szCs w:val="20"/>
          <w:color w:val="auto"/>
        </w:rPr>
      </w:pPr>
      <w:r>
        <w:rPr>
          <w:rFonts w:ascii="Times New Roman" w:cs="Times New Roman" w:eastAsia="Times New Roman" w:hAnsi="Times New Roman"/>
          <w:sz w:val="15"/>
          <w:szCs w:val="15"/>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w:t>
      </w:r>
    </w:p>
    <w:p>
      <w:pPr>
        <w:spacing w:after="0" w:line="3" w:lineRule="exact"/>
        <w:rPr>
          <w:sz w:val="20"/>
          <w:szCs w:val="20"/>
          <w:color w:val="auto"/>
        </w:rPr>
      </w:pPr>
    </w:p>
    <w:p>
      <w:pPr>
        <w:jc w:val="both"/>
        <w:ind w:left="5" w:hanging="5"/>
        <w:spacing w:after="0" w:line="249" w:lineRule="auto"/>
        <w:tabs>
          <w:tab w:leader="none" w:pos="24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166"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65" w:lineRule="exact"/>
        <w:rPr>
          <w:sz w:val="20"/>
          <w:szCs w:val="20"/>
          <w:color w:val="auto"/>
        </w:rPr>
      </w:pPr>
    </w:p>
    <w:p>
      <w:pPr>
        <w:jc w:val="both"/>
        <w:ind w:left="5" w:firstLine="283"/>
        <w:spacing w:after="0" w:line="191" w:lineRule="exact"/>
        <w:rPr>
          <w:sz w:val="20"/>
          <w:szCs w:val="20"/>
          <w:color w:val="auto"/>
        </w:rPr>
      </w:pPr>
      <w:r>
        <w:rPr>
          <w:rFonts w:ascii="Times New Roman" w:cs="Times New Roman" w:eastAsia="Times New Roman" w:hAnsi="Times New Roman"/>
          <w:sz w:val="16"/>
          <w:szCs w:val="16"/>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Carbon Intensity (“CI”) of transportation fuel sold and purchased in the state. A CI score is calculated as grams of CO</w:t>
      </w:r>
      <w:r>
        <w:rPr>
          <w:rFonts w:ascii="MS PGothic" w:cs="MS PGothic" w:eastAsia="MS PGothic" w:hAnsi="MS PGothic"/>
          <w:sz w:val="16"/>
          <w:szCs w:val="16"/>
          <w:color w:val="auto"/>
        </w:rPr>
        <w:t>₂</w:t>
      </w:r>
      <w:r>
        <w:rPr>
          <w:rFonts w:ascii="Times New Roman" w:cs="Times New Roman" w:eastAsia="Times New Roman" w:hAnsi="Times New Roman"/>
          <w:sz w:val="16"/>
          <w:szCs w:val="16"/>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172"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3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1" w:right="319" w:bottom="1440" w:gutter="0" w:footer="0" w:header="0"/>
        </w:sectPr>
      </w:pPr>
    </w:p>
    <w:bookmarkStart w:id="23" w:name="page24"/>
    <w:bookmarkEnd w:id="23"/>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65"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69"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4" w:name="page25"/>
    <w:bookmarkEnd w:id="24"/>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5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64"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5" w:name="page26"/>
    <w:bookmarkEnd w:id="25"/>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55" w:lineRule="exact"/>
        <w:rPr>
          <w:sz w:val="20"/>
          <w:szCs w:val="20"/>
          <w:color w:val="auto"/>
        </w:rPr>
      </w:pPr>
    </w:p>
    <w:p>
      <w:pPr>
        <w:jc w:val="both"/>
        <w:ind w:firstLine="283"/>
        <w:spacing w:after="0" w:line="268" w:lineRule="auto"/>
        <w:rPr>
          <w:sz w:val="20"/>
          <w:szCs w:val="20"/>
          <w:color w:val="auto"/>
        </w:rPr>
      </w:pPr>
      <w:r>
        <w:rPr>
          <w:rFonts w:ascii="Times New Roman" w:cs="Times New Roman" w:eastAsia="Times New Roman" w:hAnsi="Times New Roman"/>
          <w:sz w:val="15"/>
          <w:szCs w:val="15"/>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57"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6" w:name="page27"/>
    <w:bookmarkEnd w:id="26"/>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6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“Business — Legal Proceedings.”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7" w:name="page28"/>
    <w:bookmarkEnd w:id="27"/>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42"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5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Risks Related to Our Business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The volatility in the price of oil, gasoline, diesel, natural gas, RNG, or Environmental Attribute prices could adversely affect our business.</w:t>
      </w:r>
    </w:p>
    <w:p>
      <w:pPr>
        <w:spacing w:after="0" w:line="198"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7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29" w:name="page30"/>
    <w:bookmarkEnd w:id="29"/>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(“ISOs”) and Regional Transmission Organizations (“RTOs”) that control and administer regional power markets.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0" w:name="page31"/>
    <w:bookmarkEnd w:id="30"/>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42"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Risk Factors Relating to Our Biogas Capture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acquire, convert, develop and operate Biogas Conversion Projects, as well as expand production at current Biogas Conversion Projects, is subject to many risks.</w:t>
      </w:r>
    </w:p>
    <w:p>
      <w:pPr>
        <w:spacing w:after="0" w:line="21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1" w:name="page32"/>
    <w:bookmarkEnd w:id="31"/>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Our ability to acquire, convert, develop and operate Biogas Conversion Projects, as well as expand production at current Biogas Conversion Projects, is subject to several additional risks, including:</w:t>
      </w:r>
    </w:p>
    <w:p>
      <w:pPr>
        <w:spacing w:after="0" w:line="145" w:lineRule="exact"/>
        <w:rPr>
          <w:sz w:val="20"/>
          <w:szCs w:val="20"/>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energy commodity prices, such as natural gas and wholesale electricity prices, which could have a significant effect on our revenues and expenses;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5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accidents involving personal injury or the loss of life;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markets where we have less experience, such as our Biogas Conversion Projects for biogas recovery at livestock farms;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or delays in obtaining desired or necessary land rights, including ownership, leases, easements, zoning rights and building permits;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keeping in good standing permits, authorizations and consents from local city, county, state and US federal government agencies and organizations;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penalties, including potential termination, under short-term and long-term contracts for failing to produce or deliver a sufficient quantity and acceptable quality of RNG in accordance with our contractual obligations;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unknown regulatory changes related to the transportation of RNG, which may increase the transportation cost for delivering under our contracts then in effect;</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and authorization of local utilities or other energy development off-takers to ensure successful interconnection to energy grids to enable power and gas sales;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obtaining and permitting suitable sites for new Biogas Conversion Projects.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2" w:name="page33"/>
    <w:bookmarkEnd w:id="32"/>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Multiple factors, including lower levels of gas collection and delays in commencement and completion of construction, have negatively impacted our business during the nine months ended September 30, 2022. While we continue to execute on our business plan, we expect these factors to continue during 2023.</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risks related to acquiring existing projects, include:</w:t>
      </w:r>
    </w:p>
    <w:p>
      <w:pPr>
        <w:spacing w:after="0" w:line="194" w:lineRule="exact"/>
        <w:rPr>
          <w:sz w:val="20"/>
          <w:szCs w:val="20"/>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we pay could significantly deplete our cash reserves or result in dilution to our existing stockholders;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companies or assets may not improve our customer offerings or market position as planned;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difficulty integrating the operations and personnel of the acquired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personnel and counterparties of the acquired companies may terminate their relationships with the acquired companies as a result of or following the acquisition;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additional financial and accounting challenges and complexities in certain areas, such as tax planning and financial reporting;</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additional costs and expenses related to complying with additional laws, rules or regulations in new jurisdictions;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ongoing business and management’s attention may be disrupted or diverted by transition or integration issues and the complexity of managing geographically diverse enterprises;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one-time write-offs or restructuring charges in connection with an acquisition;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acquire goodwill and other intangible assets that are subject to amortization or impairment tests, which could result in future charges to earnings;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realize the cost savings or other financial benefits we anticipated.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3" w:name="page34"/>
    <w:bookmarkEnd w:id="33"/>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55"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6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color w:val="auto"/>
        </w:rPr>
        <w:t>Construction, development and operation of our Biogas Conversion Projects involves significant risks and hazards.</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64"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54"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5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35" w:name="page36"/>
    <w:bookmarkEnd w:id="35"/>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5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Prospectus/Offer to Exchange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36" w:name="page37"/>
    <w:bookmarkEnd w:id="36"/>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55"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4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37" w:name="page38"/>
    <w:bookmarkEnd w:id="37"/>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5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50"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21"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8" w:name="page39"/>
    <w:bookmarkEnd w:id="38"/>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64"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Additional Risk Factors Relating to Our Dispensing Business</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6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9" w:name="page40"/>
    <w:bookmarkEnd w:id="39"/>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42"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factors that may influence the adoption of natural gas vehicle fuels, many of which are beyond our control, include, among others:</w:t>
      </w:r>
    </w:p>
    <w:p>
      <w:pPr>
        <w:spacing w:after="0" w:line="194" w:lineRule="exact"/>
        <w:rPr>
          <w:sz w:val="20"/>
          <w:szCs w:val="20"/>
          <w:color w:val="auto"/>
        </w:rPr>
      </w:pPr>
    </w:p>
    <w:p>
      <w:pPr>
        <w:ind w:left="560" w:hanging="28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demand for trucks that use natural gas vehicle fuels due to business disruptions and depressed oil prices;</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5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in the supply, demand, use and prices of crude oil, gasoline, diesel, RNG, natural gas and other vehicle fuels, such as electricity, hydrogen, renewable diesel, biodiesel and ethanol;</w:t>
      </w:r>
    </w:p>
    <w:p>
      <w:pPr>
        <w:spacing w:after="0" w:line="145"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5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Emissions and other environmental regulations and pressures on producing, transporting, and dispensing our fuels.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40" w:name="page41"/>
    <w:bookmarkEnd w:id="40"/>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Acquisition, financing, construction, and development of Fueling Station projects by us or our partners that own projects may not commence on anticipated timelines or at all.</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acquisition, financing, construction and development of projects involves numerous risks, including:</w:t>
      </w:r>
    </w:p>
    <w:p>
      <w:pPr>
        <w:spacing w:after="0" w:line="194" w:lineRule="exact"/>
        <w:rPr>
          <w:sz w:val="20"/>
          <w:szCs w:val="20"/>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obtaining, and permitting suitable sites for new projects;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all necessary rights to land access and use;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inaccuracy of assumptions with respect to the cost and schedule for completing construction;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inaccuracy of assumptions with respect to the biogas potential, including quality, volume, and asset life;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financing for a project on acceptable terms or at all;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deliveries or increases in the price of equipment or other materials;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permitting and other regulatory issues, license revocation and changes in legal requirements;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labor, labor disputes and work stoppages or the inability to find an adequate supply of workers;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receive quality and timely performance of third-party services;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engineering and environmental problems;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overruns or supply chain disruptions;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1" w:name="page42"/>
    <w:bookmarkEnd w:id="41"/>
    <w:p>
      <w:pPr>
        <w:ind w:left="560" w:hanging="28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accidents involving personal injury or the loss of life</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conditions, health crises, pandemics, catastrophic events, including fires, explosions, earthquakes, droughts and acts of terrorism, and other force majeure events;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interconnection and access to utilities.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addition, new projects have no operating history. A new project may be unable to fund principal and interest payments under its debt service obligations or may operate at a loss.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5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Additional Risk Factors Relating to Our Business in General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Biogas Conversion Projects and Fueling Stations are newly constructed or are under construction and may not perform as we expect.</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2" w:name="page43"/>
    <w:bookmarkEnd w:id="42"/>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5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6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September 30, 2022, our total indebtedness was $220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substantial indebtedness and preferred units redemption obligations could have important consequences, including, for example:</w:t>
      </w:r>
    </w:p>
    <w:p>
      <w:pPr>
        <w:spacing w:after="0" w:line="194" w:lineRule="exact"/>
        <w:rPr>
          <w:sz w:val="20"/>
          <w:szCs w:val="20"/>
          <w:color w:val="auto"/>
        </w:rPr>
      </w:pPr>
    </w:p>
    <w:p>
      <w:pPr>
        <w:ind w:left="560" w:right="20" w:hanging="282"/>
        <w:spacing w:after="0" w:line="275"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required to accept then-prevailing market terms in connection with any required refinancing of such indebtedness or redemption obligations, which may be less favorable than existing terms;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43" w:name="page44"/>
    <w:bookmarkEnd w:id="43"/>
    <w:p>
      <w:pPr>
        <w:ind w:left="560" w:right="20" w:hanging="282"/>
        <w:spacing w:after="0" w:line="275"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financial flexibility could reduce our ability to plan for and react to unexpected opportunities; and</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45"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68"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5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4" w:name="page45"/>
    <w:bookmarkEnd w:id="44"/>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accounting losses and may incur additional losses in the future.</w:t>
      </w:r>
    </w:p>
    <w:p>
      <w:pPr>
        <w:spacing w:after="0" w:line="19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Prospectus/Offer to Exchange.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of our key management could adversely affect our business performance. Our management team has limited experience in operating a public company such as us.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COVID-19 pandemic and measures intended to reduce its spread have, and may continue to, adversely affect our business, results of operations and financial condition.</w:t>
      </w:r>
    </w:p>
    <w:p>
      <w:pPr>
        <w:spacing w:after="0" w:line="21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5" w:name="page46"/>
    <w:bookmarkEnd w:id="45"/>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56" w:lineRule="exact"/>
        <w:rPr>
          <w:sz w:val="20"/>
          <w:szCs w:val="20"/>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further delay in the adoption of natural gas vehicle fuels by heavy-duty trucks and/or a delay in increasing the use of our vehicle fuels;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depressed oil and diesel prices, especially relative to natural gas prices and for a prolonged period, which may decrease the price-related incentive for operators to adopt trucks that use our vehicle fuels.</w:t>
      </w:r>
    </w:p>
    <w:p>
      <w:pPr>
        <w:spacing w:after="0" w:line="14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Some relationships with our counterparties and suppliers may experience disruptions as a result of the Business Combination, which may limit our business.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OPAL Fuels’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5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connection with the preparation and audit of OPAL Fuels’ consolidated financial statements for each of the years ended December 31, 2021 and 2020, material weaknesses were identified in OPAL Fuels’ internal control over financial reporting. In addition, a material weakness in the internal controls over financial reporting of ArcLight was identified as of November 24, 2021.</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6" w:name="page47"/>
    <w:bookmarkEnd w:id="46"/>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With respect to OPAL Fuels, these material weaknesses identified were as follows:</w:t>
      </w:r>
    </w:p>
    <w:p>
      <w:pPr>
        <w:spacing w:after="0" w:line="194" w:lineRule="exact"/>
        <w:rPr>
          <w:sz w:val="20"/>
          <w:szCs w:val="20"/>
          <w:color w:val="auto"/>
        </w:rPr>
      </w:pPr>
    </w:p>
    <w:p>
      <w:pPr>
        <w:ind w:left="560" w:right="20" w:hanging="282"/>
        <w:spacing w:after="0" w:line="275"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an adequate control environment, including internal communications, to allow for timeliness of reviews for the accounting and disclosures of significant and unusual transactions and contracts;</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5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did not have timely and effective reviews over standard account reconciliations and related accounting analysis which resulted in various audit adjustments that we corrected;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controls over application of ASC-606 were not designed and implemented appropriately during the current year.</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4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7" w:name="page48"/>
    <w:bookmarkEnd w:id="47"/>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failure to timely and effectively implement controls and procedures required by Section 404(a) of the Sarbanes-Oxley Act could have a material adverse effect on its business.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Company</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4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4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48" w:name="page49"/>
    <w:bookmarkEnd w:id="48"/>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Until such time that such registration statement is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42"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As of the date of this Prospectus/Offer to Exchange,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November 11, 2022, the closing price of our Class A common stock was $8.90. Based on this closing price, the aggregate sales price of the Founder Shares would be approximately $69,233,776.</w:t>
      </w:r>
    </w:p>
    <w:p>
      <w:pPr>
        <w:spacing w:after="0" w:line="15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 or legal proceedings could expose us to significant liabilities and have a negative impact on our reputations or business.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9" w:name="page50"/>
    <w:bookmarkEnd w:id="49"/>
    <w:p>
      <w:pPr>
        <w:jc w:val="both"/>
        <w:ind w:firstLine="378"/>
        <w:spacing w:after="0" w:line="248" w:lineRule="auto"/>
        <w:rPr>
          <w:sz w:val="20"/>
          <w:szCs w:val="20"/>
          <w:color w:val="auto"/>
        </w:rPr>
      </w:pPr>
      <w:r>
        <w:rPr>
          <w:rFonts w:ascii="Times New Roman" w:cs="Times New Roman" w:eastAsia="Times New Roman" w:hAnsi="Times New Roman"/>
          <w:sz w:val="16"/>
          <w:szCs w:val="16"/>
          <w:color w:val="auto"/>
        </w:rPr>
        <w:t xml:space="preserve">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6"/>
          <w:szCs w:val="16"/>
          <w:i w:val="1"/>
          <w:iCs w:val="1"/>
          <w:color w:val="auto"/>
        </w:rPr>
        <w:t>Summary — Recent Developments</w:t>
      </w:r>
      <w:r>
        <w:rPr>
          <w:rFonts w:ascii="Times New Roman" w:cs="Times New Roman" w:eastAsia="Times New Roman" w:hAnsi="Times New Roman"/>
          <w:sz w:val="16"/>
          <w:szCs w:val="16"/>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16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6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0" w:name="page51"/>
    <w:bookmarkEnd w:id="50"/>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4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5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November 11,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51" w:name="page52"/>
    <w:bookmarkEnd w:id="51"/>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60"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5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2" w:name="page53"/>
    <w:bookmarkEnd w:id="52"/>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42"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42"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64"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53" w:name="page54"/>
    <w:bookmarkEnd w:id="53"/>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dual-class structure of our common stock may adversely affect the trading market for the shares of Class A common stock.</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4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be able to comply with the continued listing standards of Nasdaq.</w:t>
      </w:r>
    </w:p>
    <w:p>
      <w:pPr>
        <w:spacing w:after="0" w:line="198"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spacing w:after="0" w:line="146" w:lineRule="exact"/>
        <w:rPr>
          <w:sz w:val="20"/>
          <w:szCs w:val="20"/>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availability of market quotations for our securities;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the Class A common stock is a “penny stock” which will require brokers trading in the Class A common stock to adhere to more stringent rules;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reduction in the level of trading activity in the secondary trading market for shares of the Class A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analyst coverage;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42"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 are contained in the Organizational Documents that could delay or prevent a change of control.</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provisions, among other things:</w:t>
      </w:r>
    </w:p>
    <w:p>
      <w:pPr>
        <w:spacing w:after="0" w:line="194" w:lineRule="exact"/>
        <w:rPr>
          <w:sz w:val="20"/>
          <w:szCs w:val="20"/>
          <w:color w:val="auto"/>
        </w:rPr>
      </w:pPr>
    </w:p>
    <w:p>
      <w:pPr>
        <w:ind w:left="560" w:right="20" w:hanging="282"/>
        <w:spacing w:after="0" w:line="275"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stockholders to call special meetings of stockholders;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stockholders to fill vacancies on our board;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 to our board or for proposing matters that can be acted upon by stockholders at annual stockholder meetings;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55" w:name="page56"/>
    <w:bookmarkEnd w:id="55"/>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our board to establish the number of directors;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board is expressly authorized to make, alter or repeal the Bylaws;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jurisdictions in which certain stockholder litigation may be brought.</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“Description of Securities — Anti-Takeover Effects of Provisions of Delaware Law and the Organizational Documents.”</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6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$316.0 million to approximately $356.0 million depending on OPAL Fuels’ rate of recovery of the tax basis increases associated with the deemed exchange of the OPAL Fuels Common Units (other than those held by us). This estimated Tax Receivable Agreement lump-sum payment is calculated using a discount rate equal to 3.58%, applied against an undiscounted liability of approximately $433.0 million. If the Tax Receivable Agreement Participants were to exchange all of their OPAL Fuels Common Units, OPAL would recognize a deferred tax asset of approximately $508.0 million and a related liability for payments under the Tax Receivable Agreement of approximately $432.0 million, assuming (i) that the Tax Receivable Agreement Participants redeemed or exchanged all of their OPAL Fuels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6" w:name="page57"/>
    <w:bookmarkEnd w:id="56"/>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It is more likely than not that the deferred tax assets will not be realized in accordance with ASC Topic 740, ‘Income Taxes’.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56"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Warrants and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Warrants may have an adverse effect on the market price of our Class A common stock.</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the date of this Prospectus/Offer to Exchange, we have 6,223,233 outstanding public warrants to purchase 6,223,233 shares of our Class A common stock, exercisable at an exercise price of $11.50 per share, which expire on the earlier to occur of July 21, 2027 or redemption; and (ii) 9,223,261 outstanding private placement warrants to purchase 9,223,261 shares of our Class A common stock, exercisable at an exercise price of $11.50 per share, which expire on the earlier to occur of July 21, 2027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exercise of the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October 13, 2022, the closing price of our Class A common stock was $6.23 per share. There can be no assurance that all of our warrants will be in the money prior to their expiration. Further, our Sponsor and its permitted transferees have the option to exercise the private placement warrants on a cashless basis.</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The Warrant Amendment, if approved, will allow us to require that all outstanding warrants be exchanged for Class A common stock at a ratio 10% lower than the exchange ratio applicable to the Offer.</w:t>
      </w:r>
    </w:p>
    <w:p>
      <w:pPr>
        <w:spacing w:after="0" w:line="14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complete the Offer and Consent Solicitation and obtain the requisite approval of the Warrant Amendment by holders of the warrants, the Company will have the right to require holders of all warrants that remain outstanding upon the closing of the Offer to exchange each of their warrants for 0.225 shares of Class A common stock. This represents a ratio of shares of Class A common stock per warrant that is 10% less than the exchange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Pursuant to the terms of the Warrant Agreement, the consent of holders of at least 65% of each of (i) the outstanding public warrants and (ii) the outstanding private placement warrants is required to approve the Warrant Amendment. Therefore, one of the conditions to the adoption of the Warrant Amendment is the receipt of the consent of holders of at least 65% of each of (i) the outstanding public warrants and (ii) the outstanding private placement warrants. Pursuant to the Tender and Support Agreement, parties representing approximately 53.3% and 100% of the outstanding public warrants and outstanding private placement warrants, respectively, have agreed to tender their public warrants and private placement warrants (as applicable) in the Offer and to consent to the Warrant Amendment in the Consent Solicitation. Accordingly, if holders of an additional approximately 11.7% of our outstanding public warrants consent to the Warrant Amendment in the Consent Solicitation, and the other conditions described herein are satisfied or waived, then the Warrant Amendment will be adopted.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7" w:name="page58"/>
    <w:bookmarkEnd w:id="57"/>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the Warrant Amendment is adopted, we currently intend to require the exchange of all outstanding warrants for shares of Class A common stock as provided in the Warrant Amendment, which would result in the holders of any remaining outstanding warrants receiving approximately 10% fewer shares than if they had tendered their warrants in the Offer.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exchange of warrants for Class A common stock will increase the number of shares eligible for future resale and result in dilution to our stockholders.</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warrants may be exchanged for shares of Class A common stock pursuant to the Offer, which will increase the number of shares eligible for future resale in the public market and result in dilution to our stockholders,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Class A common stock. We also intend to require an exchange of all remaining outstanding warrants assuming the approval of the Warrant Amendment. To the extent such warrants are exchanged following the approval of the Warrant Amendment or exercised, additional shares of Class A common stock will be issued. These issuances of Class A common stock will result in dilution to our stockholders and increase the number of shares eligible for resale in the public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not obtained a third-party determination that the Offer or the Consent Solicitation is fair to warrant holders.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None of our board of directors, our officers or employees, our affiliates, the dealer manager, the exchange agent, or the information agent makes any recommendation as to whether you should exchange some or all of your warrants or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no guarantee that tendering your warrants in the Offer will put you in a better future economic position.</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can give no assurance as to the market price of our Class A common stock in the future. If you choose to tender some or all of your warrants in the Offer, future events may cause an increase in the market price of our Class A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shares of Class A common stock) in the future at a higher value than would have been obtained by participating in the Offer. In addition, if the Warrant Amendment is adopted, and you choose not to tender some or all of your warrants in the Offer, you may receive fewer shares than if you had tendered your warrants in the Offer. You should consult your own individual tax and/or financial advisor for assistance on how this may affect your individual situation.</w:t>
      </w:r>
    </w:p>
    <w:p>
      <w:pPr>
        <w:spacing w:after="0" w:line="16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5"/>
          <w:szCs w:val="15"/>
          <w:b w:val="1"/>
          <w:bCs w:val="1"/>
          <w:i w:val="1"/>
          <w:iCs w:val="1"/>
          <w:color w:val="auto"/>
        </w:rPr>
        <w:t>The number of shares of Class A common stock offered in the Offer is fixed. The market price of our Class A common stock may fluctuate, and the market price of our Class A common stock when we deliver our Class A common stock in exchange for your warrants could be less than the market price at the time you tender your warrants.</w:t>
      </w:r>
    </w:p>
    <w:p>
      <w:pPr>
        <w:spacing w:after="0" w:line="11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number of shares of Class A common stock offered in the Offer for each warrant accepted for exchange is fixed at the number of shares specified on the cover of this Prospectus/Offer to Exchange and will fluctuate in value if there is any increase or decrease in the market price of our Class A common stock or the warrants after the date of this Prospectus/Offer to Exchange. Therefore, the market price of our Class A common stock when we deliver Class A common stock in exchange for your warrants could be less than the market price of the warrants at the time you tender your warrants. The market price of our Class A common stock could continue to fluctuate and be subject to volatility during the period of time between when we accept warrants for exchange in the Offer and when we deliver Class A common stock in exchange for warrants, or during any extension of the Offer Period.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8" w:name="page59"/>
    <w:bookmarkEnd w:id="58"/>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amend the terms of the warrants in a manner that may be adverse to holders of the warrants with the approval of the holders of at least 65% of each of (i) the then-outstanding public warrants and (ii) the then-outstanding private placement warrants. As a result, the exercise price of your warrants could be increased, the exercise period could be shortened, and the number of shares of Class A common stock purchasable upon exercise of a warrant could be decreased, all without a warrant holder’s approval.</w:t>
      </w:r>
    </w:p>
    <w:p>
      <w:pPr>
        <w:spacing w:after="0" w:line="137" w:lineRule="exact"/>
        <w:rPr>
          <w:sz w:val="20"/>
          <w:szCs w:val="20"/>
          <w:color w:val="auto"/>
        </w:rPr>
      </w:pPr>
    </w:p>
    <w:p>
      <w:pPr>
        <w:jc w:val="both"/>
        <w:ind w:right="20" w:firstLine="283"/>
        <w:spacing w:after="0" w:line="270" w:lineRule="auto"/>
        <w:rPr>
          <w:sz w:val="20"/>
          <w:szCs w:val="20"/>
          <w:color w:val="auto"/>
        </w:rPr>
      </w:pPr>
      <w:r>
        <w:rPr>
          <w:rFonts w:ascii="Times New Roman" w:cs="Times New Roman" w:eastAsia="Times New Roman" w:hAnsi="Times New Roman"/>
          <w:sz w:val="15"/>
          <w:szCs w:val="15"/>
          <w:color w:val="auto"/>
        </w:rPr>
        <w:t>The warrants are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each of (i) the then-outstanding public warrants and (ii) the then-outstanding private placement warrants to make any change that adversely affects the interests of the registered holders of warrants. Accordingly, we may amend the terms of the warrants in a manner adverse to a holder if holders of at least 65% of each of the then-outstanding public warrants and private placement warrants approve of such amendment. Although our ability to amend the terms of the warrants with the consent of at least 65% of each of the then-outstanding public warrants and private placement warrants is unlimited, examples of such amendments could be amendments to, among other things, increase the exercise price of the warrants, exchange the warrants for cash or Class A common stock, shorten the exercise period, or decrease the number of shares of Class A common stock purchasable upon exercise of a warrant.</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Registration of the shares of our Class A common stock issuable upon exercise of the warrants under the Securities Act may not be in place when an investor desires to exercise warrants.</w:t>
      </w:r>
    </w:p>
    <w:p>
      <w:pPr>
        <w:spacing w:after="0" w:line="142"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terms of the Warrant Agreement, we are obligated to file and maintain an effective registration statement under the U.S. Securities Act of 1933, as amended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covering the issuance of shares of our Class A common stock issuable upon exercise of the warrants, and thereafter will use our commercially reasonable efforts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that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are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If and when the warrants become redeemable by us, we may exercise our redemption right even if we are unable to register or qualify the underlying shares of Class A common stock for sale under all applicable state securities 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redeem your unexpired warrants that are not exchanged prior to their exercise at a time that is disadvantageous to you, thereby making your warrants worthless.</w:t>
      </w:r>
    </w:p>
    <w:p>
      <w:pPr>
        <w:spacing w:after="0" w:line="198"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We will have the ability to redeem outstanding warrants (excluding any private placement warrants held by the Sponsor or their permitted transferees) at any time after they become exercisable and prior to their expiration, at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we send proper notice of such redemption, provided that on the date we give notice of redemption and during the entire period thereafter until the time it redeems the warrants, we have an effective registration statement under the Securities Act covering the shares of our Class A common stock issuable upon exercise of the warrants and a current prospectus relating to them is available. We will also have the ability to redeem outstanding warrants at any time after they become exercisable and prior to their expiration, at $0.10 per warrant, provided that (i) the last reported sales price of our Class A common stock equals or exceeds $10.00 per share (as adjusted for stock splits, stock dividends, reorganizations, recapitalizations, and the like) for any 20 trading days within a 30 trading-day period ending on the third trading day prior to the date we send proper notice of such redemption and (ii) if the last reported sales price of our Class A common stock is less than $18.00 per share (as adjusted for stock splits, stock dividends, reorganizations, recapitalizations, and the like), the private placement warrants are also concurrently called for redemption on the same terms as the outstanding public warrants. If and when the warrants that are not exchanged become redeemable by us, we may exercise our redemption right even if we are unable to register or qualify the underlying securities for sale under all applicable state securities laws. Redemption of the outstanding warrants could force a warrant holder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will be substantially less than the market value of your warrants.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The liquidity of the warrants that are not exchanged may be reduced</w:t>
      </w: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If the Warrant Amendment is approved, it is unlikely that any warrants will remain outstanding following the completion of the Offer and Consent Solicitation. See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Warrant Amendment, if approved, will allow us to require that all outstanding warrants be exchanged for Class A common stock at a ratio 10% lower than the exchange ratio applicable to the Offer</w:t>
      </w:r>
      <w:r>
        <w:rPr>
          <w:rFonts w:ascii="Times New Roman" w:cs="Times New Roman" w:eastAsia="Times New Roman" w:hAnsi="Times New Roman"/>
          <w:sz w:val="16"/>
          <w:szCs w:val="16"/>
          <w:color w:val="auto"/>
        </w:rPr>
        <w:t>.” However, if any unexchanged warrants remain outstanding, then the ability to sell such warrants may become more limited due to the reduction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number of warrants outstanding upon completion of the Offer and Consent Solicitation. Additionally, if we fail to satisfy the Nasdaq’s listing requirements as a result of the exchange, such as by having fewer than 300 round lot holders, then the market for unexchanged warrants will be further impaired. A more limited trading market might adversely affect the liquidity, market price, and price volatility of unexchanged warrants.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Nasdaq may delist our public warrants from trading on its exchange, which could limit public warrant holders’ ability to make transactions in our public warrants.</w:t>
      </w:r>
    </w:p>
    <w:p>
      <w:pPr>
        <w:spacing w:after="0" w:line="196"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If the Warrant Amendment is approved, it is unlikely that any warrants will remain outstanding following the completion of the Offer and Consent Solicitation. See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Warrant Amendment, if approved, will allow us to require that all outstanding warrants be exchanged for Class A common stock at a ratio 10% lower than the exchange ratio applicable to the Offer</w:t>
      </w:r>
      <w:r>
        <w:rPr>
          <w:rFonts w:ascii="Times New Roman" w:cs="Times New Roman" w:eastAsia="Times New Roman" w:hAnsi="Times New Roman"/>
          <w:sz w:val="16"/>
          <w:szCs w:val="16"/>
          <w:color w:val="auto"/>
        </w:rPr>
        <w:t>.” However, if any unexchanged warrants remain outstanding following the completion of the Offer and Consent Solicitation, we cannot assure you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warrants will continue to be listed on the Nasdaq in the future. In order to continue listing our warrants on the Nasdaq, there must be a minimum of at least two registered and active market makers for our warrants.</w:t>
      </w:r>
    </w:p>
    <w:p>
      <w:pPr>
        <w:spacing w:after="0" w:line="163"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a sufficient number of our warrant holders exchange their warrants for shares of Class A common stock in the Offer, there may no longer be at least two registered and active market makers for our warrants as required by the Nasdaq, and the Nasdaq could delist our warrants.</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If the Nasdaq delists our warrants from trading on its exchange and we are not able to list our securities on another national securities exchange, our warrants could be quoted on an over-the-counter market. However, even if this were to occur, holders of warrants could face significant material adverse consequences, including:</w:t>
      </w:r>
    </w:p>
    <w:p>
      <w:pPr>
        <w:spacing w:after="0" w:line="145" w:lineRule="exact"/>
        <w:rPr>
          <w:sz w:val="20"/>
          <w:szCs w:val="20"/>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the warrants;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for the warrants;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any market makers that do initially make a market in our unexchanged warrants eventually cease to do so.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THE OFFER AND CONSENT SOLICITATION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Participation in the Offer and Consent Solicitation involves a number of risks, including, but not limited to, the risks identified in the section entitled “Risk Factors.”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information and documents that have been included herein, before making a decision regarding the Offer and Consent Solicitation.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Terms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Until the Expiration Date, we are offering to holders of our warrants the opportunity to receive 0.250 shares of Class A common stock in exchange for each warrant they hold. Holders of the warrants tendered for exchange will not have to pay the exercise price for the tendered warrants in order to receive shares of Class A common stock pursuant to the Offer. Our obligation to complete the Offer is not conditioned on the receipt of a minimum number of tendered warrants.</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 less any applicable withholding taxes.</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part of the Offer, we are also soliciting from the holders of the warrants their consent to the Warrant Amendment, which, if approved, will permit the Company to require that all warrants outstanding upon completion of the Offer be exchanged for shares of Class A common stock at a ratio of 0.225 shares of Class A common stock per warrant, which is a ratio 10% less than the exchange ratio applicable to the Offer. The Warrant Amendment will permit us to eliminate all of the warrants that remain outstanding after the Offer is consummated. A copy of the Warrant Amendment is attached hereto as Annex A. We urge that you carefully read the Warrant Amendment in its entirety. Pursuant to the terms of the Warrant Agreement, the consent of holders of at least 65% of each of (i) the then-outstanding public warrants and (ii) the then-outstanding private placement warrants is required to approve the Warrant Amendment.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Holders who tender warrants for exchange in the Offer will automatically be deemed, without any further action, to have given their consent to approval of the Warrant Amendment (effective upon our acceptance of the tendered warrants). The consent to the Warrant Amendment is a part of the Letter of Transmittal and Consent relating to the warrants.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You cannot tender any warrants for exchange in the Offer without giving your consent to the Warrant Amendment. Thus, before deciding whether to tender any warrants, you should be aware that a tender of public warrants may result in the approval of the Warrant Amendment.</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Offer and Consent Solicitation is subject to the terms and conditions contained in this Prospectus/Offer to Exchange and the Letter of Transmittal and Consent.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 may tender some or all of your warrants into the Offer.</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you elect to tender warrants in the Offer and Consent Solicitation, please follow the instructions in this Prospectus/Offer to Exchange and the related documents, including the Letter of Transmittal and Consent.</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December 16, 2022 may thereafter be withdrawn by you until such time as the warrants are accepted by us for exchange.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One North Lexington Avenue, Suite 1450, White Plains, New York 10601, and our telephone number is (914) 705-4000. We maintain a website at </w:t>
      </w:r>
      <w:r>
        <w:rPr>
          <w:rFonts w:ascii="Times New Roman" w:cs="Times New Roman" w:eastAsia="Times New Roman" w:hAnsi="Times New Roman"/>
          <w:sz w:val="16"/>
          <w:szCs w:val="16"/>
          <w:i w:val="1"/>
          <w:iCs w:val="1"/>
          <w:color w:val="auto"/>
        </w:rPr>
        <w:t>www.opalfuels.com</w:t>
      </w:r>
      <w:r>
        <w:rPr>
          <w:rFonts w:ascii="Times New Roman" w:cs="Times New Roman" w:eastAsia="Times New Roman" w:hAnsi="Times New Roman"/>
          <w:sz w:val="16"/>
          <w:szCs w:val="16"/>
          <w:color w:val="auto"/>
        </w:rPr>
        <w:t xml:space="preserve"> where general information about us is available. The information contained on, or that may be accessed through, our website is not part of, and is not incorporated into, this Prospectus/Offer to Exchange or the registration statement of which it forms a part, and the inclusion of our website address in this Prospectus/Offer to Exchange is an inactive textual reference only.</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 “OPALW,”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Warrants Subject to the Offer</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warrants subject to the Offer were issued in connection with Arclight’s initial public offering. Each warrant entitles the holder to purchase one share of our Class A common stock at a price of $11.50 per share, subject to adjustment. The public warrants are quoted on the Nasdaq under the symbol “OPALW.” As of August 15, 2022, a total of 15,446,494 warrants were outstanding, consisting of 6,223,233 public warrants and 9,223,261 private placement warrants. Pursuant to the Offer, we are offering up to an aggregate of 3,861,623 shares of our Class A common stock in exchange for the public warrants and private placement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Offer Period</w:t>
      </w:r>
    </w:p>
    <w:p>
      <w:pPr>
        <w:spacing w:after="0" w:line="196"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The Offer and Consent Solicitation will expire on the Expiration Date, which is 11:59 p.m., Eastern Time, on December 16, 2022,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Time, on the next business day following the Expiration Date as in effect immediately prior to such extension.</w:t>
      </w:r>
    </w:p>
    <w:p>
      <w:pPr>
        <w:spacing w:after="0" w:line="15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We will announce our decision to withdraw the Offer and Consent Solicitation by disseminating notice by public announcement or otherwise as permitted by applicable law.</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At the expiration of the Offer Period, the current terms of the warrants will continue to apply to any unexchanged warrants, or the amended terms if the Warrant Amendment is approved, until the warrants expire on July 21, 2027, subject to certain terms and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Amendments to the Offer and Consent Solicitation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reserve the right, at any time or from time to time, to amend the Offer and Consent Solicitation, including by increasing or (if the conditions to the Offer are not satisfied) decreasing the exchange ratio of Class A common stock issued for every warrant exchanged or by changing the terms of the Warrant Amendment.</w:t>
      </w:r>
    </w:p>
    <w:p>
      <w:pPr>
        <w:spacing w:after="0" w:line="14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2" w:name="page63"/>
    <w:bookmarkEnd w:id="62"/>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we increase or decrease the exchange ratio of our Class A common stock issuable in exchange for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ten-business-day period.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material amendments to the Offer and Consent Solicitation may require us to extend the Offer and Consent Solicitation for a minimum of five business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Partial Exchange Permitted</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 less any applicable withholding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Conditions to the Offer and Consent Solicitation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Offer and Consent Solicitation are conditioned upon the following:</w:t>
      </w:r>
    </w:p>
    <w:p>
      <w:pPr>
        <w:spacing w:after="0" w:line="194" w:lineRule="exact"/>
        <w:rPr>
          <w:sz w:val="20"/>
          <w:szCs w:val="20"/>
          <w:color w:val="auto"/>
        </w:rPr>
      </w:pPr>
    </w:p>
    <w:p>
      <w:pPr>
        <w:ind w:left="560" w:right="20" w:hanging="282"/>
        <w:spacing w:after="0" w:line="275"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of which this Prospectus/Offer to Exchange forms a part, shall have become effective under the Securities Act, and shall not be the subject of any stop order or proceeding seeking a stop order;</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or the tender of some or all of the warrants pursuant to the Offer or otherwise relates in any manner to the Offer;</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53"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w:t>
      </w:r>
    </w:p>
    <w:p>
      <w:pPr>
        <w:spacing w:after="0" w:line="164" w:lineRule="exact"/>
        <w:rPr>
          <w:rFonts w:ascii="Times New Roman" w:cs="Times New Roman" w:eastAsia="Times New Roman" w:hAnsi="Times New Roman"/>
          <w:sz w:val="16"/>
          <w:szCs w:val="16"/>
          <w:color w:val="auto"/>
        </w:rPr>
      </w:pPr>
    </w:p>
    <w:p>
      <w:pPr>
        <w:jc w:val="both"/>
        <w:ind w:left="560" w:hanging="282"/>
        <w:spacing w:after="0" w:line="251"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occurred: (i) any general suspension of trading in securities in U.S. securities or financial markets; (ii) a declaration of a banking moratorium or any suspension of payments in respect to banks in the United States; (iii)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(iv) a natural disaster, a significant worsening of the ongoing COVID-19 pandemic, an outbreak of a pandemic or contagious disease other than COVID-19, or a commencement or significant worsening of a war or armed hostilities or other national or international calamity, including, but not limited to, catastrophic terrorist attacks against the United States or its citizens, which, in our reasonable judgment, is or may be materially adverse to us or otherwise makes it inadvisable for us to proceed with the Offer and Consent Solicitation.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3" w:name="page64"/>
    <w:bookmarkEnd w:id="63"/>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Consent Solicitation is conditioned on our receiving the consent of holders of at least 65% of each of (i) the then-outstanding public warrants and (ii) the then-outstanding private placement warrants to approve the Warrant Amendment (which is the minimum threshold required to amend the Warrant Agreement).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will not complete the Offer and Consent Solicitation unless and until the registration statement described above is effective.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 later than 9:00 a.m., Eastern Time, on the next business day following the Expiration Date as in effect immediately prior to such extension.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foregoing conditions are solely for our benefit, and we may assert one or more of the conditions, in whole or in part, prior to the Expiration Date.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 If any of the conditions described above are not satisfied prior to the Expiration Date, we will promptly disclose our decision whether or not to waive such condition and, if the condition is material, we may be required to extend the Offer Period.</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Recommendation; Warrant Holder’s Own Decision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None of our board of directors, our officers or employees, our affiliates, the dealer manager, the exchange agent, or the information agent is making any recommendations to any warrant holder as to whether to exchange their warrants and deliver their consent to the Warrant Amendment. Each warrant holder must make its own decision as to whether to tender warrants for exchange pursuant to the Offer and consent to the amendment of the Warrant Agreement pursuant to the Consent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Procedure for Tendering Warrants for Exchange and Consenting to the Warrant Amendment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Issuance of Class A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warrants will constitute a consent to the Warrant Amendment with respect to each warrant tendered.</w:t>
      </w:r>
    </w:p>
    <w:p>
      <w:pPr>
        <w:spacing w:after="0" w:line="164"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Amendment; (iii) the Offer is discretionary and may be extended, modified, suspended, or terminated by us as provided herein; (iv) such warrant holder is voluntarily participating in the Offer; (v) the future value of our warrants and Class A common stock is unknown and cannot be predicted with certainty; (vi) such warrant holder has read this Prospectus/Offer to Exchange, the Letter of Transmittal and Consent, and the Warrant Amendment; and (vii) regardless of any action that the Company takes with respect to any or all income/capital gains tax, social security or insurance, transfer tax, or other tax-related items (“</w:t>
      </w:r>
      <w:r>
        <w:rPr>
          <w:rFonts w:ascii="Times New Roman" w:cs="Times New Roman" w:eastAsia="Times New Roman" w:hAnsi="Times New Roman"/>
          <w:sz w:val="15"/>
          <w:szCs w:val="15"/>
          <w:i w:val="1"/>
          <w:iCs w:val="1"/>
          <w:color w:val="auto"/>
        </w:rPr>
        <w:t>Tax Items</w:t>
      </w:r>
      <w:r>
        <w:rPr>
          <w:rFonts w:ascii="Times New Roman" w:cs="Times New Roman" w:eastAsia="Times New Roman" w:hAnsi="Times New Roman"/>
          <w:sz w:val="15"/>
          <w:szCs w:val="15"/>
          <w:color w:val="auto"/>
        </w:rPr>
        <w:t>”) related to the Offer and the disposition of warrants, the ultimate liability for all Tax Items is and remains the responsibility solely of the holder, and in that regard, such holder will authorize the Company to withhold all applicable Tax Items legally payable by such holder.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i w:val="1"/>
          <w:iCs w:val="1"/>
          <w:color w:val="auto"/>
        </w:rPr>
        <w:t>Registered Holders of Warrants; Beneficial Owners of Warrants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For purposes of the tender procedures set forth below, the term “</w:t>
      </w:r>
      <w:r>
        <w:rPr>
          <w:rFonts w:ascii="Times New Roman" w:cs="Times New Roman" w:eastAsia="Times New Roman" w:hAnsi="Times New Roman"/>
          <w:sz w:val="16"/>
          <w:szCs w:val="16"/>
          <w:i w:val="1"/>
          <w:iCs w:val="1"/>
          <w:color w:val="auto"/>
        </w:rPr>
        <w:t>registered holder</w:t>
      </w:r>
      <w:r>
        <w:rPr>
          <w:rFonts w:ascii="Times New Roman" w:cs="Times New Roman" w:eastAsia="Times New Roman" w:hAnsi="Times New Roman"/>
          <w:sz w:val="16"/>
          <w:szCs w:val="16"/>
          <w:color w:val="auto"/>
        </w:rPr>
        <w:t>” means any person in whose name warrants are registered on our books or who is listed as a participant in a clearing agency’s security position listing with respect to the warrants.</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Persons whose warrants are held through a direct or indirect participant of The Depository Trust Company (“</w:t>
      </w:r>
      <w:r>
        <w:rPr>
          <w:rFonts w:ascii="Times New Roman" w:cs="Times New Roman" w:eastAsia="Times New Roman" w:hAnsi="Times New Roman"/>
          <w:sz w:val="16"/>
          <w:szCs w:val="16"/>
          <w:i w:val="1"/>
          <w:iCs w:val="1"/>
          <w:color w:val="auto"/>
        </w:rPr>
        <w:t>DTC</w:t>
      </w:r>
      <w:r>
        <w:rPr>
          <w:rFonts w:ascii="Times New Roman" w:cs="Times New Roman" w:eastAsia="Times New Roman" w:hAnsi="Times New Roman"/>
          <w:sz w:val="16"/>
          <w:szCs w:val="16"/>
          <w:color w:val="auto"/>
        </w:rPr>
        <w:t>”),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w:t>
      </w:r>
      <w:r>
        <w:rPr>
          <w:rFonts w:ascii="Times New Roman" w:cs="Times New Roman" w:eastAsia="Times New Roman" w:hAnsi="Times New Roman"/>
          <w:sz w:val="16"/>
          <w:szCs w:val="16"/>
          <w:i w:val="1"/>
          <w:iCs w:val="1"/>
          <w:color w:val="auto"/>
        </w:rPr>
        <w:t>—Required Communications by Beneficial Owners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Tendering Warrants Using Letter of Transmittal and Consent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 registered holder of warrants may tender their warrants for exchange using a Letter of Transmittal and Consent in the form provided by us with this Prospectus/Offer to Exchange. A Letter of Transmittal and Consent is to be used only if delivery of warrants is to be made by book-entry transfer to the exchange agent’s account at DTC pursuant to the procedures set forth in “</w:t>
      </w:r>
      <w:r>
        <w:rPr>
          <w:rFonts w:ascii="Times New Roman" w:cs="Times New Roman" w:eastAsia="Times New Roman" w:hAnsi="Times New Roman"/>
          <w:sz w:val="16"/>
          <w:szCs w:val="16"/>
          <w:i w:val="1"/>
          <w:iCs w:val="1"/>
          <w:color w:val="auto"/>
        </w:rPr>
        <w:t>—Tendering Warrants Using Book-Entry Transfer</w:t>
      </w:r>
      <w:r>
        <w:rPr>
          <w:rFonts w:ascii="Times New Roman" w:cs="Times New Roman" w:eastAsia="Times New Roman" w:hAnsi="Times New Roman"/>
          <w:sz w:val="16"/>
          <w:szCs w:val="16"/>
          <w:color w:val="auto"/>
        </w:rPr>
        <w:t>”; provided, however, that it is not necessary to execute and deliver a Letter of Transmittal and Consent if instructions with respect to the tender of such warrants are transmitted through DTC’s Automated Tender Offer Program (“</w:t>
      </w:r>
      <w:r>
        <w:rPr>
          <w:rFonts w:ascii="Times New Roman" w:cs="Times New Roman" w:eastAsia="Times New Roman" w:hAnsi="Times New Roman"/>
          <w:sz w:val="16"/>
          <w:szCs w:val="16"/>
          <w:i w:val="1"/>
          <w:iCs w:val="1"/>
          <w:color w:val="auto"/>
        </w:rPr>
        <w:t>ATOP</w:t>
      </w:r>
      <w:r>
        <w:rPr>
          <w:rFonts w:ascii="Times New Roman" w:cs="Times New Roman" w:eastAsia="Times New Roman" w:hAnsi="Times New Roman"/>
          <w:sz w:val="16"/>
          <w:szCs w:val="16"/>
          <w:color w:val="auto"/>
        </w:rPr>
        <w:t>”).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certain cases, all signatures on the Letter of Transmittal and Consent must be guaranteed by an Eligible Institution (as defined below). See “</w:t>
      </w:r>
      <w:r>
        <w:rPr>
          <w:rFonts w:ascii="Times New Roman" w:cs="Times New Roman" w:eastAsia="Times New Roman" w:hAnsi="Times New Roman"/>
          <w:sz w:val="16"/>
          <w:szCs w:val="16"/>
          <w:i w:val="1"/>
          <w:iCs w:val="1"/>
          <w:color w:val="auto"/>
        </w:rPr>
        <w:t>—Signature Guarantees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If the Letter of Transmittal and Consent is signed by someone other than the registered holder of the tendered warrants (for example, if the registered holder has assigned the warrants to a third-party), or if our shares of Class A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warrants duly tendered and delivered as described above shall be automatically cancelled upon the issuance of Class A common stock in exchange for such warrants as part of the completion of the Offer.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i w:val="1"/>
          <w:iCs w:val="1"/>
          <w:color w:val="auto"/>
        </w:rPr>
        <w:t>Signature Guarantees</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In certain cases, all signatures on the Letter of Transmittal and Consent must be guaranteed by an “</w:t>
      </w:r>
      <w:r>
        <w:rPr>
          <w:rFonts w:ascii="Times New Roman" w:cs="Times New Roman" w:eastAsia="Times New Roman" w:hAnsi="Times New Roman"/>
          <w:sz w:val="16"/>
          <w:szCs w:val="16"/>
          <w:i w:val="1"/>
          <w:iCs w:val="1"/>
          <w:color w:val="auto"/>
        </w:rPr>
        <w:t>Eligible Institution</w:t>
      </w:r>
      <w:r>
        <w:rPr>
          <w:rFonts w:ascii="Times New Roman" w:cs="Times New Roman" w:eastAsia="Times New Roman" w:hAnsi="Times New Roman"/>
          <w:sz w:val="16"/>
          <w:szCs w:val="16"/>
          <w:color w:val="auto"/>
        </w:rPr>
        <w:t>.” An “</w:t>
      </w:r>
      <w:r>
        <w:rPr>
          <w:rFonts w:ascii="Times New Roman" w:cs="Times New Roman" w:eastAsia="Times New Roman" w:hAnsi="Times New Roman"/>
          <w:sz w:val="16"/>
          <w:szCs w:val="16"/>
          <w:i w:val="1"/>
          <w:iCs w:val="1"/>
          <w:color w:val="auto"/>
        </w:rPr>
        <w:t>Eligible Institution</w:t>
      </w:r>
      <w:r>
        <w:rPr>
          <w:rFonts w:ascii="Times New Roman" w:cs="Times New Roman" w:eastAsia="Times New Roman" w:hAnsi="Times New Roman"/>
          <w:sz w:val="16"/>
          <w:szCs w:val="16"/>
          <w:color w:val="auto"/>
        </w:rPr>
        <w:t>” is a bank, broker dealer, credit union, savings association, or other entity that is a member in good standing of the Securities Transfer Agents Medallion Program or a bank, broker, dealer, credit union, savings association, or other entity that is an “</w:t>
      </w:r>
      <w:r>
        <w:rPr>
          <w:rFonts w:ascii="Times New Roman" w:cs="Times New Roman" w:eastAsia="Times New Roman" w:hAnsi="Times New Roman"/>
          <w:sz w:val="16"/>
          <w:szCs w:val="16"/>
          <w:i w:val="1"/>
          <w:iCs w:val="1"/>
          <w:color w:val="auto"/>
        </w:rPr>
        <w:t>eligible guarantor institution</w:t>
      </w:r>
      <w:r>
        <w:rPr>
          <w:rFonts w:ascii="Times New Roman" w:cs="Times New Roman" w:eastAsia="Times New Roman" w:hAnsi="Times New Roman"/>
          <w:sz w:val="16"/>
          <w:szCs w:val="16"/>
          <w:color w:val="auto"/>
        </w:rPr>
        <w:t>,” as that term is defined in Rule 17Ad-15 promulgated under the Exchange Act.</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w:t>
      </w:r>
      <w:r>
        <w:rPr>
          <w:rFonts w:ascii="Times New Roman" w:cs="Times New Roman" w:eastAsia="Times New Roman" w:hAnsi="Times New Roman"/>
          <w:sz w:val="16"/>
          <w:szCs w:val="16"/>
          <w:i w:val="1"/>
          <w:iCs w:val="1"/>
          <w:color w:val="auto"/>
        </w:rPr>
        <w:t>Special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Issuance Instructions</w:t>
      </w:r>
      <w:r>
        <w:rPr>
          <w:rFonts w:ascii="Times New Roman" w:cs="Times New Roman" w:eastAsia="Times New Roman" w:hAnsi="Times New Roman"/>
          <w:sz w:val="16"/>
          <w:szCs w:val="16"/>
          <w:color w:val="auto"/>
        </w:rPr>
        <w:t>” in the Letter of Transmittal and Consent, or (ii) such warrants are tendered for the account of an Eligible Institution. In all other cases, an Eligible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Institution must guarantee all signatures on the Letter of Transmittal and Consent by completing and signing the table in the Letter of Transmittal and Consent entitled “</w:t>
      </w:r>
      <w:r>
        <w:rPr>
          <w:rFonts w:ascii="Times New Roman" w:cs="Times New Roman" w:eastAsia="Times New Roman" w:hAnsi="Times New Roman"/>
          <w:sz w:val="16"/>
          <w:szCs w:val="16"/>
          <w:i w:val="1"/>
          <w:iCs w:val="1"/>
          <w:color w:val="auto"/>
        </w:rPr>
        <w:t>Guarantee of Signature(s)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Communications by Beneficial Owners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Persons whose warrants are held through a direct or indirect DTC participant, such as a broker, dealer, commercial bank, trust company, or other financial intermediary, are not considered registered holders of those warrants, but are “</w:t>
      </w: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 and must instruct the broker, dealer, commercial bank, trust company, or other financial intermediary to tender warrants on their behalf. Your broker, dealer, commercial bank, trust company, or other financial intermediary should have provided you with an “</w:t>
      </w:r>
      <w:r>
        <w:rPr>
          <w:rFonts w:ascii="Times New Roman" w:cs="Times New Roman" w:eastAsia="Times New Roman" w:hAnsi="Times New Roman"/>
          <w:sz w:val="16"/>
          <w:szCs w:val="16"/>
          <w:i w:val="1"/>
          <w:iCs w:val="1"/>
          <w:color w:val="auto"/>
        </w:rPr>
        <w:t>Instructions Form</w:t>
      </w:r>
      <w:r>
        <w:rPr>
          <w:rFonts w:ascii="Times New Roman" w:cs="Times New Roman" w:eastAsia="Times New Roman" w:hAnsi="Times New Roman"/>
          <w:sz w:val="16"/>
          <w:szCs w:val="16"/>
          <w:color w:val="auto"/>
        </w:rPr>
        <w:t>” with this Prospectus/Offer to Exchange. The Instructions Form is also filed as an exhibit to the registration statement of which this Prospectus/Offer to Exchange forms a part. The Instructions Form may be used by you to instruct your broker or other custodian to tender and deliver warrants on your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Tendering Warrants Using Book-Entry Transfer</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w:t>
      </w:r>
      <w:r>
        <w:rPr>
          <w:rFonts w:ascii="Times New Roman" w:cs="Times New Roman" w:eastAsia="Times New Roman" w:hAnsi="Times New Roman"/>
          <w:sz w:val="16"/>
          <w:szCs w:val="16"/>
          <w:i w:val="1"/>
          <w:iCs w:val="1"/>
          <w:color w:val="auto"/>
        </w:rPr>
        <w:t>—Guaranteed Delivery Procedures</w:t>
      </w:r>
      <w:r>
        <w:rPr>
          <w:rFonts w:ascii="Times New Roman" w:cs="Times New Roman" w:eastAsia="Times New Roman" w:hAnsi="Times New Roman"/>
          <w:sz w:val="16"/>
          <w:szCs w:val="16"/>
          <w:color w:val="auto"/>
        </w:rPr>
        <w:t>” must be followed.</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to the exchange agent for acceptance. Delivery of the Agent’s Message by DTC will satisfy the terms of the Offer and Consent Solicitation as to execution and delivery of a Letter of Transmittal and Consent by the DTC participant identified in the Agent’s Message. The term “</w:t>
      </w:r>
      <w:r>
        <w:rPr>
          <w:rFonts w:ascii="Times New Roman" w:cs="Times New Roman" w:eastAsia="Times New Roman" w:hAnsi="Times New Roman"/>
          <w:sz w:val="16"/>
          <w:szCs w:val="16"/>
          <w:i w:val="1"/>
          <w:iCs w:val="1"/>
          <w:color w:val="auto"/>
        </w:rPr>
        <w:t>Agent’s Message</w:t>
      </w:r>
      <w:r>
        <w:rPr>
          <w:rFonts w:ascii="Times New Roman" w:cs="Times New Roman" w:eastAsia="Times New Roman" w:hAnsi="Times New Roman"/>
          <w:sz w:val="16"/>
          <w:szCs w:val="16"/>
          <w:color w:val="auto"/>
        </w:rPr>
        <w:t>”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we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6" w:name="page67"/>
    <w:bookmarkEnd w:id="66"/>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Any warrants duly tendered and delivered as described above shall be automatically cancelled upon the issuance of Class A common stock in exchange for such warrants as part of the completion of the Offer.</w:t>
      </w:r>
    </w:p>
    <w:p>
      <w:pPr>
        <w:spacing w:after="0" w:line="143"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6"/>
          <w:szCs w:val="16"/>
          <w:color w:val="auto"/>
        </w:rPr>
        <w:t>Delivery of a Letter of Transmittal and Consent or any other required documentation to DTC does not constitute delivery to the exchange agent. See “</w:t>
      </w:r>
      <w:r>
        <w:rPr>
          <w:rFonts w:ascii="Times New Roman" w:cs="Times New Roman" w:eastAsia="Times New Roman" w:hAnsi="Times New Roman"/>
          <w:sz w:val="16"/>
          <w:szCs w:val="16"/>
          <w:i w:val="1"/>
          <w:iCs w:val="1"/>
          <w:color w:val="auto"/>
        </w:rPr>
        <w:t>—Timing and Manner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Deliveries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Guaranteed Delivery Procedures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If a registered holder of warrants desires to tender its warrants for exchange pursuant to the Offer, but (i) the procedure for book-entry transfer cannot be completed on a timely basis or (ii) time will not permit all required documents to reach the exchange agent prior to the Expiration Date, the holder can still tender its warrants if all the following conditions are met:</w:t>
      </w:r>
    </w:p>
    <w:p>
      <w:pPr>
        <w:spacing w:after="0" w:line="156" w:lineRule="exact"/>
        <w:rPr>
          <w:sz w:val="20"/>
          <w:szCs w:val="20"/>
          <w:color w:val="auto"/>
        </w:rPr>
      </w:pPr>
    </w:p>
    <w:p>
      <w:pPr>
        <w:ind w:left="560" w:hanging="282"/>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tender is made by or through an Eligible Institution;</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310" w:lineRule="auto"/>
        <w:tabs>
          <w:tab w:leader="none" w:pos="5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agent receives by hand, mail, overnight courier, facsimile, or electronic mail transmission, prior to the Expiration Date, a properly completed and duly executed Notice of Guaranteed Delivery in the form we have provided with this Prospectus/Offer to Exchange, with signatures guaranteed by an Eligible Institution; and</w:t>
      </w:r>
    </w:p>
    <w:p>
      <w:pPr>
        <w:spacing w:after="0" w:line="121" w:lineRule="exact"/>
        <w:rPr>
          <w:rFonts w:ascii="Times New Roman" w:cs="Times New Roman" w:eastAsia="Times New Roman" w:hAnsi="Times New Roman"/>
          <w:sz w:val="15"/>
          <w:szCs w:val="15"/>
          <w:color w:val="auto"/>
        </w:rPr>
      </w:pPr>
    </w:p>
    <w:p>
      <w:pPr>
        <w:jc w:val="both"/>
        <w:ind w:left="560" w:hanging="282"/>
        <w:spacing w:after="0" w:line="256" w:lineRule="auto"/>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the Nasdaq is open for trading after the date the exchange agent receives such Notice of Guaranteed Delivery.</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 any case where the guaranteed delivery procedure is utilized for the tender of warrants pursuant to the Offer, the issuance of Class A common stock for those warrants tendered for exchange pursuant to the Offer and accepted pursuant to the Offer will be made only if the exchange agent has timely received the applicable foregoing items.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Timing and Manner of Deliveries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5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Determination of Validity</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i w:val="1"/>
          <w:iCs w:val="1"/>
          <w:color w:val="auto"/>
        </w:rPr>
        <w:t>Fees and Commissions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Transfer Taxes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Class A common stock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Withdrawal Rights</w:t>
      </w:r>
    </w:p>
    <w:p>
      <w:pPr>
        <w:spacing w:after="0" w:line="196"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warrants. A valid withdrawal of tendered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by October 12, 2022 may thereafter be withdrawn by you until such time as the warrants are accepted by us for exchange.</w:t>
      </w:r>
    </w:p>
    <w:p>
      <w:pPr>
        <w:spacing w:after="0" w:line="165"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this section entitled “</w:t>
      </w:r>
      <w:r>
        <w:rPr>
          <w:rFonts w:ascii="Times New Roman" w:cs="Times New Roman" w:eastAsia="Times New Roman" w:hAnsi="Times New Roman"/>
          <w:sz w:val="15"/>
          <w:szCs w:val="15"/>
          <w:i w:val="1"/>
          <w:iCs w:val="1"/>
          <w:color w:val="auto"/>
        </w:rPr>
        <w:t>—Procedure for Tendering Warrants for Exchange</w:t>
      </w:r>
      <w:r>
        <w:rPr>
          <w:rFonts w:ascii="Times New Roman" w:cs="Times New Roman" w:eastAsia="Times New Roman" w:hAnsi="Times New Roman"/>
          <w:sz w:val="15"/>
          <w:szCs w:val="15"/>
          <w:color w:val="auto"/>
        </w:rPr>
        <w:t>” at any time prior to the Expiration Date.</w:t>
      </w:r>
    </w:p>
    <w:p>
      <w:pPr>
        <w:spacing w:after="0" w:line="15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w:t>
      </w:r>
      <w:r>
        <w:rPr>
          <w:rFonts w:ascii="Times New Roman" w:cs="Times New Roman" w:eastAsia="Times New Roman" w:hAnsi="Times New Roman"/>
          <w:sz w:val="16"/>
          <w:szCs w:val="16"/>
          <w:i w:val="1"/>
          <w:iCs w:val="1"/>
          <w:color w:val="auto"/>
        </w:rPr>
        <w:t>PTOP</w:t>
      </w:r>
      <w:r>
        <w:rPr>
          <w:rFonts w:ascii="Times New Roman" w:cs="Times New Roman" w:eastAsia="Times New Roman" w:hAnsi="Times New Roman"/>
          <w:sz w:val="16"/>
          <w:szCs w:val="16"/>
          <w:color w:val="auto"/>
        </w:rPr>
        <w:t>”)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68" w:name="page69"/>
    <w:bookmarkEnd w:id="68"/>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 xml:space="preserve">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 </w:t>
      </w:r>
      <w:r>
        <w:rPr>
          <w:rFonts w:ascii="Times New Roman" w:cs="Times New Roman" w:eastAsia="Times New Roman" w:hAnsi="Times New Roman"/>
          <w:sz w:val="16"/>
          <w:szCs w:val="16"/>
          <w:i w:val="1"/>
          <w:iCs w:val="1"/>
          <w:color w:val="auto"/>
        </w:rPr>
        <w:t>Procedure for Tendering Warrants for Exchange—Signature Guarantees</w:t>
      </w:r>
      <w:r>
        <w:rPr>
          <w:rFonts w:ascii="Times New Roman" w:cs="Times New Roman" w:eastAsia="Times New Roman" w:hAnsi="Times New Roman"/>
          <w:sz w:val="16"/>
          <w:szCs w:val="16"/>
          <w:color w:val="auto"/>
        </w:rPr>
        <w:t>”; provided, however, that signatures on the notice of withdrawal need not be guaranteed if the warrants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Acceptance for Issuance of Shares</w:t>
      </w:r>
    </w:p>
    <w:p>
      <w:pPr>
        <w:spacing w:after="0" w:line="196" w:lineRule="exact"/>
        <w:rPr>
          <w:sz w:val="20"/>
          <w:szCs w:val="20"/>
          <w:color w:val="auto"/>
        </w:rPr>
      </w:pPr>
    </w:p>
    <w:p>
      <w:pPr>
        <w:jc w:val="both"/>
        <w:ind w:left="5" w:firstLine="283"/>
        <w:spacing w:after="0" w:line="269" w:lineRule="auto"/>
        <w:rPr>
          <w:sz w:val="20"/>
          <w:szCs w:val="20"/>
          <w:color w:val="auto"/>
        </w:rPr>
      </w:pPr>
      <w:r>
        <w:rPr>
          <w:rFonts w:ascii="Times New Roman" w:cs="Times New Roman" w:eastAsia="Times New Roman" w:hAnsi="Times New Roman"/>
          <w:sz w:val="15"/>
          <w:szCs w:val="15"/>
          <w:color w:val="auto"/>
        </w:rPr>
        <w:t>Upon the terms and subject to the conditions of the Offer and Consent Solicitation, we will accept for exchange warrants validly tendered until the Expiration Date, which is 11:59 p.m., Eastern Time, on December 16, 2022, or such later time and date to which we may extend. Our Class A common stock to be issued upon exchange of warrants pursuant to the Offer, along with written notice from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w:t>
      </w:r>
    </w:p>
    <w:p>
      <w:pPr>
        <w:ind w:left="5" w:right="20" w:hanging="5"/>
        <w:spacing w:after="0" w:line="253" w:lineRule="auto"/>
        <w:tabs>
          <w:tab w:leader="none" w:pos="23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properly completed and duly executed Letter of Transmittal and Consent, or compliance with ATOP where applicable, (iii) any other documentation required by the Letter of Transmittal and Consent, and (iv) any required signature guarantees.</w:t>
      </w:r>
    </w:p>
    <w:p>
      <w:pPr>
        <w:spacing w:after="0" w:line="16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Announcement of Results of the Offer and Consent Solicitation</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will file with the SEC in connection with the Offer and Consent Solicitation.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Background and Purpose of the Offer and Consent Solicitation</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Our board of directors approved the Offer and Consent Solicitation on November 1, 2022. The purpose of the Offer and Consent Solicitation is to attempt to simplify our capital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Class A common stock in exchange for such warrants pursuant to the Offer.</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Agreements, Regulatory Requirements, and Legal Proceedings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Except for the Warrant Agreement and the Tender and Support Agreement,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69" w:name="page70"/>
    <w:bookmarkEnd w:id="69"/>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Pursuant to the Tender and Support Agreement, parties representing approximately 53.3% of the outstanding public warrants and 100% of the outstanding private placement warrants have agreed to tender their public warrants and private placement warrants (as applicable) in the Offer and to consent to the Warrant Amendment in the Consent Solicitation. Accordingly, if holders of an additional approximately 11.7% of our outstanding public warrants consent to the Warrant Amendment in the Consent Solicitation, and the other conditions described herein are satisfied or waived, then the Warrant Amendment will be adopted.</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are no pending legal proceedings relating to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Interests of Directors, Executive Officers, and Others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do not beneficially own any of the outstanding warrants. Certain of our directors may be deemed to beneficially own private placement warrants as outlined in the table below. ArcLight CTC Holdings II, L.P. (“Sponsor”) has agreed, pursuant to the Tender and Support Agreement, to tender such warrants pursuant to the Offer. Sponsor will not receive any benefit by virtue of participation in the Offer or Consent Solicitation that is not shared on a pro rata basis with holders of the outstanding warrants exchanged pursuant to the Offer. None of our other directors, executive officers, or controlling persons or any of their respective affiliates are required to or have indicated that they will participate in the Offer.</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lists the warrants beneficially owned by our directors, executive officers, and controlling persons and any of their respective affiliates as of November 16,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Private</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Placement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Placement</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Public 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Public Warrants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Warrants</w:t>
            </w:r>
          </w:p>
        </w:tc>
      </w:tr>
      <w:tr>
        <w:trPr>
          <w:trHeight w:val="189"/>
        </w:trPr>
        <w:tc>
          <w:tcPr>
            <w:tcW w:w="3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11"/>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40" w:type="dxa"/>
            <w:vAlign w:val="bottom"/>
            <w:tcBorders>
              <w:bottom w:val="single" w:sz="8" w:color="CCEEFF"/>
            </w:tcBorders>
          </w:tcPr>
          <w:p>
            <w:pPr>
              <w:spacing w:after="0"/>
              <w:rPr>
                <w:sz w:val="18"/>
                <w:szCs w:val="18"/>
                <w:color w:val="auto"/>
              </w:rPr>
            </w:pPr>
          </w:p>
        </w:tc>
      </w:tr>
      <w:tr>
        <w:trPr>
          <w:trHeight w:val="18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ArcLight CTC Holdings II, L.P.</w:t>
            </w:r>
          </w:p>
        </w:tc>
        <w:tc>
          <w:tcPr>
            <w:tcW w:w="2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7,238,025</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78.48%</w:t>
            </w:r>
          </w:p>
        </w:tc>
      </w:tr>
      <w:tr>
        <w:trPr>
          <w:trHeight w:val="571"/>
        </w:trPr>
        <w:tc>
          <w:tcPr>
            <w:tcW w:w="37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70" w:name="page71"/>
    <w:bookmarkEnd w:id="7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w:t>
      </w:r>
    </w:p>
    <w:p>
      <w:pPr>
        <w:jc w:val="both"/>
        <w:ind w:left="5" w:hanging="5"/>
        <w:spacing w:after="0" w:line="248" w:lineRule="auto"/>
        <w:tabs>
          <w:tab w:leader="none" w:pos="2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RNG as pipeline quality natural gas. OPAL also designs, develops, constructs, operates and services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Overview of Capture and Conversion Business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LFG to energy industry for over 20 years. We have established our operating portfolio through self-development, partnerships, and acquisitions.</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60" w:lineRule="exact"/>
        <w:rPr>
          <w:sz w:val="20"/>
          <w:szCs w:val="20"/>
          <w:color w:val="auto"/>
        </w:rPr>
      </w:pP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1" w:lineRule="exact"/>
        <w:rPr>
          <w:sz w:val="20"/>
          <w:szCs w:val="20"/>
          <w:color w:val="auto"/>
        </w:rPr>
      </w:pPr>
    </w:p>
    <w:p>
      <w:pPr>
        <w:jc w:val="both"/>
        <w:ind w:left="5" w:hanging="5"/>
        <w:spacing w:after="0" w:line="247" w:lineRule="auto"/>
        <w:tabs>
          <w:tab w:leader="none" w:pos="23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LCFS Programs established by several states, including California. We also sell Renewable Power to public utilities through long-term power purchase agreements.</w:t>
      </w:r>
    </w:p>
    <w:p>
      <w:pPr>
        <w:spacing w:after="0" w:line="170"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Our current Biogas Conversion Projects generate RNG from landfill sites and dairy farms. We view the acquisition of new LFG,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We differentiate ourself from our competitors based on our vertically integrated business model and long history of working with leading vendors, technologies and utilities.</w:t>
      </w:r>
    </w:p>
    <w:p>
      <w:pPr>
        <w:spacing w:after="0" w:line="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competitive advantage is further strengthened by our expertise in designing, developing, constructing and operating Biogas Conversion Projects and Fueling Stations.</w:t>
      </w:r>
    </w:p>
    <w:p>
      <w:pPr>
        <w:spacing w:after="0" w:line="36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71" w:name="page72"/>
    <w:bookmarkEnd w:id="71"/>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Dispensing and Monetization Business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20.8 million gasoline gallon equivalents (“GGEs”) of RNG to the transportation market, generating corresponding Environmental Attributes, utilizing our current network of 75 Fueling Stations in 18 states in the United States, including more than 20 stations in California.</w:t>
      </w:r>
    </w:p>
    <w:p>
      <w:pPr>
        <w:spacing w:after="0" w:line="16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6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6"/>
          <w:szCs w:val="16"/>
          <w:i w:val="1"/>
          <w:iCs w:val="1"/>
          <w:color w:val="auto"/>
        </w:rPr>
        <w:t>Shortfall Amount</w:t>
      </w:r>
      <w:r>
        <w:rPr>
          <w:rFonts w:ascii="Times New Roman" w:cs="Times New Roman" w:eastAsia="Times New Roman" w:hAnsi="Times New Roman"/>
          <w:sz w:val="16"/>
          <w:szCs w:val="16"/>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Prospectus/Offer to Exchange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6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Generate Revenue</w:t>
      </w:r>
    </w:p>
    <w:p>
      <w:pPr>
        <w:spacing w:after="0" w:line="192"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Overview</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revenues are driven principally from the sale of Environmental Attributes that are generated from dispensing RNG as transportation fuel for heavy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72" w:name="page73"/>
    <w:bookmarkEnd w:id="72"/>
    <w:p>
      <w:pPr>
        <w:jc w:val="both"/>
        <w:ind w:right="20"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Environmental Attributes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Currently, our Environmental Attributes revenue stream is primarily comprised of RINs, LCFS credits, and RECs. If RNG is dispensed into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6"/>
          <w:szCs w:val="16"/>
          <w:i w:val="1"/>
          <w:iCs w:val="1"/>
          <w:color w:val="auto"/>
        </w:rPr>
        <w:t>—Biogas RNG Market Opportunity.</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Power Purchase Agreements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Renewable Power projects generally have associated long-term Power Purchase Agreements (“</w:t>
      </w:r>
      <w:r>
        <w:rPr>
          <w:rFonts w:ascii="Times New Roman" w:cs="Times New Roman" w:eastAsia="Times New Roman" w:hAnsi="Times New Roman"/>
          <w:sz w:val="16"/>
          <w:szCs w:val="16"/>
          <w:i w:val="1"/>
          <w:iCs w:val="1"/>
          <w:color w:val="auto"/>
        </w:rPr>
        <w:t>PPAs</w:t>
      </w:r>
      <w:r>
        <w:rPr>
          <w:rFonts w:ascii="Times New Roman" w:cs="Times New Roman" w:eastAsia="Times New Roman" w:hAnsi="Times New Roman"/>
          <w:sz w:val="16"/>
          <w:szCs w:val="16"/>
          <w:color w:val="auto"/>
        </w:rPr>
        <w:t>”) with 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6"/>
          <w:szCs w:val="16"/>
          <w:i w:val="1"/>
          <w:iCs w:val="1"/>
          <w:color w:val="auto"/>
        </w:rPr>
        <w:t>RECs</w:t>
      </w:r>
      <w:r>
        <w:rPr>
          <w:rFonts w:ascii="Times New Roman" w:cs="Times New Roman" w:eastAsia="Times New Roman" w:hAnsi="Times New Roman"/>
          <w:sz w:val="16"/>
          <w:szCs w:val="16"/>
          <w:color w:val="auto"/>
        </w:rPr>
        <w:t>”) from Renewable Power projects through the conversion of biogas to Renewable Power.</w:t>
      </w:r>
    </w:p>
    <w:p>
      <w:pPr>
        <w:spacing w:after="0" w:line="15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Fueling Station Construction and Services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have significant experience in the engineering, design, construction and operation of Fueling Stations that dispense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Biogas Conversion Projects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Typically, a Biogas Conversion Project includes two phases: (i) biogas collection and (ii) processing and purifying biogas.</w:t>
      </w:r>
    </w:p>
    <w:p>
      <w:pPr>
        <w:spacing w:after="0" w:line="19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64" w:lineRule="exact"/>
        <w:rPr>
          <w:sz w:val="20"/>
          <w:szCs w:val="20"/>
          <w:color w:val="auto"/>
        </w:rPr>
      </w:pPr>
    </w:p>
    <w:p>
      <w:pPr>
        <w:jc w:val="both"/>
        <w:ind w:firstLine="283"/>
        <w:spacing w:after="0" w:line="229" w:lineRule="auto"/>
        <w:rPr>
          <w:sz w:val="20"/>
          <w:szCs w:val="20"/>
          <w:color w:val="auto"/>
        </w:rPr>
      </w:pPr>
      <w:r>
        <w:rPr>
          <w:rFonts w:ascii="Times New Roman" w:cs="Times New Roman" w:eastAsia="Times New Roman" w:hAnsi="Times New Roman"/>
          <w:sz w:val="16"/>
          <w:szCs w:val="16"/>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LFG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from the methane molecules. Further treatment of the biogas is often required to remove residual nitrogen and/or oxygen to meet pipeline specifications.</w:t>
      </w:r>
    </w:p>
    <w:p>
      <w:pPr>
        <w:spacing w:after="0" w:line="17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73" w:name="page74"/>
    <w:bookmarkEnd w:id="73"/>
    <w:p>
      <w:pPr>
        <w:ind w:left="280"/>
        <w:spacing w:after="0"/>
        <w:rPr>
          <w:sz w:val="20"/>
          <w:szCs w:val="20"/>
          <w:color w:val="auto"/>
        </w:rPr>
      </w:pPr>
      <w:r>
        <w:rPr>
          <w:rFonts w:ascii="Times New Roman" w:cs="Times New Roman" w:eastAsia="Times New Roman" w:hAnsi="Times New Roman"/>
          <w:sz w:val="16"/>
          <w:szCs w:val="16"/>
          <w:color w:val="auto"/>
        </w:rPr>
        <w:t>If a biogas capture and conversion project is not within close proximity to a pipeline, the RNG is transported by road using tube trailers to a gas injection point.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Biogas RNG Market Opportunity</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LFG Sources</w:t>
      </w:r>
    </w:p>
    <w:p>
      <w:pPr>
        <w:spacing w:after="0" w:line="19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LFG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RNG projects currently in operation or under construction (a total of 13 projects), all but one relates to landfills that are currently open and accepting more waste, which we believe provides a high degree of visibility into the long-term volumes of RNG capable of being generated as each of these projects.</w:t>
      </w:r>
    </w:p>
    <w:p>
      <w:pPr>
        <w:spacing w:after="0" w:line="160" w:lineRule="exact"/>
        <w:rPr>
          <w:sz w:val="20"/>
          <w:szCs w:val="20"/>
          <w:color w:val="auto"/>
        </w:rPr>
      </w:pPr>
    </w:p>
    <w:p>
      <w:pPr>
        <w:jc w:val="both"/>
        <w:ind w:firstLine="283"/>
        <w:spacing w:after="0" w:line="229" w:lineRule="auto"/>
        <w:rPr>
          <w:sz w:val="20"/>
          <w:szCs w:val="20"/>
          <w:color w:val="auto"/>
        </w:rPr>
      </w:pPr>
      <w:r>
        <w:rPr>
          <w:rFonts w:ascii="Times New Roman" w:cs="Times New Roman" w:eastAsia="Times New Roman" w:hAnsi="Times New Roman"/>
          <w:sz w:val="16"/>
          <w:szCs w:val="16"/>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Overview of Livestock Sources</w:t>
      </w:r>
    </w:p>
    <w:p>
      <w:pPr>
        <w:spacing w:after="0" w:line="198"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4" w:name="page75"/>
    <w:bookmarkEnd w:id="74"/>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view dairy farms as a significant opportunity for us to expand our RNG business. Processing biogas from dairy farms requires similar expertise and capabilities as processing biogas from landfills.</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Highly Fragmented Market</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LFG market is heavily fragmented, which we believe represents an opportunity for companies like us to find project opportunities. This market dynamic creates the opportunity for consolidation by well capitalized, experienced market participants such as OPAL. While LFG has accounted for most of the growth in Biogas Conversion Projects to date, based on our industry experience, technical knowledge and analysis we believe additional economically viable LFG project opportunities exist.</w:t>
      </w:r>
    </w:p>
    <w:p>
      <w:pPr>
        <w:spacing w:after="0" w:line="15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Biogas from livestock farm waste also represents a significant opportunity for RNG production that remains largely untapped.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Well-Established Regulatory Framework</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5" w:name="page76"/>
    <w:bookmarkEnd w:id="75"/>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LCFS programs are state-level market-based programs designed to decrease carbon intensity and GHG emissions from the transportation sector. Currently, California and Oregon have established LCFS programs. The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Landfill RNG projects can attract LCFS credits as well but are not as valuable as the lower CI dairy RNG credits.</w:t>
      </w:r>
    </w:p>
    <w:p>
      <w:pPr>
        <w:spacing w:after="0" w:line="16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Although it is likely utilities and other consumers will compete with the vehicle fuel market to acquire the growing level of RNG production in the United States,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Economic Benefits Incentivize Switching to RNG</w:t>
      </w:r>
    </w:p>
    <w:p>
      <w:pPr>
        <w:spacing w:after="0" w:line="198"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Our Projects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Projects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RNG projects in our portfolio as of November 18,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9"/>
        </w:trPr>
        <w:tc>
          <w:tcPr>
            <w:tcW w:w="74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Design</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74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(MMBtus</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Source of</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OPAL</w:t>
            </w:r>
          </w:p>
        </w:tc>
      </w:tr>
      <w:tr>
        <w:trPr>
          <w:trHeight w:val="240"/>
        </w:trPr>
        <w:tc>
          <w:tcPr>
            <w:tcW w:w="7440" w:type="dxa"/>
            <w:vAlign w:val="bottom"/>
          </w:tcPr>
          <w:p>
            <w:pPr>
              <w:spacing w:after="0"/>
              <w:rPr>
                <w:sz w:val="20"/>
                <w:szCs w:val="20"/>
                <w:color w:val="auto"/>
              </w:rPr>
            </w:pPr>
          </w:p>
        </w:tc>
        <w:tc>
          <w:tcPr>
            <w:tcW w:w="1120" w:type="dxa"/>
            <w:vAlign w:val="bottom"/>
          </w:tcPr>
          <w:p>
            <w:pPr>
              <w:jc w:val="center"/>
              <w:spacing w:after="0" w:line="236" w:lineRule="exact"/>
              <w:rPr>
                <w:sz w:val="20"/>
                <w:szCs w:val="20"/>
                <w:color w:val="auto"/>
              </w:rPr>
            </w:pPr>
            <w:r>
              <w:rPr>
                <w:rFonts w:ascii="Times New Roman" w:cs="Times New Roman" w:eastAsia="Times New Roman" w:hAnsi="Times New Roman"/>
                <w:sz w:val="16"/>
                <w:szCs w:val="16"/>
                <w:b w:val="1"/>
                <w:bCs w:val="1"/>
                <w:color w:val="auto"/>
                <w:w w:val="91"/>
              </w:rPr>
              <w:t>Per Year)</w:t>
            </w:r>
            <w:r>
              <w:rPr>
                <w:rFonts w:ascii="Times New Roman" w:cs="Times New Roman" w:eastAsia="Times New Roman" w:hAnsi="Times New Roman"/>
                <w:sz w:val="26"/>
                <w:szCs w:val="26"/>
                <w:b w:val="1"/>
                <w:bCs w:val="1"/>
                <w:color w:val="auto"/>
                <w:w w:val="91"/>
                <w:vertAlign w:val="superscript"/>
              </w:rPr>
              <w:t>(1)</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Biogas</w:t>
            </w:r>
          </w:p>
        </w:tc>
        <w:tc>
          <w:tcPr>
            <w:tcW w:w="1260" w:type="dxa"/>
            <w:vAlign w:val="bottom"/>
            <w:gridSpan w:val="2"/>
          </w:tcPr>
          <w:p>
            <w:pPr>
              <w:jc w:val="right"/>
              <w:ind w:right="160"/>
              <w:spacing w:after="0" w:line="236" w:lineRule="exact"/>
              <w:rPr>
                <w:sz w:val="20"/>
                <w:szCs w:val="20"/>
                <w:color w:val="auto"/>
              </w:rPr>
            </w:pPr>
            <w:r>
              <w:rPr>
                <w:rFonts w:ascii="Times New Roman" w:cs="Times New Roman" w:eastAsia="Times New Roman" w:hAnsi="Times New Roman"/>
                <w:sz w:val="16"/>
                <w:szCs w:val="16"/>
                <w:b w:val="1"/>
                <w:bCs w:val="1"/>
                <w:color w:val="auto"/>
                <w:w w:val="93"/>
              </w:rPr>
              <w:t>Ownership %</w:t>
            </w:r>
            <w:r>
              <w:rPr>
                <w:rFonts w:ascii="Times New Roman" w:cs="Times New Roman" w:eastAsia="Times New Roman" w:hAnsi="Times New Roman"/>
                <w:sz w:val="26"/>
                <w:szCs w:val="26"/>
                <w:b w:val="1"/>
                <w:bCs w:val="1"/>
                <w:color w:val="auto"/>
                <w:w w:val="93"/>
                <w:vertAlign w:val="superscript"/>
              </w:rPr>
              <w:t>(2)</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RNG Projects in Operation</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Greentree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Imperial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Noble Road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Sunoma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19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4,175,000</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89"/>
        </w:trPr>
        <w:tc>
          <w:tcPr>
            <w:tcW w:w="7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RNG Projects In Construction</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BioTown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Hilltop</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Vander Schaaf</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Dairy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Emerald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Sapphire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2"/>
              </w:rPr>
              <w:t>LFG</w:t>
            </w: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6,125,000</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76" w:name="page77"/>
    <w:bookmarkEnd w:id="76"/>
    <w:tbl>
      <w:tblPr>
        <w:tblLayout w:type="fixed"/>
        <w:tblInd w:w="5" w:type="dxa"/>
        <w:tblCellMar>
          <w:top w:w="0" w:type="dxa"/>
          <w:left w:w="0" w:type="dxa"/>
          <w:bottom w:w="0" w:type="dxa"/>
          <w:right w:w="0" w:type="dxa"/>
        </w:tblCellMar>
      </w:tblP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 Projects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78"/>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9"/>
        </w:trPr>
        <w:tc>
          <w:tcPr>
            <w:tcW w:w="7440" w:type="dxa"/>
            <w:vAlign w:val="bottom"/>
          </w:tcPr>
          <w:p>
            <w:pPr>
              <w:spacing w:after="0"/>
              <w:rPr>
                <w:sz w:val="24"/>
                <w:szCs w:val="24"/>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Nameplate</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4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Capacity</w:t>
            </w:r>
          </w:p>
        </w:tc>
        <w:tc>
          <w:tcPr>
            <w:tcW w:w="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Stage of</w:t>
            </w:r>
          </w:p>
        </w:tc>
      </w:tr>
      <w:tr>
        <w:trPr>
          <w:trHeight w:val="189"/>
        </w:trPr>
        <w:tc>
          <w:tcPr>
            <w:tcW w:w="744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(MW Per</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Conversion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RNG</w:t>
            </w:r>
          </w:p>
        </w:tc>
      </w:tr>
      <w:tr>
        <w:trPr>
          <w:trHeight w:val="240"/>
        </w:trPr>
        <w:tc>
          <w:tcPr>
            <w:tcW w:w="7440" w:type="dxa"/>
            <w:vAlign w:val="bottom"/>
          </w:tcPr>
          <w:p>
            <w:pPr>
              <w:spacing w:after="0"/>
              <w:rPr>
                <w:sz w:val="20"/>
                <w:szCs w:val="20"/>
                <w:color w:val="auto"/>
              </w:rPr>
            </w:pPr>
          </w:p>
        </w:tc>
        <w:tc>
          <w:tcPr>
            <w:tcW w:w="1160" w:type="dxa"/>
            <w:vAlign w:val="bottom"/>
            <w:gridSpan w:val="2"/>
          </w:tcPr>
          <w:p>
            <w:pPr>
              <w:jc w:val="center"/>
              <w:ind w:right="40"/>
              <w:spacing w:after="0" w:line="236" w:lineRule="exact"/>
              <w:rPr>
                <w:sz w:val="20"/>
                <w:szCs w:val="20"/>
                <w:color w:val="auto"/>
              </w:rPr>
            </w:pPr>
            <w:r>
              <w:rPr>
                <w:rFonts w:ascii="Times New Roman" w:cs="Times New Roman" w:eastAsia="Times New Roman" w:hAnsi="Times New Roman"/>
                <w:sz w:val="16"/>
                <w:szCs w:val="16"/>
                <w:b w:val="1"/>
                <w:bCs w:val="1"/>
                <w:color w:val="auto"/>
                <w:w w:val="90"/>
              </w:rPr>
              <w:t>Hour)</w:t>
            </w:r>
            <w:r>
              <w:rPr>
                <w:rFonts w:ascii="Times New Roman" w:cs="Times New Roman" w:eastAsia="Times New Roman" w:hAnsi="Times New Roman"/>
                <w:sz w:val="26"/>
                <w:szCs w:val="26"/>
                <w:b w:val="1"/>
                <w:bCs w:val="1"/>
                <w:color w:val="auto"/>
                <w:w w:val="90"/>
                <w:vertAlign w:val="superscript"/>
              </w:rPr>
              <w:t>(1)</w:t>
            </w:r>
          </w:p>
        </w:tc>
        <w:tc>
          <w:tcPr>
            <w:tcW w:w="8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Candidate?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18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4"/>
        </w:trPr>
        <w:tc>
          <w:tcPr>
            <w:tcW w:w="744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Michigan 1E</w:t>
            </w:r>
            <w:r>
              <w:rPr>
                <w:rFonts w:ascii="Times New Roman" w:cs="Times New Roman" w:eastAsia="Times New Roman" w:hAnsi="Times New Roman"/>
                <w:sz w:val="26"/>
                <w:szCs w:val="26"/>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4"/>
        </w:trPr>
        <w:tc>
          <w:tcPr>
            <w:tcW w:w="744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Prince William 1E</w:t>
            </w:r>
            <w:r>
              <w:rPr>
                <w:rFonts w:ascii="Times New Roman" w:cs="Times New Roman" w:eastAsia="Times New Roman" w:hAnsi="Times New Roman"/>
                <w:sz w:val="26"/>
                <w:szCs w:val="26"/>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4"/>
        </w:trPr>
        <w:tc>
          <w:tcPr>
            <w:tcW w:w="744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Prince William 2E</w:t>
            </w:r>
            <w:r>
              <w:rPr>
                <w:rFonts w:ascii="Times New Roman" w:cs="Times New Roman" w:eastAsia="Times New Roman" w:hAnsi="Times New Roman"/>
                <w:sz w:val="26"/>
                <w:szCs w:val="26"/>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1"/>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 - Richmond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00"/>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123.9</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43" w:lineRule="exact"/>
        <w:rPr>
          <w:rFonts w:ascii="Times New Roman" w:cs="Times New Roman" w:eastAsia="Times New Roman" w:hAnsi="Times New Roman"/>
          <w:sz w:val="16"/>
          <w:szCs w:val="16"/>
          <w:color w:val="auto"/>
        </w:rPr>
      </w:pPr>
    </w:p>
    <w:p>
      <w:pPr>
        <w:ind w:left="285" w:right="20"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Emerald</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Michigan 1E renewable power plant will continue limited operations on a stand-by, emergency basis through March of 2031.</w:t>
      </w:r>
    </w:p>
    <w:p>
      <w:pPr>
        <w:spacing w:after="0" w:line="140" w:lineRule="exact"/>
        <w:rPr>
          <w:rFonts w:ascii="Times New Roman" w:cs="Times New Roman" w:eastAsia="Times New Roman" w:hAnsi="Times New Roman"/>
          <w:sz w:val="16"/>
          <w:szCs w:val="16"/>
          <w:color w:val="auto"/>
        </w:rPr>
      </w:pPr>
    </w:p>
    <w:p>
      <w:pPr>
        <w:ind w:left="285"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Prince William</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Prince William 1E renewable power plant will continue operations through approximately December 2022</w:t>
      </w:r>
    </w:p>
    <w:p>
      <w:pPr>
        <w:spacing w:after="0" w:line="140" w:lineRule="exact"/>
        <w:rPr>
          <w:rFonts w:ascii="Times New Roman" w:cs="Times New Roman" w:eastAsia="Times New Roman" w:hAnsi="Times New Roman"/>
          <w:sz w:val="16"/>
          <w:szCs w:val="16"/>
          <w:color w:val="auto"/>
        </w:rPr>
      </w:pPr>
    </w:p>
    <w:p>
      <w:pPr>
        <w:ind w:left="285" w:hanging="285"/>
        <w:spacing w:after="0" w:line="278" w:lineRule="auto"/>
        <w:tabs>
          <w:tab w:leader="none" w:pos="28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w:t>
      </w:r>
      <w:r>
        <w:rPr>
          <w:rFonts w:ascii="Times New Roman" w:cs="Times New Roman" w:eastAsia="Times New Roman" w:hAnsi="Times New Roman"/>
          <w:sz w:val="16"/>
          <w:szCs w:val="16"/>
          <w:i w:val="1"/>
          <w:iCs w:val="1"/>
          <w:color w:val="auto"/>
        </w:rPr>
        <w:t>Prince William</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RNG Projects In Construction</w:t>
      </w:r>
      <w:r>
        <w:rPr>
          <w:rFonts w:ascii="Times New Roman" w:cs="Times New Roman" w:eastAsia="Times New Roman" w:hAnsi="Times New Roman"/>
          <w:sz w:val="16"/>
          <w:szCs w:val="16"/>
          <w:color w:val="auto"/>
        </w:rPr>
        <w:t>.” It is currently contemplated that the Prince William 2E renewable power plant will continue operations through approximately December 2022</w:t>
      </w:r>
    </w:p>
    <w:p>
      <w:pPr>
        <w:spacing w:after="0" w:line="3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1" w:right="319" w:bottom="1440" w:gutter="0" w:footer="0" w:header="0"/>
        </w:sectPr>
      </w:pPr>
    </w:p>
    <w:bookmarkStart w:id="77" w:name="page78"/>
    <w:bookmarkEnd w:id="77"/>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For purposes of determining whether a Renewable Power project should be considered an RNG conversion candidate, we use various criteria, including (i) the quantity and quality of LFG,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Other RNG Projects in Development</w:t>
      </w:r>
    </w:p>
    <w:p>
      <w:pPr>
        <w:spacing w:after="0" w:line="19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 addition to the projects listed in the tables above, we are actively performing development work on seven potential projects (“</w:t>
      </w:r>
      <w:r>
        <w:rPr>
          <w:rFonts w:ascii="Times New Roman" w:cs="Times New Roman" w:eastAsia="Times New Roman" w:hAnsi="Times New Roman"/>
          <w:sz w:val="16"/>
          <w:szCs w:val="16"/>
          <w:i w:val="1"/>
          <w:iCs w:val="1"/>
          <w:color w:val="auto"/>
        </w:rPr>
        <w:t>RNG Projects in Development</w:t>
      </w:r>
      <w:r>
        <w:rPr>
          <w:rFonts w:ascii="Times New Roman" w:cs="Times New Roman" w:eastAsia="Times New Roman" w:hAnsi="Times New Roman"/>
          <w:sz w:val="16"/>
          <w:szCs w:val="16"/>
          <w:color w:val="auto"/>
        </w:rPr>
        <w:t>”). We have identified key milestones (“</w:t>
      </w:r>
      <w:r>
        <w:rPr>
          <w:rFonts w:ascii="Times New Roman" w:cs="Times New Roman" w:eastAsia="Times New Roman" w:hAnsi="Times New Roman"/>
          <w:sz w:val="16"/>
          <w:szCs w:val="16"/>
          <w:i w:val="1"/>
          <w:iCs w:val="1"/>
          <w:color w:val="auto"/>
        </w:rPr>
        <w:t>Key Milestones</w:t>
      </w:r>
      <w:r>
        <w:rPr>
          <w:rFonts w:ascii="Times New Roman" w:cs="Times New Roman" w:eastAsia="Times New Roman" w:hAnsi="Times New Roman"/>
          <w:sz w:val="16"/>
          <w:szCs w:val="16"/>
          <w:color w:val="auto"/>
        </w:rPr>
        <w:t>”) that these RNG Projects in Development must achieve prior to moving into 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6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Dispensing and Monetization Business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present, we believe the best use of RNG is as a replacement for fossil-based fuel in the heavy and medium-duty transportation sector. During 2021, we dispensed 20.8 million GGEs of RNG to the transportation market, generating corresponding Environmental Attributes, utilizing our current network of 75 Fueling Stations in 18 states in the United States, including more than 20 stations in California.</w:t>
      </w:r>
    </w:p>
    <w:p>
      <w:pPr>
        <w:spacing w:after="0" w:line="156"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In the coming years, we believe we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Vertical Integration of Business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60"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78" w:name="page79"/>
    <w:bookmarkEnd w:id="78"/>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Management and Project Expertise</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6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Access to Development Opportunities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Large and Diverse Project Portfolio</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79" w:name="page80"/>
    <w:bookmarkEnd w:id="79"/>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EHS and Compliance</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Capture and Conversion Business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aim to maintain and grow our position as a leading producer and dispenser of RNG in the United States. We support this objective through a multi-pronged strategy of:</w:t>
      </w:r>
    </w:p>
    <w:p>
      <w:pPr>
        <w:spacing w:after="0" w:line="194" w:lineRule="exact"/>
        <w:rPr>
          <w:sz w:val="20"/>
          <w:szCs w:val="20"/>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promoting the reduction of methane emissions and expanding the use of renewable fuels to displace fossil-based fuels;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industry position as a full-service partner for development opportunities, including through strategic transactions;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capabilities to new feedstock sources and technologies.</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Promoting the Reduction of Methane Emissions and Expanding the Use of Renewable Fuels to Displace Fossil-Based Fuels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80" w:name="page81"/>
    <w:bookmarkEnd w:id="80"/>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6"/>
          <w:szCs w:val="16"/>
          <w:i w:val="1"/>
          <w:iCs w:val="1"/>
          <w:color w:val="auto"/>
        </w:rPr>
        <w:t>BOD</w:t>
      </w:r>
      <w:r>
        <w:rPr>
          <w:rFonts w:ascii="Times New Roman" w:cs="Times New Roman" w:eastAsia="Times New Roman" w:hAnsi="Times New Roman"/>
          <w:sz w:val="16"/>
          <w:szCs w:val="16"/>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7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5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Expanding Our Industry Position as a Full-Service Partner for Development Opportunities, Including Through Strategic Transactions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Throughout its over 20 years of biogas conversion experience, we have developed the full range of biogas conversion project related capabilities from LFG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Expanding Our Capabilities to New Feedstock Sources and Technologies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1" w:name="page82"/>
    <w:bookmarkEnd w:id="81"/>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Dispensing and Monetization Business</w:t>
      </w:r>
    </w:p>
    <w:p>
      <w:pPr>
        <w:spacing w:after="0" w:line="198"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We aim to maintain and increase its position as a leading provider of RNG to the heavy and medium-duty commercial vehicle market in the United States. We support this objective through a multi-pronged strategy of:</w:t>
      </w:r>
    </w:p>
    <w:p>
      <w:pPr>
        <w:spacing w:after="0" w:line="145" w:lineRule="exact"/>
        <w:rPr>
          <w:sz w:val="20"/>
          <w:szCs w:val="20"/>
          <w:color w:val="auto"/>
        </w:rPr>
      </w:pPr>
    </w:p>
    <w:p>
      <w:pPr>
        <w:ind w:left="560" w:hanging="282"/>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promoting the reduction of GHG emissions and expanding the use of renewable fuels to displace fossil-based fuels;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empowering our customers to achieve their sustainability and carbon reduction objectives.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Promoting the Reduction of GHG Emissions and Expanding the Use of Renewable Fuels to Displace Fossil-Based Fuels.</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Empowering Our Customers to Achieve their Sustainability and Carbon Reduction Objectives.</w:t>
      </w:r>
    </w:p>
    <w:p>
      <w:pPr>
        <w:spacing w:after="0" w:line="198" w:lineRule="exact"/>
        <w:rPr>
          <w:sz w:val="20"/>
          <w:szCs w:val="20"/>
          <w:color w:val="auto"/>
        </w:rPr>
      </w:pPr>
    </w:p>
    <w:p>
      <w:pPr>
        <w:jc w:val="both"/>
        <w:ind w:right="20" w:firstLine="283"/>
        <w:spacing w:after="0" w:line="250" w:lineRule="auto"/>
        <w:rPr>
          <w:sz w:val="20"/>
          <w:szCs w:val="20"/>
          <w:color w:val="auto"/>
        </w:rPr>
      </w:pPr>
      <w:r>
        <w:rPr>
          <w:rFonts w:ascii="Times New Roman" w:cs="Times New Roman" w:eastAsia="Times New Roman" w:hAnsi="Times New Roman"/>
          <w:sz w:val="16"/>
          <w:szCs w:val="16"/>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6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There are a number of other companies operating in the renewable energy and waste-to-energy space, ranging from other project developers to service or equipment providers.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82" w:name="page83"/>
    <w:bookmarkEnd w:id="82"/>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65"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Governmental Regulation</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5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Our RNG projects are subject to federal RFS program regulations, including the Energy Policy Act of 2005 (the “</w:t>
      </w:r>
      <w:r>
        <w:rPr>
          <w:rFonts w:ascii="Times New Roman" w:cs="Times New Roman" w:eastAsia="Times New Roman" w:hAnsi="Times New Roman"/>
          <w:sz w:val="16"/>
          <w:szCs w:val="16"/>
          <w:i w:val="1"/>
          <w:iCs w:val="1"/>
          <w:color w:val="auto"/>
        </w:rPr>
        <w:t>EPACT 2005</w:t>
      </w:r>
      <w:r>
        <w:rPr>
          <w:rFonts w:ascii="Times New Roman" w:cs="Times New Roman" w:eastAsia="Times New Roman" w:hAnsi="Times New Roman"/>
          <w:sz w:val="16"/>
          <w:szCs w:val="16"/>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3" w:name="page84"/>
    <w:bookmarkEnd w:id="83"/>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62"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EPA under the Clean Air Act (the “</w:t>
      </w:r>
      <w:r>
        <w:rPr>
          <w:rFonts w:ascii="Times New Roman" w:cs="Times New Roman" w:eastAsia="Times New Roman" w:hAnsi="Times New Roman"/>
          <w:sz w:val="16"/>
          <w:szCs w:val="16"/>
          <w:i w:val="1"/>
          <w:iCs w:val="1"/>
          <w:color w:val="auto"/>
        </w:rPr>
        <w:t>CAA</w:t>
      </w:r>
      <w:r>
        <w:rPr>
          <w:rFonts w:ascii="Times New Roman" w:cs="Times New Roman" w:eastAsia="Times New Roman" w:hAnsi="Times New Roman"/>
          <w:sz w:val="16"/>
          <w:szCs w:val="16"/>
          <w:color w:val="auto"/>
        </w:rPr>
        <w:t>”) regulates emissions of pollutants to protect the environment and public health and contains provisions for New Source Review (the “</w:t>
      </w:r>
      <w:r>
        <w:rPr>
          <w:rFonts w:ascii="Times New Roman" w:cs="Times New Roman" w:eastAsia="Times New Roman" w:hAnsi="Times New Roman"/>
          <w:sz w:val="16"/>
          <w:szCs w:val="16"/>
          <w:i w:val="1"/>
          <w:iCs w:val="1"/>
          <w:color w:val="auto"/>
        </w:rPr>
        <w:t>NSR</w:t>
      </w:r>
      <w:r>
        <w:rPr>
          <w:rFonts w:ascii="Times New Roman" w:cs="Times New Roman" w:eastAsia="Times New Roman" w:hAnsi="Times New Roman"/>
          <w:sz w:val="16"/>
          <w:szCs w:val="16"/>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6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5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Before an RNG project can be developed, all the Resource Conservation and Recovery (the “</w:t>
      </w:r>
      <w:r>
        <w:rPr>
          <w:rFonts w:ascii="Times New Roman" w:cs="Times New Roman" w:eastAsia="Times New Roman" w:hAnsi="Times New Roman"/>
          <w:sz w:val="16"/>
          <w:szCs w:val="16"/>
          <w:i w:val="1"/>
          <w:iCs w:val="1"/>
          <w:color w:val="auto"/>
        </w:rPr>
        <w:t>RCRA</w:t>
      </w:r>
      <w:r>
        <w:rPr>
          <w:rFonts w:ascii="Times New Roman" w:cs="Times New Roman" w:eastAsia="Times New Roman" w:hAnsi="Times New Roman"/>
          <w:sz w:val="16"/>
          <w:szCs w:val="16"/>
          <w:color w:val="auto"/>
        </w:rPr>
        <w:t>”)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59"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4" w:name="page85"/>
    <w:bookmarkEnd w:id="84"/>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FERC</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Qualifying Facilities</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State Utility Regulation</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85" w:name="page86"/>
    <w:bookmarkEnd w:id="85"/>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Production and Sale</w:t>
      </w:r>
    </w:p>
    <w:p>
      <w:pPr>
        <w:spacing w:after="0" w:line="198"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Future Regulations</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Effect of Existing or Probable Government Regulations on Our Business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6"/>
          <w:szCs w:val="16"/>
          <w:i w:val="1"/>
          <w:iCs w:val="1"/>
          <w:color w:val="auto"/>
        </w:rPr>
        <w:t>Business—Legal Proceedings.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 and Geographic Information</w:t>
      </w:r>
    </w:p>
    <w:p>
      <w:pPr>
        <w:spacing w:after="0" w:line="196"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For information regarding revenues and other information regarding our results of operations for each of the last two fiscal years by financial reporting segment, please refer to the financial statements included in this Prospectus/Offer to Exchange and “</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6"/>
          <w:szCs w:val="16"/>
          <w:i w:val="1"/>
          <w:iCs w:val="1"/>
          <w:color w:val="auto"/>
        </w:rPr>
        <w:t>Certain Relationships and Related Party Transactions—Administrative Services Agreement.</w:t>
      </w:r>
      <w:r>
        <w:rPr>
          <w:rFonts w:ascii="Times New Roman" w:cs="Times New Roman" w:eastAsia="Times New Roman" w:hAnsi="Times New Roman"/>
          <w:sz w:val="16"/>
          <w:szCs w:val="16"/>
          <w:color w:val="auto"/>
        </w:rPr>
        <w:t>” We believe this office space is adequate for our needs for the immediate future and that, should it be necessary, we can lease additional space to accommodate any future growth.</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86" w:name="page87"/>
    <w:bookmarkEnd w:id="86"/>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construction office and maintenance facility is located in Rancho Cucamonga, California, where we occupy approximately 29,935 square feet of combined office space, maintenance shop and loading dock. On March 4, 2022, we exercised an option and extended the lease on this facility for an additional 36 months such that our lease expires on January 31, 2026. We have an option to further extend the lease for an additional term of 36 months under the amended lease. We believe the space that we currently lease is adequate for our needs for the immediate future but we will likely seek additional space during the course of 2023 to accommodate future growth, which we believe will be available to us on satisfactory terms</w:t>
      </w:r>
    </w:p>
    <w:p>
      <w:pPr>
        <w:spacing w:after="0" w:line="162"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As of November 18, 2022, we owned and operated 24 projects, six of which are RNG projects and 18 of which are Renewable Power projects. See “</w:t>
      </w:r>
      <w:r>
        <w:rPr>
          <w:rFonts w:ascii="Times New Roman" w:cs="Times New Roman" w:eastAsia="Times New Roman" w:hAnsi="Times New Roman"/>
          <w:sz w:val="16"/>
          <w:szCs w:val="16"/>
          <w:i w:val="1"/>
          <w:iCs w:val="1"/>
          <w:color w:val="auto"/>
        </w:rPr>
        <w:t>— Our Projects</w:t>
      </w:r>
      <w:r>
        <w:rPr>
          <w:rFonts w:ascii="Times New Roman" w:cs="Times New Roman" w:eastAsia="Times New Roman" w:hAnsi="Times New Roman"/>
          <w:sz w:val="16"/>
          <w:szCs w:val="16"/>
          <w:color w:val="auto"/>
        </w:rPr>
        <w:t>” for further summary of our projects.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had approximately 311 employees, including two part-time employees and one employee located in Canada. None of our employees are subject to a collective bargaining agreement and we believe we have a good relationship with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for purposes of this section, and other related events as described in Note 1 to the accompanying Notes to the unaudited pro forma condensed combined financial information:</w:t>
      </w:r>
    </w:p>
    <w:p>
      <w:pPr>
        <w:spacing w:after="0" w:line="160" w:lineRule="exact"/>
        <w:rPr>
          <w:sz w:val="20"/>
          <w:szCs w:val="20"/>
          <w:color w:val="auto"/>
        </w:rPr>
      </w:pPr>
    </w:p>
    <w:p>
      <w:pPr>
        <w:ind w:left="560" w:hanging="282"/>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Beacon RNG LLC (“</w:t>
      </w:r>
      <w:r>
        <w:rPr>
          <w:rFonts w:ascii="Times New Roman" w:cs="Times New Roman" w:eastAsia="Times New Roman" w:hAnsi="Times New Roman"/>
          <w:sz w:val="16"/>
          <w:szCs w:val="16"/>
          <w:b w:val="1"/>
          <w:bCs w:val="1"/>
          <w:i w:val="1"/>
          <w:iCs w:val="1"/>
          <w:color w:val="auto"/>
        </w:rPr>
        <w:t>Beacon</w:t>
      </w:r>
      <w:r>
        <w:rPr>
          <w:rFonts w:ascii="Times New Roman" w:cs="Times New Roman" w:eastAsia="Times New Roman" w:hAnsi="Times New Roman"/>
          <w:sz w:val="16"/>
          <w:szCs w:val="16"/>
          <w:color w:val="auto"/>
        </w:rPr>
        <w:t>”) by Opco in May of 2021 (the “</w:t>
      </w:r>
      <w:r>
        <w:rPr>
          <w:rFonts w:ascii="Times New Roman" w:cs="Times New Roman" w:eastAsia="Times New Roman" w:hAnsi="Times New Roman"/>
          <w:sz w:val="16"/>
          <w:szCs w:val="16"/>
          <w:b w:val="1"/>
          <w:bCs w:val="1"/>
          <w:i w:val="1"/>
          <w:iCs w:val="1"/>
          <w:color w:val="auto"/>
        </w:rPr>
        <w:t>Beacon Transaction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Beacon Transaction was consummated on May 1, 2021 and, accordingly, activity relating to Beacon is reflected within the unaudited condensed consolidated balance sheet of Opco as of June September 30, 2022 and, unaudited condensed consolidated statement of operations for the six nine months ended June September 30, 2022 and historical audited consolidated balance sheet of Opco as of and for the year ended December 31, 2021. Therefore, the unaudited pro forma condensed consolidated balance sheet as of September 30 and unaudited pro forma consolidated statement of operations for the nine months ended September 30, 2022 is are not included.</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unaudited pro forma condensed combined statement of operations of Opco for the year ended December 31, 2021 combines the historical audited consolidated statement of operations of Opco for the year ended December 31, 2021 and the historical audited statement of operations of Beacon for the four-month period ended April 30, 2021, on a pro forma basis as if the Beacon Transaction had been consummated on January 1, 2021.</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is for illustrative purposes only and is not necessarily indicative of what the actual results of operations and financial position would have been had the Beacon Transaction taken place on the date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unaudited pro forma condensed combined financial information should be read in conjunction with:</w:t>
      </w:r>
    </w:p>
    <w:p>
      <w:pPr>
        <w:spacing w:after="0" w:line="194" w:lineRule="exact"/>
        <w:rPr>
          <w:sz w:val="20"/>
          <w:szCs w:val="20"/>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Notes to the unaudited pro forma condensed combined financial statements;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Opco as of and for the year ended December 31, 2021, included elsewhere in this prospectus;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Beacon, as of, and for the four months ended April 30, 2021, included elsewhere in this prospectus and</w:t>
      </w:r>
    </w:p>
    <w:p>
      <w:pPr>
        <w:spacing w:after="0" w:line="19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section titled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included elsewhere in this prospectus.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6"/>
              </w:rPr>
              <w:t>Beacon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OPAL</w:t>
            </w: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21"/>
              <w:spacing w:after="0" w:line="171" w:lineRule="exact"/>
              <w:rPr>
                <w:sz w:val="20"/>
                <w:szCs w:val="20"/>
                <w:color w:val="auto"/>
              </w:rPr>
            </w:pPr>
            <w:r>
              <w:rPr>
                <w:rFonts w:ascii="Times New Roman" w:cs="Times New Roman" w:eastAsia="Times New Roman" w:hAnsi="Times New Roman"/>
                <w:sz w:val="16"/>
                <w:szCs w:val="16"/>
                <w:b w:val="1"/>
                <w:bCs w:val="1"/>
                <w:color w:val="auto"/>
              </w:rPr>
              <w:t>Beacon</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1"/>
              <w:spacing w:after="0" w:line="171" w:lineRule="exact"/>
              <w:rPr>
                <w:sz w:val="20"/>
                <w:szCs w:val="20"/>
                <w:color w:val="auto"/>
              </w:rPr>
            </w:pPr>
            <w:r>
              <w:rPr>
                <w:rFonts w:ascii="Times New Roman" w:cs="Times New Roman" w:eastAsia="Times New Roman" w:hAnsi="Times New Roman"/>
                <w:sz w:val="16"/>
                <w:szCs w:val="16"/>
                <w:b w:val="1"/>
                <w:bCs w:val="1"/>
                <w:color w:val="auto"/>
                <w:w w:val="98"/>
              </w:rPr>
              <w:t>Adjustments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6"/>
                <w:szCs w:val="16"/>
                <w:b w:val="1"/>
                <w:bCs w:val="1"/>
                <w:color w:val="auto"/>
                <w:w w:val="99"/>
              </w:rPr>
              <w:t>Fuels and</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Opco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(Note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(Note 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Beacon</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70,360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13,312</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3a  $</w:t>
            </w: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83,672</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45,324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45,324</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50,440</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13,312</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179,436</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41,075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6,397</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3b</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47,472</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31,152</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42,838</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 processing services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1,134</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(1,134)</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4(b)</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456</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3c</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29,836</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1,060</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3d</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2"/>
              </w:rPr>
              <w:t>4a</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11,413</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155,098</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9,047</w:t>
            </w: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(1,434)</w:t>
            </w: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162,711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4,265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16,725</w:t>
            </w:r>
          </w:p>
        </w:tc>
        <w:tc>
          <w:tcPr>
            <w:tcW w:w="0" w:type="dxa"/>
            <w:vAlign w:val="bottom"/>
          </w:tcPr>
          <w:p>
            <w:pPr>
              <w:spacing w:after="0"/>
              <w:rPr>
                <w:sz w:val="1"/>
                <w:szCs w:val="1"/>
                <w:color w:val="auto"/>
              </w:rPr>
            </w:pPr>
          </w:p>
        </w:tc>
      </w:tr>
      <w:tr>
        <w:trPr>
          <w:trHeight w:val="173"/>
        </w:trPr>
        <w:tc>
          <w:tcPr>
            <w:tcW w:w="55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(7,467)</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loss on derivative financial instruments, net</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warrant liabilities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(2,392)</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2"/>
              </w:rPr>
              <w:t>4a</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15,025</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(1,134) 4(b)</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5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40,769</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5,399</w:t>
            </w:r>
          </w:p>
        </w:tc>
        <w:tc>
          <w:tcPr>
            <w:tcW w:w="8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(2,092</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44,076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40,769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5,399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(2,092)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44,076</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 in kind preferred dividend</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redeemable noncontrolling interest</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20" w:type="dxa"/>
            <w:vAlign w:val="bottom"/>
            <w:vMerge w:val="continue"/>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41,363</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5,399</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(2,092</w:t>
            </w:r>
          </w:p>
        </w:tc>
        <w:tc>
          <w:tcPr>
            <w:tcW w:w="80" w:type="dxa"/>
            <w:vAlign w:val="bottom"/>
            <w:vMerge w:val="continue"/>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44,670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78</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Note 1 — Description of the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Beacon Transaction</w:t>
      </w:r>
    </w:p>
    <w:p>
      <w:pPr>
        <w:spacing w:after="0" w:line="194"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color w:val="auto"/>
        </w:rPr>
        <w:t>On June 30, 2021, Opco and Ares signed the Exchange Agreement (the “</w:t>
      </w:r>
      <w:r>
        <w:rPr>
          <w:rFonts w:ascii="Times New Roman" w:cs="Times New Roman" w:eastAsia="Times New Roman" w:hAnsi="Times New Roman"/>
          <w:sz w:val="16"/>
          <w:szCs w:val="16"/>
          <w:b w:val="1"/>
          <w:bCs w:val="1"/>
          <w:i w:val="1"/>
          <w:iCs w:val="1"/>
          <w:color w:val="auto"/>
        </w:rPr>
        <w:t>Exchange Agreement</w:t>
      </w:r>
      <w:r>
        <w:rPr>
          <w:rFonts w:ascii="Times New Roman" w:cs="Times New Roman" w:eastAsia="Times New Roman" w:hAnsi="Times New Roman"/>
          <w:sz w:val="16"/>
          <w:szCs w:val="16"/>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6"/>
          <w:szCs w:val="16"/>
          <w:b w:val="1"/>
          <w:bCs w:val="1"/>
          <w:i w:val="1"/>
          <w:iCs w:val="1"/>
          <w:color w:val="auto"/>
        </w:rPr>
        <w:t>Convertible Note</w:t>
      </w:r>
      <w:r>
        <w:rPr>
          <w:rFonts w:ascii="Times New Roman" w:cs="Times New Roman" w:eastAsia="Times New Roman" w:hAnsi="Times New Roman"/>
          <w:sz w:val="16"/>
          <w:szCs w:val="16"/>
          <w:color w:val="auto"/>
        </w:rPr>
        <w:t>”) in return for Ares’ assignment of its 58% Class B units in Beacon JV to Opco (the “</w:t>
      </w:r>
      <w:r>
        <w:rPr>
          <w:rFonts w:ascii="Times New Roman" w:cs="Times New Roman" w:eastAsia="Times New Roman" w:hAnsi="Times New Roman"/>
          <w:sz w:val="16"/>
          <w:szCs w:val="16"/>
          <w:b w:val="1"/>
          <w:bCs w:val="1"/>
          <w:i w:val="1"/>
          <w:iCs w:val="1"/>
          <w:color w:val="auto"/>
        </w:rPr>
        <w:t>Assignment Agreement</w:t>
      </w:r>
      <w:r>
        <w:rPr>
          <w:rFonts w:ascii="Times New Roman" w:cs="Times New Roman" w:eastAsia="Times New Roman" w:hAnsi="Times New Roman"/>
          <w:sz w:val="16"/>
          <w:szCs w:val="16"/>
          <w:color w:val="auto"/>
        </w:rPr>
        <w:t>”). The transfer date of the aforementioned consideration was set to May 1, 2021. As agreed to on April 30, 2021, Opco obtained unilateral control over Beacon JV on May 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Basis of Presentation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6"/>
          <w:szCs w:val="16"/>
          <w:b w:val="1"/>
          <w:bCs w:val="1"/>
          <w:i w:val="1"/>
          <w:iCs w:val="1"/>
          <w:color w:val="auto"/>
        </w:rPr>
        <w:t>Transaction Accounting Adjustments</w:t>
      </w:r>
      <w:r>
        <w:rPr>
          <w:rFonts w:ascii="Times New Roman" w:cs="Times New Roman" w:eastAsia="Times New Roman" w:hAnsi="Times New Roman"/>
          <w:sz w:val="16"/>
          <w:szCs w:val="16"/>
          <w:color w:val="auto"/>
        </w:rPr>
        <w:t>”) and present the reasonably estimable synergies and other transaction effects that have occurred or are reasonably expected to occur (“</w:t>
      </w:r>
      <w:r>
        <w:rPr>
          <w:rFonts w:ascii="Times New Roman" w:cs="Times New Roman" w:eastAsia="Times New Roman" w:hAnsi="Times New Roman"/>
          <w:sz w:val="16"/>
          <w:szCs w:val="16"/>
          <w:b w:val="1"/>
          <w:bCs w:val="1"/>
          <w:i w:val="1"/>
          <w:iCs w:val="1"/>
          <w:color w:val="auto"/>
        </w:rPr>
        <w:t>Management’s Adjustments</w:t>
      </w:r>
      <w:r>
        <w:rPr>
          <w:rFonts w:ascii="Times New Roman" w:cs="Times New Roman" w:eastAsia="Times New Roman" w:hAnsi="Times New Roman"/>
          <w:sz w:val="16"/>
          <w:szCs w:val="16"/>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6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Beacon Transaction</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Note 3 — Reclassifications Made to Beacon Financial Statement Presentation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reclassification adjustments were made to the pro forma condensed combined statement of operations for the four months ended April 30, 2021 to conform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financial statement presentation to that of Opco’s:</w:t>
      </w:r>
    </w:p>
    <w:p>
      <w:pPr>
        <w:spacing w:after="0" w:line="177" w:lineRule="exact"/>
        <w:rPr>
          <w:sz w:val="20"/>
          <w:szCs w:val="20"/>
          <w:color w:val="auto"/>
        </w:rPr>
      </w:pPr>
    </w:p>
    <w:p>
      <w:pPr>
        <w:ind w:left="560" w:hanging="282"/>
        <w:spacing w:after="0"/>
        <w:tabs>
          <w:tab w:leader="none" w:pos="5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$1,137 thousand from Renewable gas sales, $12,101 thousand from RIN sales, and $74 thousand from Transportation sales to RNG Fuel.</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$5,937 thousand from Operations and $460 thousand from Repairs and Maintenance to Costs of sales — RNG fuel.</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$317 thousand from General and administrative and $139 thousand from Insurance to Selling, general and administrative.</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$1,049 thousand from Depreciation and $11 thousand from Asset retirement obligation accretion to Depreciation, amortization, and accretion.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Adjustments to Unaudited Pro Forma Condensed Combined Statements of Operations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pro forma adjustments included in the unaudited pro forma condensed combined statement of operations for the year ended December 31, 2021 are as follows:</w:t>
      </w:r>
    </w:p>
    <w:p>
      <w:pPr>
        <w:spacing w:after="0" w:line="194" w:lineRule="exact"/>
        <w:rPr>
          <w:sz w:val="20"/>
          <w:szCs w:val="20"/>
          <w:color w:val="auto"/>
        </w:rPr>
      </w:pPr>
    </w:p>
    <w:p>
      <w:pPr>
        <w:ind w:left="560" w:right="20" w:hanging="282"/>
        <w:spacing w:after="0" w:line="275"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adjustments to eliminate the income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45"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an intercompany transaction between Opco and Beacon for the amount of $1,134 thousand from Environmental credit processing service and $1,134 thousand from Other.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In this Management’s Discussion and Analysis of Financial Condition and Results of Operations section, references to “OPAL”, “we”, “us”, “our”, and the “Company” refer to </w:t>
      </w:r>
      <w:r>
        <w:rPr>
          <w:rFonts w:ascii="Times New Roman" w:cs="Times New Roman" w:eastAsia="Times New Roman" w:hAnsi="Times New Roman"/>
          <w:sz w:val="16"/>
          <w:szCs w:val="16"/>
          <w:color w:val="auto"/>
        </w:rPr>
        <w:t>OPAL Fuels Inc</w:t>
      </w:r>
      <w:r>
        <w:rPr>
          <w:rFonts w:ascii="Times New Roman" w:cs="Times New Roman" w:eastAsia="Times New Roman" w:hAnsi="Times New Roman"/>
          <w:sz w:val="16"/>
          <w:szCs w:val="16"/>
          <w:i w:val="1"/>
          <w:iCs w:val="1"/>
          <w:color w:val="auto"/>
        </w:rPr>
        <w:t>. and its consolidated subsidiaries. The following discussion and analysis should be read in conjunction with the Company’s unaudited condensed consolidated financial statements as of September 30, 2022 and for the three and nine months ended September 30, 2022 and 2021, audited consolidated financial statements and notes thereto included elsewhere in this Prospectus/Offer to Exchange. In addition to historical information, this discussion and analysis includes certain forward-looking statements which reflect our current expectations. The Company’s actual results may materially differ from these forward-looking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We are a renewable energy company specializing in the capture and conversion of biogas for the (i) production of renewable natural gas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energy.We separately design, develop, construct, operate and service Fueling Stations for vehicle fleets across the country that dispense RNG and/or compressed natural gas (“CNG”) to displace diesel as a fleet transportation fuel.</w:t>
      </w:r>
    </w:p>
    <w:p>
      <w:pPr>
        <w:spacing w:after="0" w:line="17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 (“Business Combination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i w:val="1"/>
          <w:iCs w:val="1"/>
          <w:color w:val="auto"/>
        </w:rPr>
        <w:t>Recent developments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Construction Update</w:t>
      </w:r>
    </w:p>
    <w:p>
      <w:pPr>
        <w:spacing w:after="0" w:line="196" w:lineRule="exact"/>
        <w:rPr>
          <w:sz w:val="20"/>
          <w:szCs w:val="20"/>
          <w:color w:val="auto"/>
        </w:rPr>
      </w:pPr>
    </w:p>
    <w:p>
      <w:pPr>
        <w:ind w:left="560" w:hanging="282"/>
        <w:spacing w:after="0" w:line="310" w:lineRule="auto"/>
        <w:tabs>
          <w:tab w:leader="none" w:pos="5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begun construction on a renewable power to RNG conversion project in the Northeast bringing to seven the number of RNG facilities under construction as of September 30, 2022, with anticipated aggregate nameplate capacity of 4.2 million MMBtu of landfill biogas and 0.6 million MMBtu of dairy biogas.</w:t>
      </w:r>
    </w:p>
    <w:p>
      <w:pPr>
        <w:spacing w:after="0" w:line="121"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RIN certification for New River in October and anticipate receiving RIN certification for Pine Bend by end of 2022.</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is progressing at two Central Valley California dairy RNG projects with commercial operations anticipated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Development Update</w:t>
      </w:r>
    </w:p>
    <w:p>
      <w:pPr>
        <w:spacing w:after="0" w:line="196" w:lineRule="exact"/>
        <w:rPr>
          <w:sz w:val="20"/>
          <w:szCs w:val="20"/>
          <w:color w:val="auto"/>
        </w:rPr>
      </w:pPr>
    </w:p>
    <w:p>
      <w:pPr>
        <w:ind w:left="560" w:right="20" w:hanging="282"/>
        <w:spacing w:after="0" w:line="275"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Advanced Development Pipeline comprises 16 projects representing 7.4 million MMBtu of feedstock biogas per year consisting of 6.2 million MMBtu of landfill biogas, 0.5 million MMBtu of dairy biogas, and 0.7 million MMBtu of food waste and wastewater biogas.</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evaluating nine of our existing renewable power projects comprising 3.2 million MMBtu per year of landfill biogas in light of the incentives in the Inflation Reduction Act.</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total number of RNG dispensing stations grew from 69 at December 31, 2021, to 123 at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Impact of COVID-19</w:t>
      </w:r>
    </w:p>
    <w:p>
      <w:pPr>
        <w:spacing w:after="0" w:line="19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the date of this Prospectus/Offer to Exchange, the COVID-19 pandemic has had a relatively minimal economic impact on our results of operations.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duration and future economic severity of the COVID-19 remains uncertain, and our results of operations and financial condition could potentially face material adverse effect(s) in the future due to COVID-19.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Accounting Policies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93" w:name="page94"/>
    <w:bookmarkEnd w:id="93"/>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should be read in conjunction with the consolidated financial statements and notes thereto included in the Company’s Current Report on 8-K, which was filed with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xml:space="preserve"> on July 27,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and Trends Influencing our Results of Operations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elsewhere in this Prospectus/Offer to Exchange.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Demand for RNG</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47" w:lineRule="exact"/>
        <w:rPr>
          <w:sz w:val="20"/>
          <w:szCs w:val="20"/>
          <w:color w:val="auto"/>
        </w:rPr>
      </w:pPr>
    </w:p>
    <w:p>
      <w:pPr>
        <w:jc w:val="both"/>
        <w:ind w:right="20" w:firstLine="283"/>
        <w:spacing w:after="0" w:line="203" w:lineRule="exact"/>
        <w:rPr>
          <w:sz w:val="20"/>
          <w:szCs w:val="20"/>
          <w:color w:val="auto"/>
        </w:rPr>
      </w:pPr>
      <w:r>
        <w:rPr>
          <w:rFonts w:ascii="Times New Roman" w:cs="Times New Roman" w:eastAsia="Times New Roman" w:hAnsi="Times New Roman"/>
          <w:sz w:val="16"/>
          <w:szCs w:val="16"/>
          <w:color w:val="auto"/>
        </w:rPr>
        <w:t>Commercial transportation, including heavy-duty trucking, generates approximately 30% emissions of overall CO</w:t>
      </w:r>
      <w:r>
        <w:rPr>
          <w:rFonts w:ascii="MS PGothic" w:cs="MS PGothic" w:eastAsia="MS PGothic" w:hAnsi="MS PGothic"/>
          <w:sz w:val="16"/>
          <w:szCs w:val="16"/>
          <w:color w:val="auto"/>
        </w:rPr>
        <w:t>₂</w:t>
      </w:r>
      <w:r>
        <w:rPr>
          <w:rFonts w:ascii="Times New Roman" w:cs="Times New Roman" w:eastAsia="Times New Roman" w:hAnsi="Times New Roman"/>
          <w:sz w:val="16"/>
          <w:szCs w:val="16"/>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also exposed to the commodity prices of natural gas and diesel, which serve as alternative fuel for RNG and therefore impact the demand for RNG.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i w:val="1"/>
          <w:iCs w:val="1"/>
          <w:color w:val="auto"/>
        </w:rPr>
        <w:t>Renewable Power Markets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54" w:lineRule="exact"/>
        <w:rPr>
          <w:sz w:val="20"/>
          <w:szCs w:val="20"/>
          <w:color w:val="auto"/>
        </w:rPr>
      </w:pPr>
    </w:p>
    <w:p>
      <w:pPr>
        <w:ind w:left="56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The RNG Fuel segment includes RNG supply and dispensing activities as well as the associated generation and sale of commodity natural gas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environmental credits, and consists of</w:t>
      </w:r>
    </w:p>
    <w:p>
      <w:pPr>
        <w:spacing w:after="0" w:line="142"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RNG Production Facilities – the design, development, construction, maintenance and operation of facilities that convert raw biogas into pipeline quality natural gas.</w:t>
      </w:r>
    </w:p>
    <w:p>
      <w:pPr>
        <w:spacing w:after="0" w:line="205" w:lineRule="exact"/>
        <w:rPr>
          <w:rFonts w:ascii="Times New Roman" w:cs="Times New Roman" w:eastAsia="Times New Roman" w:hAnsi="Times New Roman"/>
          <w:sz w:val="15"/>
          <w:szCs w:val="15"/>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here are the Company’s interests in both operating and construction projects.</w:t>
      </w:r>
    </w:p>
    <w:p>
      <w:pPr>
        <w:spacing w:after="0" w:line="194" w:lineRule="exact"/>
        <w:rPr>
          <w:rFonts w:ascii="Times New Roman" w:cs="Times New Roman" w:eastAsia="Times New Roman" w:hAnsi="Times New Roman"/>
          <w:sz w:val="16"/>
          <w:szCs w:val="16"/>
          <w:color w:val="auto"/>
        </w:rPr>
      </w:pPr>
    </w:p>
    <w:p>
      <w:pPr>
        <w:ind w:left="840" w:right="20" w:hanging="278"/>
        <w:spacing w:after="0" w:line="275" w:lineRule="auto"/>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4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Through its Fuel Station Services segment</w:t>
      </w:r>
      <w:r>
        <w:rPr>
          <w:rFonts w:ascii="Times New Roman" w:cs="Times New Roman" w:eastAsia="Times New Roman" w:hAnsi="Times New Roman"/>
          <w:sz w:val="16"/>
          <w:szCs w:val="16"/>
          <w:b w:val="1"/>
          <w:bCs w:val="1"/>
          <w:color w:val="auto"/>
        </w:rPr>
        <w:t>, t</w:t>
      </w:r>
      <w:r>
        <w:rPr>
          <w:rFonts w:ascii="Times New Roman" w:cs="Times New Roman" w:eastAsia="Times New Roman" w:hAnsi="Times New Roman"/>
          <w:sz w:val="16"/>
          <w:szCs w:val="16"/>
          <w:color w:val="auto"/>
        </w:rPr>
        <w:t>he Company provides construction and maintenance services to third-party owners of Fueling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Stations. This segment includes:</w:t>
      </w:r>
    </w:p>
    <w:p>
      <w:pPr>
        <w:spacing w:after="0" w:line="142"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and maintenance contracts for RNG/CNG Fueling Stations.</w:t>
      </w:r>
    </w:p>
    <w:p>
      <w:pPr>
        <w:spacing w:after="0" w:line="194"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division that builds Compact Fueling Systems and Defueling systems.</w:t>
      </w:r>
    </w:p>
    <w:p>
      <w:pPr>
        <w:spacing w:after="0" w:line="194" w:lineRule="exact"/>
        <w:rPr>
          <w:rFonts w:ascii="Times New Roman" w:cs="Times New Roman" w:eastAsia="Times New Roman" w:hAnsi="Times New Roman"/>
          <w:sz w:val="16"/>
          <w:szCs w:val="16"/>
          <w:color w:val="auto"/>
        </w:rPr>
      </w:pPr>
    </w:p>
    <w:p>
      <w:pPr>
        <w:ind w:left="840" w:right="20" w:hanging="278"/>
        <w:spacing w:after="0" w:line="275" w:lineRule="auto"/>
        <w:tabs>
          <w:tab w:leader="none" w:pos="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4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combustion of biogas from landfills and digester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collection systems which is then sold to public utilities throughout the United States. The Renewable portfolio operates primarily in Southern California.</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costs of sales associated with each revenue category are as follows:</w:t>
      </w:r>
    </w:p>
    <w:p>
      <w:pPr>
        <w:spacing w:after="0" w:line="192" w:lineRule="exact"/>
        <w:rPr>
          <w:sz w:val="20"/>
          <w:szCs w:val="20"/>
          <w:color w:val="auto"/>
        </w:rPr>
      </w:pPr>
    </w:p>
    <w:p>
      <w:pPr>
        <w:ind w:left="560" w:right="20" w:hanging="282"/>
        <w:spacing w:after="0" w:line="278"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Includes royalty payments to biogas site owners for the biogas we use; service provider costs; salaries and other indirect expenses related to the production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process, utilities, transportation, storage, and insurance; and depreciation of production facilities.</w:t>
      </w:r>
    </w:p>
    <w:p>
      <w:pPr>
        <w:spacing w:after="0" w:line="1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Includes equipment supplier costs; service provider costs; and salaries and other indirect expenses.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w:t>
      </w:r>
      <w:r>
        <w:rPr>
          <w:rFonts w:ascii="Times New Roman" w:cs="Times New Roman" w:eastAsia="Times New Roman" w:hAnsi="Times New Roman"/>
          <w:sz w:val="16"/>
          <w:szCs w:val="16"/>
          <w:color w:val="auto"/>
        </w:rPr>
        <w:t>Includes land usage costs; service provider costs; salaries and other indirect expenses related to the production process; utilities; and depreciation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production facilities.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5" w:name="page96"/>
    <w:bookmarkEnd w:id="95"/>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Selling, general, and administrative expense consists of costs involving corporate overhead functions, including the cost of services provided to us by an affiliate, and marketing costs.</w:t>
      </w:r>
    </w:p>
    <w:p>
      <w:pPr>
        <w:spacing w:after="0" w:line="145"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Operational data</w:t>
      </w:r>
    </w:p>
    <w:p>
      <w:pPr>
        <w:spacing w:after="0" w:line="19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operational data achieved for the three and nine months ended September 30, 2022 and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74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54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gridSpan w:val="7"/>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54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4"/>
        </w:trPr>
        <w:tc>
          <w:tcPr>
            <w:tcW w:w="59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volume produced (Million MMBtus)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volume sold (Million GGEs)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w:t>
            </w: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volume delivered (Million GGEs)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30.7</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68.8</w:t>
            </w:r>
          </w:p>
        </w:tc>
      </w:tr>
      <w:tr>
        <w:trPr>
          <w:trHeight w:val="37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RNG projects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67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RNG projects in operation and construction in our portfolio:</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5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Design capacity</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(MMbtus</w:t>
            </w: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Source of</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per year) (1)</w:t>
            </w: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bio gas</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Ownership (2)</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RNG projects in operation: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Greentree</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Imperial</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Noble Road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775,000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Sunoma</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193"/>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RNG projects in construction:</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Biotown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375,000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Hilltop</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Vander Schaaf</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Dairy</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Emerald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2,100,000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189"/>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Sapphire</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England</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2"/>
              </w:rPr>
              <w:t>LFG</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3"/>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 total</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3"/>
        </w:trPr>
        <w:tc>
          <w:tcPr>
            <w:tcW w:w="59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10,300,000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96" w:name="page97"/>
    <w:bookmarkEnd w:id="96"/>
    <w:tbl>
      <w:tblPr>
        <w:tblLayout w:type="fixed"/>
        <w:tblInd w:w="5" w:type="dxa"/>
        <w:tblCellMar>
          <w:top w:w="0" w:type="dxa"/>
          <w:left w:w="0" w:type="dxa"/>
          <w:bottom w:w="0" w:type="dxa"/>
          <w:right w:w="0" w:type="dxa"/>
        </w:tblCellMar>
      </w:tblP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Renewable Power Projects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8"/>
        </w:trPr>
        <w:tc>
          <w:tcPr>
            <w:tcW w:w="6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Below is a table setting forth the Renewable Power projects in operation in our portfolio:</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9"/>
        </w:trPr>
        <w:tc>
          <w:tcPr>
            <w:tcW w:w="6300" w:type="dxa"/>
            <w:vAlign w:val="bottom"/>
          </w:tcPr>
          <w:p>
            <w:pPr>
              <w:spacing w:after="0"/>
              <w:rPr>
                <w:sz w:val="24"/>
                <w:szCs w:val="24"/>
                <w:color w:val="auto"/>
              </w:rPr>
            </w:pPr>
          </w:p>
        </w:tc>
        <w:tc>
          <w:tcPr>
            <w:tcW w:w="1960" w:type="dxa"/>
            <w:vAlign w:val="bottom"/>
            <w:gridSpan w:val="3"/>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Nameplate capacity</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9"/>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(MW</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RNG 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Stage of RNG</w:t>
            </w:r>
          </w:p>
        </w:tc>
      </w:tr>
      <w:tr>
        <w:trPr>
          <w:trHeight w:val="211"/>
        </w:trPr>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 hour) (1)</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candidate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18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1</w:t>
            </w:r>
          </w:p>
        </w:tc>
        <w:tc>
          <w:tcPr>
            <w:tcW w:w="4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 7</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California 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Florida</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New England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Massachusetts 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Michigan 1E(2)</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28.9</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Construction</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Michigan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1</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Prince William 1E (3)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18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Prince William 2E (4)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2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Virginia - Richmond</w:t>
            </w: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8"/>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In Development</w:t>
            </w:r>
          </w:p>
        </w:tc>
      </w:tr>
      <w:tr>
        <w:trPr>
          <w:trHeight w:val="20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45" w:lineRule="exact"/>
        <w:rPr>
          <w:rFonts w:ascii="Times New Roman" w:cs="Times New Roman" w:eastAsia="Times New Roman" w:hAnsi="Times New Roman"/>
          <w:sz w:val="16"/>
          <w:szCs w:val="16"/>
          <w:color w:val="auto"/>
        </w:rPr>
      </w:pPr>
    </w:p>
    <w:p>
      <w:pPr>
        <w:ind w:left="285" w:right="20"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45"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2022, and 2021</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presents the period-over-period change for each line item in the Company’s statement of operations for the three and nine months ended September 30,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6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17"/>
              <w:spacing w:after="0" w:line="130" w:lineRule="exact"/>
              <w:rPr>
                <w:sz w:val="20"/>
                <w:szCs w:val="20"/>
                <w:color w:val="auto"/>
              </w:rPr>
            </w:pPr>
            <w:r>
              <w:rPr>
                <w:rFonts w:ascii="Times New Roman" w:cs="Times New Roman" w:eastAsia="Times New Roman" w:hAnsi="Times New Roman"/>
                <w:sz w:val="13"/>
                <w:szCs w:val="13"/>
                <w:b w:val="1"/>
                <w:bCs w:val="1"/>
                <w:color w:val="auto"/>
                <w:w w:val="84"/>
              </w:rPr>
              <w:t>2021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58"/>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40" w:type="dxa"/>
            <w:vAlign w:val="bottom"/>
            <w:gridSpan w:val="2"/>
          </w:tcPr>
          <w:p>
            <w:pPr>
              <w:jc w:val="right"/>
              <w:ind w:right="377"/>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30"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30"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58"/>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940" w:type="dxa"/>
            <w:vAlign w:val="bottom"/>
            <w:gridSpan w:val="3"/>
          </w:tcPr>
          <w:p>
            <w:pPr>
              <w:jc w:val="right"/>
              <w:ind w:right="340"/>
              <w:spacing w:after="0" w:line="130"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0"/>
        </w:trPr>
        <w:tc>
          <w:tcPr>
            <w:tcW w:w="3140" w:type="dxa"/>
            <w:vAlign w:val="bottom"/>
            <w:tcBorders>
              <w:top w:val="single" w:sz="8" w:color="auto"/>
            </w:tcBorders>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RNG fuel</w:t>
            </w:r>
          </w:p>
        </w:tc>
        <w:tc>
          <w:tcPr>
            <w:tcW w:w="300" w:type="dxa"/>
            <w:vAlign w:val="bottom"/>
            <w:gridSpan w:val="2"/>
            <w:shd w:val="clear" w:color="auto" w:fill="CCEEFF"/>
          </w:tcPr>
          <w:p>
            <w:pPr>
              <w:jc w:val="right"/>
              <w:ind w:right="37"/>
              <w:spacing w:after="0" w:line="130"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32,381</w:t>
            </w: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17,892</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14,489</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83,196</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37,066</w:t>
            </w:r>
          </w:p>
        </w:tc>
        <w:tc>
          <w:tcPr>
            <w:tcW w:w="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46,130</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Fuel station services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23,227</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18,387</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4,840</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55,524</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35,560</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19,964</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Renewable Power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10,942</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10,905</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30,094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32,342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(2,248)</w:t>
            </w:r>
          </w:p>
        </w:tc>
        <w:tc>
          <w:tcPr>
            <w:tcW w:w="94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17"/>
        </w:trPr>
        <w:tc>
          <w:tcPr>
            <w:tcW w:w="3140" w:type="dxa"/>
            <w:vAlign w:val="bottom"/>
            <w:tcBorders>
              <w:top w:val="single" w:sz="8" w:color="CCEEFF"/>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tcBorders>
              <w:top w:val="single" w:sz="8" w:color="CCEEFF"/>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66,550</w:t>
            </w:r>
          </w:p>
        </w:tc>
        <w:tc>
          <w:tcPr>
            <w:tcW w:w="220" w:type="dxa"/>
            <w:vAlign w:val="bottom"/>
            <w:tcBorders>
              <w:top w:val="single" w:sz="8" w:color="CCEEFF"/>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47,184</w:t>
            </w:r>
          </w:p>
        </w:tc>
        <w:tc>
          <w:tcPr>
            <w:tcW w:w="22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19,366</w:t>
            </w:r>
          </w:p>
        </w:tc>
        <w:tc>
          <w:tcPr>
            <w:tcW w:w="20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41</w:t>
            </w:r>
          </w:p>
        </w:tc>
        <w:tc>
          <w:tcPr>
            <w:tcW w:w="260" w:type="dxa"/>
            <w:vAlign w:val="bottom"/>
            <w:tcBorders>
              <w:top w:val="single" w:sz="8" w:color="CCEEFF"/>
              <w:bottom w:val="single" w:sz="8" w:color="CCEEFF"/>
            </w:tcBorders>
          </w:tcPr>
          <w:p>
            <w:pPr>
              <w:jc w:val="right"/>
              <w:ind w:right="97"/>
              <w:spacing w:after="0" w:line="114"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168,814</w:t>
            </w:r>
          </w:p>
        </w:tc>
        <w:tc>
          <w:tcPr>
            <w:tcW w:w="22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104,968</w:t>
            </w:r>
          </w:p>
        </w:tc>
        <w:tc>
          <w:tcPr>
            <w:tcW w:w="200" w:type="dxa"/>
            <w:vAlign w:val="bottom"/>
            <w:tcBorders>
              <w:top w:val="single" w:sz="8" w:color="CCEEFF"/>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63,846</w:t>
            </w:r>
          </w:p>
        </w:tc>
        <w:tc>
          <w:tcPr>
            <w:tcW w:w="22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top w:val="single" w:sz="8" w:color="CCEEFF"/>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Cost of sales - RNG fuel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20,959</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11,973</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8,986</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75%</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51,843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23,053</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28,790</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Cost of sales - Fuel station services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20,886</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15,458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5,428</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49,643</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29,775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19,868</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Cost of sales - Renewable power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7,645</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6,064</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1,581</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23,593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23,952</w:t>
            </w:r>
          </w:p>
        </w:tc>
        <w:tc>
          <w:tcPr>
            <w:tcW w:w="14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(359)</w:t>
            </w:r>
          </w:p>
        </w:tc>
        <w:tc>
          <w:tcPr>
            <w:tcW w:w="940" w:type="dxa"/>
            <w:vAlign w:val="bottom"/>
            <w:gridSpan w:val="3"/>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15,751</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7,922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7,829</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34,561</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19,107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15,454</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45"/>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3,258</w:t>
            </w:r>
          </w:p>
        </w:tc>
        <w:tc>
          <w:tcPr>
            <w:tcW w:w="28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2,613</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645</w:t>
            </w:r>
          </w:p>
        </w:tc>
        <w:tc>
          <w:tcPr>
            <w:tcW w:w="200" w:type="dxa"/>
            <w:vAlign w:val="bottom"/>
          </w:tcPr>
          <w:p>
            <w:pPr>
              <w:spacing w:after="0"/>
              <w:rPr>
                <w:sz w:val="12"/>
                <w:szCs w:val="12"/>
                <w:color w:val="auto"/>
              </w:rPr>
            </w:pPr>
          </w:p>
        </w:tc>
        <w:tc>
          <w:tcPr>
            <w:tcW w:w="1040" w:type="dxa"/>
            <w:vAlign w:val="bottom"/>
            <w:gridSpan w:val="2"/>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2"/>
                <w:szCs w:val="12"/>
                <w:color w:val="auto"/>
              </w:rPr>
            </w:pPr>
          </w:p>
        </w:tc>
        <w:tc>
          <w:tcPr>
            <w:tcW w:w="84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9,816</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6,672</w:t>
            </w:r>
          </w:p>
        </w:tc>
        <w:tc>
          <w:tcPr>
            <w:tcW w:w="14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3,144</w:t>
            </w:r>
          </w:p>
        </w:tc>
        <w:tc>
          <w:tcPr>
            <w:tcW w:w="9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0"/>
        </w:trPr>
        <w:tc>
          <w:tcPr>
            <w:tcW w:w="3140" w:type="dxa"/>
            <w:vAlign w:val="bottom"/>
            <w:tcBorders>
              <w:top w:val="single" w:sz="8" w:color="CCEEFF"/>
              <w:bottom w:val="single" w:sz="8" w:color="CCEEFF"/>
            </w:tcBorders>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68,499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44,030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24,469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w:t>
            </w:r>
          </w:p>
        </w:tc>
        <w:tc>
          <w:tcPr>
            <w:tcW w:w="260" w:type="dxa"/>
            <w:vAlign w:val="bottom"/>
            <w:tcBorders>
              <w:top w:val="single" w:sz="8" w:color="CCEEFF"/>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169,456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102,559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66,897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65</w:t>
            </w:r>
          </w:p>
        </w:tc>
        <w:tc>
          <w:tcPr>
            <w:tcW w:w="160" w:type="dxa"/>
            <w:vAlign w:val="bottom"/>
            <w:tcBorders>
              <w:top w:val="single" w:sz="8" w:color="CCEEFF"/>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40" w:type="dxa"/>
            <w:vAlign w:val="bottom"/>
            <w:tcBorders>
              <w:bottom w:val="single" w:sz="8" w:color="CCEEFF"/>
            </w:tcBorders>
          </w:tcPr>
          <w:p>
            <w:pPr>
              <w:ind w:left="140"/>
              <w:spacing w:after="0" w:line="114" w:lineRule="exact"/>
              <w:rPr>
                <w:sz w:val="20"/>
                <w:szCs w:val="20"/>
                <w:color w:val="auto"/>
              </w:rPr>
            </w:pPr>
            <w:r>
              <w:rPr>
                <w:rFonts w:ascii="Times New Roman" w:cs="Times New Roman" w:eastAsia="Times New Roman" w:hAnsi="Times New Roman"/>
                <w:sz w:val="13"/>
                <w:szCs w:val="13"/>
                <w:color w:val="auto"/>
              </w:rPr>
              <w:t>Operating (loss) income</w:t>
            </w: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(1,949</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3,154</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(5,103</w:t>
            </w:r>
          </w:p>
        </w:tc>
        <w:tc>
          <w:tcPr>
            <w:tcW w:w="2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(162</w:t>
            </w:r>
          </w:p>
        </w:tc>
        <w:tc>
          <w:tcPr>
            <w:tcW w:w="260" w:type="dxa"/>
            <w:vAlign w:val="bottom"/>
            <w:tcBorders>
              <w:bottom w:val="single" w:sz="8" w:color="CCEEFF"/>
            </w:tcBorders>
          </w:tcPr>
          <w:p>
            <w:pPr>
              <w:jc w:val="right"/>
              <w:ind w:right="57"/>
              <w:spacing w:after="0" w:line="114" w:lineRule="exact"/>
              <w:rPr>
                <w:sz w:val="20"/>
                <w:szCs w:val="20"/>
                <w:color w:val="auto"/>
              </w:rPr>
            </w:pPr>
            <w:r>
              <w:rPr>
                <w:rFonts w:ascii="Times New Roman" w:cs="Times New Roman" w:eastAsia="Times New Roman" w:hAnsi="Times New Roman"/>
                <w:sz w:val="13"/>
                <w:szCs w:val="13"/>
                <w:color w:val="auto"/>
                <w:w w:val="78"/>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(642</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2,409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(3,051</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(127</w:t>
            </w:r>
          </w:p>
        </w:tc>
        <w:tc>
          <w:tcPr>
            <w:tcW w:w="160" w:type="dxa"/>
            <w:vAlign w:val="bottom"/>
            <w:tcBorders>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Interest and financing expense, 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(776)</w:t>
            </w:r>
          </w:p>
        </w:tc>
        <w:tc>
          <w:tcPr>
            <w:tcW w:w="280" w:type="dxa"/>
            <w:vAlign w:val="bottom"/>
          </w:tcPr>
          <w:p>
            <w:pPr>
              <w:spacing w:after="0"/>
              <w:rPr>
                <w:sz w:val="11"/>
                <w:szCs w:val="11"/>
                <w:color w:val="auto"/>
              </w:rPr>
            </w:pPr>
          </w:p>
        </w:tc>
        <w:tc>
          <w:tcPr>
            <w:tcW w:w="7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(2,354)</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1,578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67%</w:t>
            </w:r>
          </w:p>
        </w:tc>
        <w:tc>
          <w:tcPr>
            <w:tcW w:w="160" w:type="dxa"/>
            <w:vAlign w:val="bottom"/>
          </w:tcPr>
          <w:p>
            <w:pPr>
              <w:spacing w:after="0"/>
              <w:rPr>
                <w:sz w:val="11"/>
                <w:szCs w:val="11"/>
                <w:color w:val="auto"/>
              </w:rPr>
            </w:pPr>
          </w:p>
        </w:tc>
        <w:tc>
          <w:tcPr>
            <w:tcW w:w="84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(7,184)</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(5,659)</w:t>
            </w:r>
          </w:p>
        </w:tc>
        <w:tc>
          <w:tcPr>
            <w:tcW w:w="140" w:type="dxa"/>
            <w:vAlign w:val="bottom"/>
          </w:tcPr>
          <w:p>
            <w:pPr>
              <w:spacing w:after="0"/>
              <w:rPr>
                <w:sz w:val="11"/>
                <w:szCs w:val="11"/>
                <w:color w:val="auto"/>
              </w:rPr>
            </w:pPr>
          </w:p>
        </w:tc>
        <w:tc>
          <w:tcPr>
            <w:tcW w:w="860" w:type="dxa"/>
            <w:vAlign w:val="bottom"/>
            <w:gridSpan w:val="2"/>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(1,525)</w:t>
            </w:r>
          </w:p>
        </w:tc>
        <w:tc>
          <w:tcPr>
            <w:tcW w:w="940" w:type="dxa"/>
            <w:vAlign w:val="bottom"/>
            <w:gridSpan w:val="3"/>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Change in fair value of derivative instruments,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(1,908)</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0" w:lineRule="exact"/>
              <w:rPr>
                <w:sz w:val="20"/>
                <w:szCs w:val="20"/>
                <w:color w:val="auto"/>
              </w:rPr>
            </w:pPr>
            <w:r>
              <w:rPr>
                <w:rFonts w:ascii="Times New Roman" w:cs="Times New Roman" w:eastAsia="Times New Roman" w:hAnsi="Times New Roman"/>
                <w:sz w:val="13"/>
                <w:szCs w:val="13"/>
                <w:color w:val="auto"/>
              </w:rPr>
              <w:t>(1,881)</w:t>
            </w:r>
          </w:p>
        </w:tc>
        <w:tc>
          <w:tcPr>
            <w:tcW w:w="1040" w:type="dxa"/>
            <w:vAlign w:val="bottom"/>
            <w:gridSpan w:val="2"/>
            <w:shd w:val="clear" w:color="auto" w:fill="CCEEFF"/>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(6967)%</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(1,580)</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38"/>
              <w:spacing w:after="0" w:line="130" w:lineRule="exact"/>
              <w:rPr>
                <w:sz w:val="20"/>
                <w:szCs w:val="20"/>
                <w:color w:val="auto"/>
              </w:rPr>
            </w:pPr>
            <w:r>
              <w:rPr>
                <w:rFonts w:ascii="Times New Roman" w:cs="Times New Roman" w:eastAsia="Times New Roman" w:hAnsi="Times New Roman"/>
                <w:sz w:val="13"/>
                <w:szCs w:val="13"/>
                <w:color w:val="auto"/>
              </w:rPr>
              <w:t>(1,570)</w:t>
            </w:r>
          </w:p>
        </w:tc>
        <w:tc>
          <w:tcPr>
            <w:tcW w:w="940" w:type="dxa"/>
            <w:vAlign w:val="bottom"/>
            <w:gridSpan w:val="3"/>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(15700)%</w:t>
            </w: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6,308</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Income (loss) from equity method investments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3,694</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3,694</w:t>
            </w:r>
          </w:p>
        </w:tc>
        <w:tc>
          <w:tcPr>
            <w:tcW w:w="1040" w:type="dxa"/>
            <w:vAlign w:val="bottom"/>
            <w:gridSpan w:val="2"/>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3,658</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2,392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1,266</w:t>
            </w:r>
          </w:p>
        </w:tc>
        <w:tc>
          <w:tcPr>
            <w:tcW w:w="9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45"/>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Gain on acquisition of equity method investment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5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19,818</w:t>
            </w:r>
          </w:p>
        </w:tc>
        <w:tc>
          <w:tcPr>
            <w:tcW w:w="140" w:type="dxa"/>
            <w:vAlign w:val="bottom"/>
          </w:tcPr>
          <w:p>
            <w:pPr>
              <w:spacing w:after="0"/>
              <w:rPr>
                <w:sz w:val="12"/>
                <w:szCs w:val="12"/>
                <w:color w:val="auto"/>
              </w:rPr>
            </w:pPr>
          </w:p>
        </w:tc>
        <w:tc>
          <w:tcPr>
            <w:tcW w:w="860" w:type="dxa"/>
            <w:vAlign w:val="bottom"/>
            <w:gridSpan w:val="2"/>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(19,818)</w:t>
            </w:r>
          </w:p>
        </w:tc>
        <w:tc>
          <w:tcPr>
            <w:tcW w:w="9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0"/>
        </w:trPr>
        <w:tc>
          <w:tcPr>
            <w:tcW w:w="314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 income before provision for income taxes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5,369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773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4,596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595</w:t>
            </w:r>
          </w:p>
        </w:tc>
        <w:tc>
          <w:tcPr>
            <w:tcW w:w="260" w:type="dxa"/>
            <w:vAlign w:val="bottom"/>
            <w:tcBorders>
              <w:top w:val="single" w:sz="8" w:color="CCEEFF"/>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18,950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(18,390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top w:val="single" w:sz="8" w:color="CCEEFF"/>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17"/>
        </w:trPr>
        <w:tc>
          <w:tcPr>
            <w:tcW w:w="314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Provision for income taxes</w:t>
            </w: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tcPr>
          <w:p>
            <w:pPr>
              <w:jc w:val="right"/>
              <w:ind w:right="97"/>
              <w:spacing w:after="0" w:line="114"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gridSpan w:val="2"/>
          </w:tcPr>
          <w:p>
            <w:pPr>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3140" w:type="dxa"/>
            <w:vAlign w:val="bottom"/>
            <w:tcBorders>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5,369</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773</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4,596</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595</w:t>
            </w:r>
          </w:p>
        </w:tc>
        <w:tc>
          <w:tcPr>
            <w:tcW w:w="260" w:type="dxa"/>
            <w:vAlign w:val="bottom"/>
            <w:tcBorders>
              <w:bottom w:val="single" w:sz="8" w:color="CCEEFF"/>
            </w:tcBorders>
            <w:shd w:val="clear" w:color="auto" w:fill="CCEEFF"/>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560</w:t>
            </w: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18,950</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(18,390</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bottom w:val="single" w:sz="8" w:color="CCEEFF"/>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82"/>
        </w:trPr>
        <w:tc>
          <w:tcPr>
            <w:tcW w:w="314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rPr>
              <w:t>Net income (loss) attributable to redeemable non-controlling</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rPr>
              <w:t>4,161</w:t>
            </w:r>
          </w:p>
        </w:tc>
        <w:tc>
          <w:tcPr>
            <w:tcW w:w="280" w:type="dxa"/>
            <w:vAlign w:val="bottom"/>
          </w:tcPr>
          <w:p>
            <w:pPr>
              <w:spacing w:after="0"/>
              <w:rPr>
                <w:sz w:val="7"/>
                <w:szCs w:val="7"/>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7"/>
                <w:szCs w:val="7"/>
                <w:color w:val="auto"/>
              </w:rPr>
            </w:pPr>
          </w:p>
        </w:tc>
        <w:tc>
          <w:tcPr>
            <w:tcW w:w="86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3"/>
                <w:szCs w:val="13"/>
                <w:color w:val="auto"/>
              </w:rPr>
              <w:t>4,161</w:t>
            </w:r>
          </w:p>
        </w:tc>
        <w:tc>
          <w:tcPr>
            <w:tcW w:w="10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7"/>
                <w:szCs w:val="7"/>
                <w:color w:val="auto"/>
              </w:rPr>
            </w:pPr>
          </w:p>
        </w:tc>
        <w:tc>
          <w:tcPr>
            <w:tcW w:w="84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3"/>
                <w:szCs w:val="13"/>
                <w:color w:val="auto"/>
              </w:rPr>
              <w:t>(2,584)</w:t>
            </w:r>
          </w:p>
        </w:tc>
        <w:tc>
          <w:tcPr>
            <w:tcW w:w="160" w:type="dxa"/>
            <w:vAlign w:val="bottom"/>
          </w:tcPr>
          <w:p>
            <w:pPr>
              <w:spacing w:after="0"/>
              <w:rPr>
                <w:sz w:val="7"/>
                <w:szCs w:val="7"/>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7"/>
                <w:szCs w:val="7"/>
                <w:color w:val="auto"/>
              </w:rPr>
            </w:pPr>
          </w:p>
        </w:tc>
        <w:tc>
          <w:tcPr>
            <w:tcW w:w="86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3"/>
                <w:szCs w:val="13"/>
                <w:color w:val="auto"/>
              </w:rPr>
              <w:t>(2,584)</w:t>
            </w: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0"/>
        </w:trPr>
        <w:tc>
          <w:tcPr>
            <w:tcW w:w="3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1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Net loss attributable to non-redeemable non-controlling</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(325)</w:t>
            </w:r>
          </w:p>
        </w:tc>
        <w:tc>
          <w:tcPr>
            <w:tcW w:w="2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(109)</w:t>
            </w:r>
          </w:p>
        </w:tc>
        <w:tc>
          <w:tcPr>
            <w:tcW w:w="104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(824)</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(414)</w:t>
            </w: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(410)</w:t>
            </w:r>
          </w:p>
        </w:tc>
        <w:tc>
          <w:tcPr>
            <w:tcW w:w="9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5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1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Paid-in-kind preferred dividends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2,658</w:t>
            </w:r>
          </w:p>
        </w:tc>
        <w:tc>
          <w:tcPr>
            <w:tcW w:w="280" w:type="dxa"/>
            <w:vAlign w:val="bottom"/>
          </w:tcPr>
          <w:p>
            <w:pPr>
              <w:spacing w:after="0"/>
              <w:rPr>
                <w:sz w:val="11"/>
                <w:szCs w:val="11"/>
                <w:color w:val="auto"/>
              </w:rPr>
            </w:pPr>
          </w:p>
        </w:tc>
        <w:tc>
          <w:tcPr>
            <w:tcW w:w="7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58"/>
              <w:spacing w:after="0" w:line="130" w:lineRule="exact"/>
              <w:rPr>
                <w:sz w:val="20"/>
                <w:szCs w:val="20"/>
                <w:color w:val="auto"/>
              </w:rPr>
            </w:pPr>
            <w:r>
              <w:rPr>
                <w:rFonts w:ascii="Times New Roman" w:cs="Times New Roman" w:eastAsia="Times New Roman" w:hAnsi="Times New Roman"/>
                <w:sz w:val="13"/>
                <w:szCs w:val="13"/>
                <w:color w:val="auto"/>
              </w:rPr>
              <w:t>2,658</w:t>
            </w:r>
          </w:p>
        </w:tc>
        <w:tc>
          <w:tcPr>
            <w:tcW w:w="1040" w:type="dxa"/>
            <w:vAlign w:val="bottom"/>
            <w:gridSpan w:val="2"/>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1"/>
                <w:szCs w:val="11"/>
                <w:color w:val="auto"/>
              </w:rPr>
            </w:pPr>
          </w:p>
        </w:tc>
        <w:tc>
          <w:tcPr>
            <w:tcW w:w="84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5,093</w:t>
            </w: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3"/>
                <w:szCs w:val="13"/>
                <w:color w:val="auto"/>
              </w:rPr>
              <w:t>5,093</w:t>
            </w:r>
          </w:p>
        </w:tc>
        <w:tc>
          <w:tcPr>
            <w:tcW w:w="9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income attributable to OPAL Fuels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8"/>
              <w:spacing w:after="0" w:line="142" w:lineRule="exact"/>
              <w:rPr>
                <w:sz w:val="20"/>
                <w:szCs w:val="20"/>
                <w:color w:val="auto"/>
              </w:rPr>
            </w:pPr>
            <w:r>
              <w:rPr>
                <w:rFonts w:ascii="Times New Roman" w:cs="Times New Roman" w:eastAsia="Times New Roman" w:hAnsi="Times New Roman"/>
                <w:sz w:val="13"/>
                <w:szCs w:val="13"/>
                <w:color w:val="auto"/>
              </w:rPr>
              <w:t>(989)</w:t>
            </w:r>
          </w:p>
        </w:tc>
        <w:tc>
          <w:tcPr>
            <w:tcW w:w="1040" w:type="dxa"/>
            <w:vAlign w:val="bottom"/>
            <w:gridSpan w:val="2"/>
            <w:shd w:val="clear" w:color="auto" w:fill="CCEEFF"/>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19,364</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(19,364)</w:t>
            </w:r>
          </w:p>
        </w:tc>
        <w:tc>
          <w:tcPr>
            <w:tcW w:w="94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3140" w:type="dxa"/>
            <w:vAlign w:val="bottom"/>
            <w:tcBorders>
              <w:top w:val="single" w:sz="8" w:color="CCEEFF"/>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Net loss attributable to Common stockholders</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jc w:val="right"/>
              <w:ind w:right="37"/>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00" w:type="dxa"/>
            <w:vAlign w:val="bottom"/>
            <w:tcBorders>
              <w:top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100</w:t>
            </w:r>
          </w:p>
        </w:tc>
        <w:tc>
          <w:tcPr>
            <w:tcW w:w="260" w:type="dxa"/>
            <w:vAlign w:val="bottom"/>
            <w:tcBorders>
              <w:top w:val="single" w:sz="8" w:color="CCEEFF"/>
            </w:tcBorders>
          </w:tcPr>
          <w:p>
            <w:pPr>
              <w:jc w:val="right"/>
              <w:ind w:right="97"/>
              <w:spacing w:after="0" w:line="126"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(1,125</w:t>
            </w:r>
          </w:p>
        </w:tc>
        <w:tc>
          <w:tcPr>
            <w:tcW w:w="220" w:type="dxa"/>
            <w:vAlign w:val="bottom"/>
            <w:tcBorders>
              <w:top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RNG Fuel</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Revenue from RNG Fuel increased by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145"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Revenue from RNG Fuel increased by $46.1 million, or 124%, for the nine months ended September 30, 2022 compared to the nine months ended September 30, 2021. $28.0 million of this increase was attributable primarily to the impact of nine months of Beacon revenues in 2022 versus only five months in 2021. Additionally, revenues increased by $12.0 million from the sale of environmental credits, $3.8 million due to higher brown gas sales and $3.2 million in fuel dispensing primarily due to increased volumes.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Renewable Power</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Revenue from Renewable Power remained flat for the three months ended September 30, 2022 compared to the three months ended September 30, 2021.</w:t>
      </w:r>
    </w:p>
    <w:p>
      <w:pPr>
        <w:spacing w:after="0" w:line="19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Revenue from Renewable Power decreased by $2.2 million, or 7%, for the nine months ended September 30, 2022 compared to the nine months ended September 30, 2021. This change was attributable primarily to a decrease of $4.0 million from the reduction in energy capacity at one of our electricity generation facilities offset by positive mark to market change in commodity swaps of $2.0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i w:val="1"/>
          <w:iCs w:val="1"/>
          <w:color w:val="auto"/>
        </w:rPr>
        <w:t>Fuel Station Service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Services increased by $4.8 million, or 26%, for the three months ended September 30, 2022 compared to the three months ended September 30, 2021. This change was primarily attributable to an increase of $4.3 million in construction revenue from additional fuel station projects and an increase of $0.5 million from incremental service volumes from the addition of four new fueling service sites.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Services increased by $20.0 million, or 56%, for the nine months ended September 30, 2022 compared to the nine months ended September 30, 2021. This was primarily attributable to an increase of $18.8 million from fuel station construction projects which were delayed into 2022, coupled with an incremental $1.9 million as we built new fuel stations during the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RNG Fuel</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Cost of sales from RNG Fuel increased by $9.0 million, or 75%, for the three months ended September 30, 2022 compared to the three months ended September 30, 2021. This change was attributable primarily due to increase in costs of $3.4 million from new RNG facilities including but not limited to Emerald, Sunoma, New River and Sapphire. Additionally, there was an increase of $2.6 million due to increased royalty expense from increased RIN sales, $0.6 million write down charges relating to our brown gas inventory to its net realizable value due to decrease in prices and unplanned repairs at one of our RNG facilities.</w:t>
      </w:r>
    </w:p>
    <w:p>
      <w:pPr>
        <w:spacing w:after="0" w:line="160"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Cost of sales from RNG Fuel increased by $28.8 million, or 125%, for the nine months ended September 30, 2022 compared to the nine months ended September 30, 2021. This change was attributable primarily to the introduction of Beacon’s cost of sales upon consolidation in May 2021 resulting in an increase of $12.9 million, a $1.9 million increase in development costs for building new RNG facilities, $2.9 million increase from new RNG facilities such as Sunoma and New River, $10.3 million increase relating to increased dispensing fees from an increased volume of environmental credits generated, $0.6 million write down charges relating to our brown gas inventory to its net realizable value due to decrease in prices and $1.8 million due to unplanned repairs. Additionally, there were savings of $0.8 million from deconsolidation of Pine Bend and Noble Road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Renewable Power</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Renewable Power increased by $1.6 million, or 26%, for the three months ended September 30, 2022 compared to the three months ended September 30, 2021. The increase was primarily attributable to a $0.7 million in major maintenance at two of our facilities due to timing and a $0.3 million increase in unplanned maintenance, workers compensation expense of $0.1 million and increase of $0.2 million routine maintenance.</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Cost of sales from Renewable Power marginally decreased by $0.4 million, or 1%, for the nine months ended September 30, 2022 compared to the nine months ended September 30,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Fuel Station Service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Services increased by $5.4 million, or 35%, for the three months ended September 30, 2022 compared to the three months ended September 30, 2021. This change was primarily attributable to an increase of $5.0 million from construction of additional projects and an increase of $0.4 million increase in service from higher volumes.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Services increased by $19.9 million, or 67%, for the nine months ended September 30, 2022 compared to the nine months ended September 30, 2021. This change was attributable primarily to an increase in costs of $18.2 million for third-party construction projects due to delays into 2022 and an increase of $1.7 million in service from higher volumes dispensed.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$7.8 million, or 99%, for the three months ended September 30, 2022 compared to the three months ended September 30, 2021. This change was attributable primarily to an increase in insurance expense of $5.0 million related to a directors and officers tail policy for Arclight’s former directors and new directors and officers policy for the Company’s current management, higher employee headcount and related compensation and benefit expenses of $1.3 million to support our organic growth, an increase of $0.6 million in professional fees and audit fees relating becoming a publicly traded company, an increase of $0.7 million in IT- related expenses as we invested to improve our technology platforms and $0.2 million related to filing a registration statement for the resale of Class A common stock on behalf of certain of our equity holders.</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$15.5 million, or 81%, for the nine months ended September 30, 2022 compared to the nine months ended September 30, 2021. This change was attributable primarily to higher insurance expense of $5.1 million relating to the insurance policies for Arclight’s former directors and the Company’s current management, higher employee headcount and related compensation and benefit expenses of $6.6 million to support our organic growth year-over-year, a $2.6 million increase in professional fees related to audit, tax, legal and consulting fees, a $2.5 million increase in IT-related expenses and $0.2 million related to filing of the registration statement.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amortization, and accretion</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$0.6 million, or 25%, for the three months ended September 30, 2022 compared to the three months ended September 30, 2021. This change was primarily due to increase in depreciation from the Sunoma and New River RNG facilities coming online.</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$3.1 million, or 47%, for the nine months ended September 30, 2022 compared to the nine months ended September 30, 2021. This change was attributable primarily to the introduction of Beacon’s property, plant and equipment balances upon consolidation in 2021 increasing our depreciation expense by $0.8 million, a $0.4 million increase from new downstream dispensing sites becoming operational, a $1.0 million increase from one additional RNG facility becoming operational during the fourth quarter of 2021 and $0.8 million increase due to accelerated depreciation on two facilities in our Renewable Power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 net</w:t>
      </w:r>
    </w:p>
    <w:p>
      <w:pPr>
        <w:spacing w:after="0" w:line="198"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Interest and financing expenses, net, decreased by $1.6 million, or 67%, for the three months ended September 30, 2022 compared to the three months ended September 30, 2021. This change was primarily due to an increase in interest income of $0.4 million due to interest earned on the short term investments (cash received from completion of Business Combination), a $0.7 million saving on interest on Convertible Note Payable as 50% of the debt was converted to equity on July 21, 2022 and change in fair value of Convertible note of $2.9 million. This was offset by an increase in outstanding debt from the OPAL Term Loan resulting in an increase in an interest expense of $1.1 million (including $0.4 million of amortization of deferred financing costs), a $0.2 million increase in commitment fees on our OPAL Term Loan II facility and a $0.7 million increase from the Sunoma Loan as the interest expense was expensed for the three months ended September 30, 2022 whereas the interest was capitalized in the same prior-year period because the construction was completed during the first quarter of 2022.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00" w:name="page101"/>
    <w:bookmarkEnd w:id="100"/>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Interest and financing expenses, net increased by $1.5 million, or 27%, for the nine months ended September 30, 2022 compared to the nine months ended September 30, 2021. The increase is primarily attributable to the increase in outstanding debt versus the prior period. the $1.5 million increase was driven by a $0.5 million increase interest on Senior Secured Credit Facility, $2.9 million increase in interest on the OPAL Term Loan, $0.8 million increase in amortization of deferred financing costs, $1.3 million increase in Sunoma Loan( interest on Sunoma Loan was capitalized in 2021), partially offset by $2.4 million decrease on Convertible payable which includes a decrease of $2.9 million in change in fair market value, increase in interest income of $1.3 million from the Note receivable and short term investments and $0.5 million savings in interest on the Trustar revolver facility since it was repaid in October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Income from equity method investment</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Net income attributable to equity method investments increased by $3.7 million, or 100%, for the three months ended September 30, 2022, compared to the three months ended September 30, 2021. This change was attributable primarily to an increase of $3.7 million from equity method investments in the Pine Bend, Noble Road and GREP. For the three months ended September 30, 2021, there was no income from equity method investments.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income attributable to equity method investments increased by $1.3 million, or 53%, for the nine ended September 30, 2022 compared to the nine ended September 30, 2021. This change was attributable primarily to the increase in net income from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Gain on acquisition of equity method investment</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was no gain on equity method investment for the three months ended September 30, 2022 and 2021.</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gain on acquisition of equity method investment decreased by $19.8 million, or 100%, for the nine ended September 30, 2022 compared to the nine months ended September 30, 2021. This change was attributable primarily to our step acquisition of the remaining interest in Beacon in May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derivatives, net</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Change in fair value of derivatives, net increased by $1.9 million, or 6967%, for the three months ended September 30, 2022 compared to the three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Change in fair value of derivatives, net increased by $1.6 million, or 15700%, for the nine months ended September 30, 2022 compared to the nine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Other income increased by $6.3 million, or 100%, for the three and nine months ended September 30, 2022 compared to the three and nine months ended September 30, 2021. This change is primarily related $4.4 million recognized on reversal of a contingent payment to a non-controlling interest of one of our VIEs we consolidated in our financial statements as the applicable criteria for payment are no longer met as of September 30, 2022 and $1.9 million gain recognized on repayment of Note receivable.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redeemable non-controlling interests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gain (loss) attributable to redeemable non-controlling interests for the three and nine months ended September 30, 2022 is $4.2 million and ($2.6 million), respectively. The net loss for the three and nine months ended September 30, 2022 reflects the portion of earnings belonging to OPAL Fuels equity holders prior to Business Combination for the period January 1, 2022 till July 21, 2022.</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non-redeemable non-controlling interests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loss attributable to non-redeemable non-controlling interests for the three months ended September 30, 2022 increased by $0.1 million or 50%, compared to the three months ended September 30, 2021. This reflects the joint venture partners’ loss in those entities we sold a portion of our membership interests in certain RNG facilities which are consolidated in our financial statements. These entities for the three months ended September 30, 2022, were Sunoma, Emerald, Sapphire and Central Valley. The entities accounted for as non-redeemable non-controlling interests for the three months ended September 30, 2021 were Pine Bend, Noble Road, Sunoma and Central Valley.</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loss attributable to non-redeemable non-controlling interests for the nine months ended September 30, 2022 increased by $0.4 million or 99%, compared to nine months ended September 30, 2021. This reflects the joint venture partners’ loss in those entities we sold a portion of our membership interests in certain RNG facilities which are consolidated in our financial statements. These entities for the nine months ended September 30, 2022, were Sunoma, Emerald, Sapphire and Central Valley. The entities accounted for as non-redeemable non-controlling interests for the nine months ended September 30, 2021 were Pine Bend, Noble Road, Sunoma and Central Valley.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Paid-in-kind preferred dividends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Redeemable preferred non-controlling interests carry an interest of 8% dividend payable quarterly either in cash or paid-in-kind for the first eight quarters at the option of the Company. The Company recorded the dividend payable of $2.7 million and $5.1 million for the three and nine months ended September 30, 2022, respectively as to be paid-in-kind.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was no paid-in-kind preferred dividend for the three and nine months ended September 30, 2021.</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Fiscal Years Ended December 31, 2021 and 2020</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presents the period-over-period change for each line item in the Company’s statement of operations for the fiscal years ended December 31, 2021 and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80" w:type="dxa"/>
            <w:vAlign w:val="bottom"/>
          </w:tcPr>
          <w:p>
            <w:pPr>
              <w:spacing w:after="0"/>
              <w:rPr>
                <w:sz w:val="16"/>
                <w:szCs w:val="16"/>
                <w:color w:val="auto"/>
              </w:rPr>
            </w:pPr>
          </w:p>
        </w:tc>
        <w:tc>
          <w:tcPr>
            <w:tcW w:w="92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0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70,360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58,815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45,324</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51,250</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50,440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48,418</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41</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41,075</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7,376</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31,152</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37,755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(6,603)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42,838</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45,037</w:t>
            </w: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29,380</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20,474</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10,653</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8,338</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17,689</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(1,292)</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expenses</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155,098</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135,542</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19,556</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3"/>
        </w:trPr>
        <w:tc>
          <w:tcPr>
            <w:tcW w:w="50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Other income (expense)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(7,467)</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(6,655)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 (loss) on derivative financial instruments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(2,197)</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equity method investments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2,268</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19,818</w:t>
            </w:r>
          </w:p>
        </w:tc>
        <w:tc>
          <w:tcPr>
            <w:tcW w:w="3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1,792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(1,792)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(loss) income</w:t>
            </w:r>
          </w:p>
        </w:tc>
        <w:tc>
          <w:tcPr>
            <w:tcW w:w="8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40,769</w:t>
            </w:r>
          </w:p>
        </w:tc>
        <w:tc>
          <w:tcPr>
            <w:tcW w:w="2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(25,371</w:t>
            </w:r>
          </w:p>
        </w:tc>
        <w:tc>
          <w:tcPr>
            <w:tcW w:w="220" w:type="dxa"/>
            <w:vAlign w:val="bottom"/>
            <w:tcBorders>
              <w:top w:val="single" w:sz="8" w:color="CCEEFF"/>
              <w:bottom w:val="single" w:sz="8" w:color="CCEEFF"/>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66,140</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261</w:t>
            </w:r>
          </w:p>
        </w:tc>
        <w:tc>
          <w:tcPr>
            <w:tcW w:w="20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(804)</w:t>
            </w:r>
          </w:p>
        </w:tc>
        <w:tc>
          <w:tcPr>
            <w:tcW w:w="380" w:type="dxa"/>
            <w:vAlign w:val="bottom"/>
          </w:tcPr>
          <w:p>
            <w:pPr>
              <w:spacing w:after="0"/>
              <w:rPr>
                <w:sz w:val="17"/>
                <w:szCs w:val="17"/>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0" w:type="dxa"/>
            <w:vAlign w:val="bottom"/>
          </w:tcPr>
          <w:p>
            <w:pPr>
              <w:spacing w:after="0"/>
              <w:rPr>
                <w:sz w:val="1"/>
                <w:szCs w:val="1"/>
                <w:color w:val="auto"/>
              </w:rPr>
            </w:pPr>
          </w:p>
        </w:tc>
      </w:tr>
      <w:tr>
        <w:trPr>
          <w:trHeight w:val="24"/>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OPAL Fuels Inc.</w:t>
            </w: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216"/>
        </w:trPr>
        <w:tc>
          <w:tcPr>
            <w:tcW w:w="5000" w:type="dxa"/>
            <w:vAlign w:val="bottom"/>
            <w:vMerge w:val="continue"/>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41,363</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(25,358</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66,721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0"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Fuel</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Fuel Station Service</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sales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RNG Fuel</w:t>
      </w:r>
    </w:p>
    <w:p>
      <w:pPr>
        <w:spacing w:after="0" w:line="198"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Fuel Station Service</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03" w:name="page104"/>
    <w:bookmarkEnd w:id="103"/>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Depreciation, amortization, and accretion</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termination of PPA</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Loss on sale/disposal of assets</w:t>
      </w:r>
    </w:p>
    <w:p>
      <w:pPr>
        <w:spacing w:after="0" w:line="198" w:lineRule="exact"/>
        <w:rPr>
          <w:sz w:val="20"/>
          <w:szCs w:val="20"/>
          <w:color w:val="auto"/>
        </w:rPr>
      </w:pPr>
    </w:p>
    <w:p>
      <w:pPr>
        <w:jc w:val="both"/>
        <w:ind w:firstLine="354"/>
        <w:spacing w:after="0" w:line="275" w:lineRule="auto"/>
        <w:rPr>
          <w:sz w:val="20"/>
          <w:szCs w:val="20"/>
          <w:color w:val="auto"/>
        </w:rPr>
      </w:pPr>
      <w:r>
        <w:rPr>
          <w:rFonts w:ascii="Times New Roman" w:cs="Times New Roman" w:eastAsia="Times New Roman" w:hAnsi="Times New Roman"/>
          <w:sz w:val="16"/>
          <w:szCs w:val="16"/>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 net</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Realized and unrealized gain on interest rate swaps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Net (Loss) Income from equity method investment</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04" w:name="page105"/>
    <w:bookmarkEnd w:id="104"/>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acquisition of equity method investment</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Gain on deconsolidation of entities</w:t>
      </w:r>
    </w:p>
    <w:p>
      <w:pPr>
        <w:spacing w:after="0" w:line="196" w:lineRule="exact"/>
        <w:rPr>
          <w:sz w:val="20"/>
          <w:szCs w:val="20"/>
          <w:color w:val="auto"/>
        </w:rPr>
      </w:pPr>
    </w:p>
    <w:p>
      <w:pPr>
        <w:jc w:val="both"/>
        <w:ind w:right="20"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of December 31, 2021, we re-assessed our equity interests in Pine Bend and Noble Road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6"/>
          <w:szCs w:val="16"/>
          <w:i w:val="1"/>
          <w:iCs w:val="1"/>
          <w:color w:val="auto"/>
        </w:rPr>
        <w:t>Investments Equity Method and Joint Ventures</w:t>
      </w:r>
      <w:r>
        <w:rPr>
          <w:rFonts w:ascii="Times New Roman" w:cs="Times New Roman" w:eastAsia="Times New Roman" w:hAnsi="Times New Roman"/>
          <w:sz w:val="16"/>
          <w:szCs w:val="16"/>
          <w:color w:val="auto"/>
        </w:rPr>
        <w:t>, prospectively, as we have the ability to exercise significant influence, but not control, over both entities.</w:t>
      </w:r>
    </w:p>
    <w:p>
      <w:pPr>
        <w:spacing w:after="0" w:line="157"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Upon deconsolidation, we remeasured the fair value of the retained investment and recognized a gain of $3.1 million on Pine Bend and $11.9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Paid-in-kind preferred dividends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There was $0.2 million and $- paid-in-kind preferred dividend pursuant to the Series A Preferred Units and Series A-1 Preferred Units for the years ended December 31, 2021 and 2020,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As of September 30, 2022, our liquidity consisted of cash and cash equivalents including restricted cash of $71.4 million and short term investments of $146.9 million. Additionally, we entered into a Senior Secured Credit Facility which provides an approximately two year delayed term loan facility (the </w:t>
      </w:r>
      <w:r>
        <w:rPr>
          <w:rFonts w:ascii="Times New Roman" w:cs="Times New Roman" w:eastAsia="Times New Roman" w:hAnsi="Times New Roman"/>
          <w:sz w:val="16"/>
          <w:szCs w:val="16"/>
          <w:b w:val="1"/>
          <w:bCs w:val="1"/>
          <w:i w:val="1"/>
          <w:iCs w:val="1"/>
          <w:color w:val="auto"/>
        </w:rPr>
        <w:t>“DDTL Facility”</w:t>
      </w:r>
      <w:r>
        <w:rPr>
          <w:rFonts w:ascii="Times New Roman" w:cs="Times New Roman" w:eastAsia="Times New Roman" w:hAnsi="Times New Roman"/>
          <w:sz w:val="16"/>
          <w:szCs w:val="16"/>
          <w:color w:val="auto"/>
        </w:rPr>
        <w:t xml:space="preserve">) of up to a maximum aggregate principal amount of $100.0 million and Debt Service Reserve facility (the </w:t>
      </w:r>
      <w:r>
        <w:rPr>
          <w:rFonts w:ascii="Times New Roman" w:cs="Times New Roman" w:eastAsia="Times New Roman" w:hAnsi="Times New Roman"/>
          <w:sz w:val="16"/>
          <w:szCs w:val="16"/>
          <w:b w:val="1"/>
          <w:bCs w:val="1"/>
          <w:i w:val="1"/>
          <w:iCs w:val="1"/>
          <w:color w:val="auto"/>
        </w:rPr>
        <w:t>“DSR Facility”</w:t>
      </w:r>
      <w:r>
        <w:rPr>
          <w:rFonts w:ascii="Times New Roman" w:cs="Times New Roman" w:eastAsia="Times New Roman" w:hAnsi="Times New Roman"/>
          <w:sz w:val="16"/>
          <w:szCs w:val="16"/>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We have recently drawn $25.0 million under the OPAL Term Loan. Additionally, we have entered into an amendment to the OPAL Term Loan which extended commitment available date to March 2023 for the remaining $10.0 million.</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Prospectus/Offer to Exchange. Any reduction in demand for our products or our ability to manage our production facilities may result in lower cash flows from operations which may impact our ability to make investments and may require changes to our growth plan.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05" w:name="page106"/>
    <w:bookmarkEnd w:id="105"/>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connection with the Business Combination, holders of Arclight’s Class A ordinary shares representing an aggregate redemption amount of $274,186,522 exercised their right to redeem their shares for cash. In addition, for the nine months ended September 30, 2022, we received revenue of approximately $168.8 million, which is lower than the revenue we expected to receive toward the full year numbers previously disclosed as part of the unaudited prospective financial information our management prepared and provided to the ArcLight board of directors in connection with the evaluation of the Business Combination (the “Prior Projections”). This has resulted primarily from lower than anticipated levels of gas collection at certain operating facilities, delays in completion of construction of certain RNG facilities, (which are now in commercial operation) and delays in commencement of construction of Fueling Stations. While the second half of 2022 has shown improvement to date and we expect revenue to be higher than that in the first half of the year, we currently anticipate that our full year revenue for 2022 will be lower than anticipated in the Prior Projections as a result of these factors. We are continuing to evaluate our business plan but we expect that the factors described above that we experienced during the nine months ended September 30, 2022 will continue during 2023. In this regard, we remind investors that we have not updated the Prior Projections. Certain of the assumptions underlying the Prior Projections are no longer correct and, as a result, investors should not rely on the Prior Projections.</w:t>
      </w:r>
    </w:p>
    <w:p>
      <w:pPr>
        <w:spacing w:after="0" w:line="17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Notwithstanding these developments, we continue to expect that our currently available cash on hand, together with expected cash flows from operations, available credit under existing debt facilities, as well as other sources of capital we expect to be accessible, will be sufficient to meet our existing commitments and anticipated capital expenditures associated with our growth plan for a period of at least twelve months from the date of this Prospectus/Offer to Exchange.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“Risk Factors” and “Cautionary Statement Regarding Forward-Looking Statements.”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had total indebtedness excluding deferred financing costs of $220.0 million in principal amount which primarily consists of $77.7 million under Senior Secured Credit Facility, $28.0 million under the Convertible Note Payable, $91.2 million under the OPAL Term Loan, $0.1 million under the Municipality loan and $23.0 million under Sunoma Loan.</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intend to make payments under our various debt instruments when due and pursue opportunities for earlier repayment and/or refinancing if and when these opportunities arise.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See Note 8.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to our condensed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Company’s cash flows for the nine months ended September 30, 2022 and 2021, and the years ended December 31, 2021 and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6"/>
                <w:szCs w:val="16"/>
                <w:color w:val="auto"/>
              </w:rPr>
            </w:pPr>
          </w:p>
        </w:tc>
        <w:tc>
          <w:tcPr>
            <w:tcW w:w="23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Fiscal Year Ended</w:t>
            </w:r>
          </w:p>
        </w:tc>
      </w:tr>
      <w:tr>
        <w:trPr>
          <w:trHeight w:val="211"/>
        </w:trPr>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Borders>
              <w:bottom w:val="single" w:sz="8" w:color="CCEEFF"/>
            </w:tcBorders>
          </w:tcPr>
          <w:p>
            <w:pPr>
              <w:spacing w:after="0"/>
              <w:rPr>
                <w:sz w:val="17"/>
                <w:szCs w:val="17"/>
                <w:color w:val="auto"/>
              </w:rPr>
            </w:pPr>
          </w:p>
        </w:tc>
      </w:tr>
      <w:tr>
        <w:trPr>
          <w:trHeight w:val="18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from operating activities</w:t>
            </w: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shd w:val="clear" w:color="auto" w:fill="CCEEFF"/>
          </w:tcPr>
          <w:p>
            <w:pPr>
              <w:spacing w:after="0"/>
              <w:rPr>
                <w:sz w:val="16"/>
                <w:szCs w:val="16"/>
                <w:color w:val="auto"/>
              </w:rPr>
            </w:pPr>
          </w:p>
        </w:tc>
      </w:tr>
      <w:tr>
        <w:trPr>
          <w:trHeight w:val="189"/>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(218,930)</w:t>
            </w:r>
          </w:p>
        </w:tc>
        <w:tc>
          <w:tcPr>
            <w:tcW w:w="3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(69,763)</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(117,204)</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(22,179)</w:t>
            </w:r>
          </w:p>
        </w:tc>
      </w:tr>
      <w:tr>
        <w:trPr>
          <w:trHeight w:val="22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from financing activities</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270,525</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52,729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125,014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21,453</w:t>
            </w:r>
          </w:p>
        </w:tc>
      </w:tr>
      <w:tr>
        <w:trPr>
          <w:trHeight w:val="190"/>
        </w:trPr>
        <w:tc>
          <w:tcPr>
            <w:tcW w:w="4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w:t>
            </w:r>
          </w:p>
        </w:tc>
        <w:tc>
          <w:tcPr>
            <w:tcW w:w="1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Borders>
              <w:top w:val="single" w:sz="8" w:color="CCEEFF"/>
            </w:tcBorders>
          </w:tcPr>
          <w:p>
            <w:pPr>
              <w:spacing w:after="0"/>
              <w:rPr>
                <w:sz w:val="16"/>
                <w:szCs w:val="16"/>
                <w:color w:val="auto"/>
              </w:rPr>
            </w:pPr>
          </w:p>
        </w:tc>
      </w:tr>
      <w:tr>
        <w:trPr>
          <w:trHeight w:val="553"/>
        </w:trPr>
        <w:tc>
          <w:tcPr>
            <w:tcW w:w="4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for the nine months ended September 30, 2022 was $22.3 million, a decrease of $51.2 million compared to net cash provided of $28.9 million for the nine months ended September 30, 2021. The decrease in cash provided by operating activities was primarily attributable to an increase in net operating losses year over year and negative working capital changes.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Net cash used in investing activities for the nine months ended September 30, 2022 was $218.9 million, an increase of $149.2 million thousand compared to the $69.8 million used in investing activities for the nine months ended September 30, 2021. This was primarily driven by cash invested in short term investments of $146.9 million (cash received from Business Combination), payments made for the construction of various RNG generation and dispensing facilities of $84.9 million offset by proceeds from repayment of Note receivable of $10.9 million and distribution from equity method investment of $2.1 million.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Net cash provided from financing activities for the nine months ended September 30, 2022 was $270.5 million, an increase of $217.8 million compared to the $52.7 million provided from financing activities for the nine months ended September 30, 2021. This was primarily driven by proceeds received from consummation of Business Combination of $138.9 million, issuance of redeemable preferred non-controlling interests for total proceeds of $100.0 million, proceeds from OPAL Term Loan of $27.5 million, proceeds from Sunoma Loan$4.6 million, capital contribution from a joint venture $23.2 million offset by debt repayments of $3.7 million and $11.3 million on the Senior Secured Credit Facility and the OPAL Term Loan, respectively, and $8.5 million paid as financing costs.</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have budgeted for $412,342 thousand in capital expenditures for the next 12 months, of which $220,184 thousand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6"/>
          <w:szCs w:val="16"/>
          <w:b w:val="1"/>
          <w:bCs w:val="1"/>
          <w:color w:val="auto"/>
        </w:rPr>
        <w:t>.</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to the above, we also have lease commitments on our vehicle fleets and office leases and quarterly amortization payment obligations under various debt facilities.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Please see Note 8.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 our condensed consolidated financial statements for additional information.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plan to fund these expenditures primarily through cash on hand, cash generated from operations, and cash from the Business Combination and PIPE Investment.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in the United States (“</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requires management to make estimates and assumptions that affect the reported amounts and disclosures in our financial statements.</w:t>
      </w:r>
    </w:p>
    <w:p>
      <w:pPr>
        <w:spacing w:after="0" w:line="143"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5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critical accounting policies discussed below are a subset of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Renewable Power</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Gas — Fuel Purchase Agreements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Interstate Gas Pipeline Delivery</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Environmental Attributes</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Operation and Maintenance</w:t>
      </w:r>
    </w:p>
    <w:p>
      <w:pPr>
        <w:spacing w:after="0" w:line="194" w:lineRule="exact"/>
        <w:rPr>
          <w:sz w:val="20"/>
          <w:szCs w:val="20"/>
          <w:color w:val="auto"/>
        </w:rPr>
      </w:pPr>
    </w:p>
    <w:p>
      <w:pPr>
        <w:jc w:val="both"/>
        <w:ind w:firstLine="283"/>
        <w:spacing w:after="0" w:line="280" w:lineRule="auto"/>
        <w:rPr>
          <w:sz w:val="20"/>
          <w:szCs w:val="20"/>
          <w:color w:val="auto"/>
        </w:rPr>
      </w:pPr>
      <w:r>
        <w:rPr>
          <w:rFonts w:ascii="Times New Roman" w:cs="Times New Roman" w:eastAsia="Times New Roman" w:hAnsi="Times New Roman"/>
          <w:sz w:val="15"/>
          <w:szCs w:val="15"/>
          <w:color w:val="auto"/>
        </w:rPr>
        <w:t>We have operating and maintenance (“</w:t>
      </w:r>
      <w:r>
        <w:rPr>
          <w:rFonts w:ascii="Times New Roman" w:cs="Times New Roman" w:eastAsia="Times New Roman" w:hAnsi="Times New Roman"/>
          <w:sz w:val="15"/>
          <w:szCs w:val="15"/>
          <w:b w:val="1"/>
          <w:bCs w:val="1"/>
          <w:i w:val="1"/>
          <w:iCs w:val="1"/>
          <w:color w:val="auto"/>
        </w:rPr>
        <w:t>O&amp;M</w:t>
      </w:r>
      <w:r>
        <w:rPr>
          <w:rFonts w:ascii="Times New Roman" w:cs="Times New Roman" w:eastAsia="Times New Roman" w:hAnsi="Times New Roman"/>
          <w:sz w:val="15"/>
          <w:szCs w:val="15"/>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5"/>
          <w:szCs w:val="15"/>
          <w:b w:val="1"/>
          <w:bCs w:val="1"/>
          <w:i w:val="1"/>
          <w:iCs w:val="1"/>
          <w:color w:val="auto"/>
        </w:rPr>
        <w:t>MMBtu</w:t>
      </w:r>
      <w:r>
        <w:rPr>
          <w:rFonts w:ascii="Times New Roman" w:cs="Times New Roman" w:eastAsia="Times New Roman" w:hAnsi="Times New Roman"/>
          <w:sz w:val="15"/>
          <w:szCs w:val="15"/>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Construction Type Contracts — Third Party</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08" w:name="page109"/>
    <w:bookmarkEnd w:id="108"/>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Impairment of Goodwill and Long-Lived Assets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Impairment of Goodwill</w:t>
      </w:r>
    </w:p>
    <w:p>
      <w:pPr>
        <w:spacing w:after="0" w:line="194"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auto"/>
        </w:rPr>
        <w:t>Impairment of Long-Lived Assets</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Based on our assessment for the nine months ended September 30, 2022, there is no impairment recorded on our Plant, Property and Equipment.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09" w:name="page110"/>
    <w:bookmarkEnd w:id="109"/>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6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Refer to Note 9, </w:t>
      </w:r>
      <w:r>
        <w:rPr>
          <w:rFonts w:ascii="Times New Roman" w:cs="Times New Roman" w:eastAsia="Times New Roman" w:hAnsi="Times New Roman"/>
          <w:sz w:val="16"/>
          <w:szCs w:val="16"/>
          <w:i w:val="1"/>
          <w:iCs w:val="1"/>
          <w:color w:val="auto"/>
        </w:rPr>
        <w:t>Derivative Financial Instruments and Fair Value Measurements,</w:t>
      </w:r>
      <w:r>
        <w:rPr>
          <w:rFonts w:ascii="Times New Roman" w:cs="Times New Roman" w:eastAsia="Times New Roman" w:hAnsi="Times New Roman"/>
          <w:sz w:val="16"/>
          <w:szCs w:val="16"/>
          <w:color w:val="auto"/>
        </w:rPr>
        <w:t xml:space="preserve"> to our condensed consolidated financial statements, for details on our assets and liabilities regularly recorded at fair value and the respective placements in the fair value hierarchy.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6"/>
          <w:szCs w:val="16"/>
          <w:b w:val="1"/>
          <w:bCs w:val="1"/>
          <w:i w:val="1"/>
          <w:iCs w:val="1"/>
          <w:color w:val="auto"/>
        </w:rPr>
        <w:t>CDC</w:t>
      </w:r>
      <w:r>
        <w:rPr>
          <w:rFonts w:ascii="Times New Roman" w:cs="Times New Roman" w:eastAsia="Times New Roman" w:hAnsi="Times New Roman"/>
          <w:sz w:val="16"/>
          <w:szCs w:val="16"/>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of the date of this Prospectus/Offer to Exchange,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Times New Roman" w:cs="Times New Roman" w:eastAsia="Times New Roman" w:hAnsi="Times New Roman"/>
          <w:sz w:val="16"/>
          <w:szCs w:val="16"/>
          <w:i w:val="1"/>
          <w:iCs w:val="1"/>
          <w:color w:val="auto"/>
        </w:rPr>
        <w:t>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Board</w:t>
      </w:r>
    </w:p>
    <w:p>
      <w:pPr>
        <w:spacing w:after="0" w:line="198"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w:t>
      </w:r>
      <w:r>
        <w:rPr>
          <w:rFonts w:ascii="Times New Roman" w:cs="Times New Roman" w:eastAsia="Times New Roman" w:hAnsi="Times New Roman"/>
          <w:sz w:val="16"/>
          <w:szCs w:val="16"/>
          <w:i w:val="1"/>
          <w:iCs w:val="1"/>
          <w:color w:val="auto"/>
        </w:rPr>
        <w:t>independent director</w:t>
      </w:r>
      <w:r>
        <w:rPr>
          <w:rFonts w:ascii="Times New Roman" w:cs="Times New Roman" w:eastAsia="Times New Roman" w:hAnsi="Times New Roman"/>
          <w:sz w:val="16"/>
          <w:szCs w:val="16"/>
          <w:color w:val="auto"/>
        </w:rPr>
        <w:t>”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w:t>
      </w:r>
      <w:r>
        <w:rPr>
          <w:rFonts w:ascii="Times New Roman" w:cs="Times New Roman" w:eastAsia="Times New Roman" w:hAnsi="Times New Roman"/>
          <w:sz w:val="16"/>
          <w:szCs w:val="16"/>
          <w:i w:val="1"/>
          <w:iCs w:val="1"/>
          <w:color w:val="auto"/>
        </w:rPr>
        <w:t>independent</w:t>
      </w:r>
      <w:r>
        <w:rPr>
          <w:rFonts w:ascii="Times New Roman" w:cs="Times New Roman" w:eastAsia="Times New Roman" w:hAnsi="Times New Roman"/>
          <w:sz w:val="16"/>
          <w:szCs w:val="16"/>
          <w:color w:val="auto"/>
        </w:rPr>
        <w:t>” as that term is defined under the applicable rules and regulations of the SEC and the listing requirements and rules of Nasdaq.</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Position with</w:t>
            </w:r>
          </w:p>
        </w:tc>
        <w:tc>
          <w:tcPr>
            <w:tcW w:w="1240" w:type="dxa"/>
            <w:vAlign w:val="bottom"/>
          </w:tcPr>
          <w:p>
            <w:pPr>
              <w:spacing w:after="0"/>
              <w:rPr>
                <w:sz w:val="16"/>
                <w:szCs w:val="16"/>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OPAL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r>
      <w:tr>
        <w:trPr>
          <w:trHeight w:val="18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Comora</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Chairman</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Nadeem Nisar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Marco F. Gatti</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Kevin M. Fogarty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Betsy L. Battle</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r>
      <w:tr>
        <w:trPr>
          <w:trHeight w:val="18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Dols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r>
      <w:tr>
        <w:trPr>
          <w:trHeight w:val="18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Ashok Vemuri</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brief biography of each director of our board.</w:t>
      </w:r>
    </w:p>
    <w:p>
      <w:pPr>
        <w:spacing w:after="0" w:line="19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S. Comora </w:t>
      </w:r>
      <w:r>
        <w:rPr>
          <w:rFonts w:ascii="Times New Roman" w:cs="Times New Roman" w:eastAsia="Times New Roman" w:hAnsi="Times New Roman"/>
          <w:sz w:val="16"/>
          <w:szCs w:val="16"/>
          <w:color w:val="auto"/>
        </w:rPr>
        <w:t>is the Founder and President of Fortistar. Since founding Fortistar in 1993, Mr. Comora has led Fortistar’s growth in the decarbonization of power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6"/>
          <w:szCs w:val="16"/>
          <w:i w:val="1"/>
          <w:iCs w:val="1"/>
          <w:color w:val="auto"/>
        </w:rPr>
        <w:t>Braven Environmental</w:t>
      </w:r>
      <w:r>
        <w:rPr>
          <w:rFonts w:ascii="Times New Roman" w:cs="Times New Roman" w:eastAsia="Times New Roman" w:hAnsi="Times New Roman"/>
          <w:sz w:val="16"/>
          <w:szCs w:val="16"/>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59"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Nadeem Nisar </w:t>
      </w:r>
      <w:r>
        <w:rPr>
          <w:rFonts w:ascii="Times New Roman" w:cs="Times New Roman" w:eastAsia="Times New Roman" w:hAnsi="Times New Roman"/>
          <w:sz w:val="16"/>
          <w:szCs w:val="16"/>
          <w:color w:val="auto"/>
        </w:rPr>
        <w:t>has been serving as a Managing Director of Fortistar since July 2008, where he serves as Head of Fortistar’s Investment Team. Mr. Nisar is a member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11" w:name="page112"/>
    <w:bookmarkEnd w:id="111"/>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Marco F. Gatti </w:t>
      </w:r>
      <w:r>
        <w:rPr>
          <w:rFonts w:ascii="Times New Roman" w:cs="Times New Roman" w:eastAsia="Times New Roman" w:hAnsi="Times New Roman"/>
          <w:sz w:val="16"/>
          <w:szCs w:val="16"/>
          <w:color w:val="auto"/>
        </w:rPr>
        <w:t>currently serves as a Managing Director of ArcLight Capital. Mr. Gatti joined ArcLight Capital in 2018 and has 11 years of energy and private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60" w:lineRule="exact"/>
        <w:rPr>
          <w:sz w:val="20"/>
          <w:szCs w:val="20"/>
          <w:color w:val="auto"/>
        </w:rPr>
      </w:pPr>
    </w:p>
    <w:p>
      <w:pPr>
        <w:jc w:val="both"/>
        <w:ind w:right="20" w:firstLine="283"/>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Kevin M. Fogarty </w:t>
      </w:r>
      <w:r>
        <w:rPr>
          <w:rFonts w:ascii="Times New Roman" w:cs="Times New Roman" w:eastAsia="Times New Roman" w:hAnsi="Times New Roman"/>
          <w:sz w:val="16"/>
          <w:szCs w:val="16"/>
          <w:color w:val="auto"/>
        </w:rPr>
        <w:t>recently retired from Kraton Corporation, Inc. (“</w:t>
      </w:r>
      <w:r>
        <w:rPr>
          <w:rFonts w:ascii="Times New Roman" w:cs="Times New Roman" w:eastAsia="Times New Roman" w:hAnsi="Times New Roman"/>
          <w:sz w:val="16"/>
          <w:szCs w:val="16"/>
          <w:i w:val="1"/>
          <w:iCs w:val="1"/>
          <w:color w:val="auto"/>
        </w:rPr>
        <w:t>Kraton</w:t>
      </w:r>
      <w:r>
        <w:rPr>
          <w:rFonts w:ascii="Times New Roman" w:cs="Times New Roman" w:eastAsia="Times New Roman" w:hAnsi="Times New Roman"/>
          <w:sz w:val="16"/>
          <w:szCs w:val="16"/>
          <w:color w:val="auto"/>
        </w:rPr>
        <w:t>”), where he served as President, Chief Executive Officer and Director, since 2008, following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Betsy L. Battle </w:t>
      </w:r>
      <w:r>
        <w:rPr>
          <w:rFonts w:ascii="Times New Roman" w:cs="Times New Roman" w:eastAsia="Times New Roman" w:hAnsi="Times New Roman"/>
          <w:sz w:val="16"/>
          <w:szCs w:val="16"/>
          <w:color w:val="auto"/>
        </w:rPr>
        <w:t>has served since 2009 as Founding Partner and Chief Investment Officer of Lone Peak Partners Management, LP, an investment firm registered with the SEC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62"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Scott Dols </w:t>
      </w:r>
      <w:r>
        <w:rPr>
          <w:rFonts w:ascii="Times New Roman" w:cs="Times New Roman" w:eastAsia="Times New Roman" w:hAnsi="Times New Roman"/>
          <w:sz w:val="16"/>
          <w:szCs w:val="16"/>
          <w:color w:val="auto"/>
        </w:rPr>
        <w:t>is the CEO of several waste-related companies. Mr. Dols is the Founder and, since 2002, has served as CEO of Big Truck Rental, which is a provider of new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5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Ashok Vemuri </w:t>
      </w:r>
      <w:r>
        <w:rPr>
          <w:rFonts w:ascii="Times New Roman" w:cs="Times New Roman" w:eastAsia="Times New Roman" w:hAnsi="Times New Roman"/>
          <w:sz w:val="16"/>
          <w:szCs w:val="16"/>
          <w:color w:val="auto"/>
        </w:rPr>
        <w:t>served as Chief Executive Officer and a Director of Conduent Incorporated, a global digital interactions company, from the company’s inception as a result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78"/>
        </w:trPr>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following persons serve as our executive officers:</w:t>
            </w: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Position with OPAL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189"/>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Adam Comora</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Co-Chief Executive Officer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Maurer</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Co-Chief Executive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 Anthony</w:t>
            </w: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Unger</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Executive Vice President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Falbo</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Chief Operating Officer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Edelbach</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Executive Vice President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8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Hugh Donnell</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Senior Vice President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r>
      <w:tr>
        <w:trPr>
          <w:trHeight w:val="206"/>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Coghlin</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General Counsel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brief biography of each of our executive officers.</w:t>
      </w:r>
    </w:p>
    <w:p>
      <w:pPr>
        <w:spacing w:after="0" w:line="190"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Adam Comora </w:t>
      </w:r>
      <w:r>
        <w:rPr>
          <w:rFonts w:ascii="Times New Roman" w:cs="Times New Roman" w:eastAsia="Times New Roman" w:hAnsi="Times New Roman"/>
          <w:sz w:val="16"/>
          <w:szCs w:val="16"/>
          <w:color w:val="auto"/>
        </w:rPr>
        <w:t>served in the role as Co-Chief Executive Officer of Opco from December 2020 up to the closing of the Business Combination. Mr. Comora was also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62"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Jonathan Maurer </w:t>
      </w:r>
      <w:r>
        <w:rPr>
          <w:rFonts w:ascii="Times New Roman" w:cs="Times New Roman" w:eastAsia="Times New Roman" w:hAnsi="Times New Roman"/>
          <w:sz w:val="16"/>
          <w:szCs w:val="16"/>
          <w:color w:val="auto"/>
        </w:rPr>
        <w:t>served in the role as Co-Chief Executive Officer of Opco from December 2020 up to the closing of the Business Combination where Mr. Maurer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LFG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Ann Anthony </w:t>
      </w:r>
      <w:r>
        <w:rPr>
          <w:rFonts w:ascii="Times New Roman" w:cs="Times New Roman" w:eastAsia="Times New Roman" w:hAnsi="Times New Roman"/>
          <w:sz w:val="16"/>
          <w:szCs w:val="16"/>
          <w:color w:val="auto"/>
        </w:rPr>
        <w:t>served as the Chief Financial Officer of Opco from April 2021 up to the closing of the Business Combination where Ms. Anthony transitioned in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13" w:name="page114"/>
    <w:bookmarkEnd w:id="113"/>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Unger </w:t>
      </w:r>
      <w:r>
        <w:rPr>
          <w:rFonts w:ascii="Times New Roman" w:cs="Times New Roman" w:eastAsia="Times New Roman" w:hAnsi="Times New Roman"/>
          <w:sz w:val="16"/>
          <w:szCs w:val="16"/>
          <w:color w:val="auto"/>
        </w:rPr>
        <w:t>served in the role as Executive Vice President of Opco from December 2020 up to the closing of the Business Combination where Mr. Unger transitioned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60" w:lineRule="exact"/>
        <w:rPr>
          <w:sz w:val="20"/>
          <w:szCs w:val="20"/>
          <w:color w:val="auto"/>
        </w:rPr>
      </w:pPr>
    </w:p>
    <w:p>
      <w:pPr>
        <w:jc w:val="both"/>
        <w:ind w:right="20" w:firstLine="283"/>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Anthony Falbo </w:t>
      </w:r>
      <w:r>
        <w:rPr>
          <w:rFonts w:ascii="Times New Roman" w:cs="Times New Roman" w:eastAsia="Times New Roman" w:hAnsi="Times New Roman"/>
          <w:sz w:val="15"/>
          <w:szCs w:val="15"/>
          <w:color w:val="auto"/>
        </w:rPr>
        <w:t>served in the role as Chief Operating Officer of Opco from December 2020 up to the closing of the Business Combination where Mr. Falbo transitioned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LFG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4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Scott Edelbach </w:t>
      </w:r>
      <w:r>
        <w:rPr>
          <w:rFonts w:ascii="Times New Roman" w:cs="Times New Roman" w:eastAsia="Times New Roman" w:hAnsi="Times New Roman"/>
          <w:sz w:val="16"/>
          <w:szCs w:val="16"/>
          <w:color w:val="auto"/>
        </w:rPr>
        <w:t>has served in the role as the Executive Vice President of Opco from December 2020 up to the closing of the Business Combination where Mr. Edelbach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Hugh Donnell </w:t>
      </w:r>
      <w:r>
        <w:rPr>
          <w:rFonts w:ascii="Times New Roman" w:cs="Times New Roman" w:eastAsia="Times New Roman" w:hAnsi="Times New Roman"/>
          <w:sz w:val="16"/>
          <w:szCs w:val="16"/>
          <w:color w:val="auto"/>
        </w:rPr>
        <w:t>served as Senior Vice President, Business Development and Sustainability at Opco and has been with the company from April 2022 up to the closing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John Coghlin </w:t>
      </w:r>
      <w:r>
        <w:rPr>
          <w:rFonts w:ascii="Times New Roman" w:cs="Times New Roman" w:eastAsia="Times New Roman" w:hAnsi="Times New Roman"/>
          <w:sz w:val="16"/>
          <w:szCs w:val="16"/>
          <w:color w:val="auto"/>
        </w:rPr>
        <w:t>has served as the General Counsel of Opco from June 2021 up to the closing of the Business Combination where Mr. Coghlin transitioned in the same capacity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Independence of the Board</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w:t>
      </w:r>
      <w:r>
        <w:rPr>
          <w:rFonts w:ascii="Times New Roman" w:cs="Times New Roman" w:eastAsia="Times New Roman" w:hAnsi="Times New Roman"/>
          <w:sz w:val="16"/>
          <w:szCs w:val="16"/>
          <w:i w:val="1"/>
          <w:iCs w:val="1"/>
          <w:color w:val="auto"/>
        </w:rPr>
        <w:t>independent</w:t>
      </w:r>
      <w:r>
        <w:rPr>
          <w:rFonts w:ascii="Times New Roman" w:cs="Times New Roman" w:eastAsia="Times New Roman" w:hAnsi="Times New Roman"/>
          <w:sz w:val="16"/>
          <w:szCs w:val="16"/>
          <w:color w:val="auto"/>
        </w:rPr>
        <w:t>” as that term is defined under the applicable rules and regulations of the SEC and the listing requirements and rules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Controlled Company Exemption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Mr. Comora, through his control of OPAL Holdco, beneficially owns a majority of the voting power of all outstanding shares of our common stock. As a result, we are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within the meaning of the Nasdaq Listing Rules. Under the Nasdaq Listing Rules, a company of which more than 50% of the voting power for the election of directors is held by an individual, group or another company is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94"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Our board maintains a standing audit committee (“</w:t>
      </w: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color w:val="auto"/>
        </w:rPr>
        <w:t>”), but does not currently maintain a standing compensation committee or nominating/governance committee based upon the exceptions from the Nasdaq Listing Rules for “</w:t>
      </w:r>
      <w:r>
        <w:rPr>
          <w:rFonts w:ascii="Times New Roman" w:cs="Times New Roman" w:eastAsia="Times New Roman" w:hAnsi="Times New Roman"/>
          <w:sz w:val="16"/>
          <w:szCs w:val="16"/>
          <w:i w:val="1"/>
          <w:iCs w:val="1"/>
          <w:color w:val="auto"/>
        </w:rPr>
        <w:t>controlled companies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w:t>
      </w:r>
      <w:r>
        <w:rPr>
          <w:rFonts w:ascii="Times New Roman" w:cs="Times New Roman" w:eastAsia="Times New Roman" w:hAnsi="Times New Roman"/>
          <w:sz w:val="15"/>
          <w:szCs w:val="15"/>
          <w:i w:val="1"/>
          <w:iCs w:val="1"/>
          <w:color w:val="auto"/>
        </w:rPr>
        <w:t>audit committee financial expert</w:t>
      </w:r>
      <w:r>
        <w:rPr>
          <w:rFonts w:ascii="Times New Roman" w:cs="Times New Roman" w:eastAsia="Times New Roman" w:hAnsi="Times New Roman"/>
          <w:sz w:val="15"/>
          <w:szCs w:val="15"/>
          <w:color w:val="auto"/>
        </w:rPr>
        <w:t>” as such term is defined in Item 407(d)(5) of Regulation S-K and possesses financial sophistication, as defined under the rules of Nasdaq.</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purpose and responsibilities of the Audit Committee are set forth in the Audit Committee Charter adopted by our board on July 21,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94" w:lineRule="exact"/>
        <w:rPr>
          <w:sz w:val="20"/>
          <w:szCs w:val="20"/>
          <w:color w:val="auto"/>
        </w:rPr>
      </w:pPr>
    </w:p>
    <w:p>
      <w:pPr>
        <w:jc w:val="both"/>
        <w:ind w:right="20" w:firstLine="283"/>
        <w:spacing w:after="0" w:line="287" w:lineRule="auto"/>
        <w:rPr>
          <w:sz w:val="20"/>
          <w:szCs w:val="20"/>
          <w:color w:val="auto"/>
        </w:rPr>
      </w:pPr>
      <w:r>
        <w:rPr>
          <w:rFonts w:ascii="Times New Roman" w:cs="Times New Roman" w:eastAsia="Times New Roman" w:hAnsi="Times New Roman"/>
          <w:sz w:val="15"/>
          <w:szCs w:val="15"/>
          <w:color w:val="auto"/>
        </w:rPr>
        <w:t>Our Board adopted a Code of Business Conduct and Ethics on July 21, 2022 (the “</w:t>
      </w:r>
      <w:r>
        <w:rPr>
          <w:rFonts w:ascii="Times New Roman" w:cs="Times New Roman" w:eastAsia="Times New Roman" w:hAnsi="Times New Roman"/>
          <w:sz w:val="15"/>
          <w:szCs w:val="15"/>
          <w:i w:val="1"/>
          <w:iCs w:val="1"/>
          <w:color w:val="auto"/>
        </w:rPr>
        <w:t>Code of Conduct</w:t>
      </w:r>
      <w:r>
        <w:rPr>
          <w:rFonts w:ascii="Times New Roman" w:cs="Times New Roman" w:eastAsia="Times New Roman" w:hAnsi="Times New Roman"/>
          <w:sz w:val="15"/>
          <w:szCs w:val="15"/>
          <w:color w:val="auto"/>
        </w:rPr>
        <w:t>”) that applies to all of our directors, officers and employees, including our principal executive officers, principal financial officer and principal accounting officer, which is available on our website. Our Code of Conduct is a “</w:t>
      </w:r>
      <w:r>
        <w:rPr>
          <w:rFonts w:ascii="Times New Roman" w:cs="Times New Roman" w:eastAsia="Times New Roman" w:hAnsi="Times New Roman"/>
          <w:sz w:val="15"/>
          <w:szCs w:val="15"/>
          <w:i w:val="1"/>
          <w:iCs w:val="1"/>
          <w:color w:val="auto"/>
        </w:rPr>
        <w:t>code of ethics</w:t>
      </w:r>
      <w:r>
        <w:rPr>
          <w:rFonts w:ascii="Times New Roman" w:cs="Times New Roman" w:eastAsia="Times New Roman" w:hAnsi="Times New Roman"/>
          <w:sz w:val="15"/>
          <w:szCs w:val="15"/>
          <w:color w:val="auto"/>
        </w:rPr>
        <w:t>,” as defined in Item 406(b) of Regulation S-K. We will make any legally required disclosures regarding amendments to, or waivers of, provisions of our code of ethics on our website.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15" w:name="page116"/>
    <w:bookmarkEnd w:id="11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4" w:lineRule="exact"/>
        <w:rPr>
          <w:sz w:val="20"/>
          <w:szCs w:val="20"/>
          <w:color w:val="auto"/>
        </w:rPr>
      </w:pPr>
    </w:p>
    <w:p>
      <w:pPr>
        <w:jc w:val="both"/>
        <w:ind w:left="5" w:right="20"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Unless the context otherwise requires, any reference in this section of this Prospectus/Offer to Exchange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59"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6"/>
          <w:szCs w:val="16"/>
          <w:i w:val="1"/>
          <w:iCs w:val="1"/>
          <w:color w:val="auto"/>
        </w:rPr>
        <w:t>Named Executive Officers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NEOs</w:t>
      </w:r>
      <w:r>
        <w:rPr>
          <w:rFonts w:ascii="Times New Roman" w:cs="Times New Roman" w:eastAsia="Times New Roman" w:hAnsi="Times New Roman"/>
          <w:sz w:val="16"/>
          <w:szCs w:val="16"/>
          <w:color w:val="auto"/>
        </w:rPr>
        <w:t>”) during 2021. Our executive officers are listed below (of which Mr. Comora, Mr. Mauer, Mr. Unger and Mr. Edelbach are Named Executive Officers):</w:t>
      </w:r>
    </w:p>
    <w:p>
      <w:pPr>
        <w:spacing w:after="0" w:line="156" w:lineRule="exact"/>
        <w:rPr>
          <w:sz w:val="20"/>
          <w:szCs w:val="20"/>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Adam Comora, Co-Chief Executive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Jonathan Maurer, Co-Chief Executive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 Anthony, Chief Financial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Falbo, Chief Operating Officer</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Unger, Executive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Edelbach, Executive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Hugh Donnell, Senior Vice President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John Coghlin, General Counsel</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6"/>
          <w:szCs w:val="16"/>
          <w:i w:val="1"/>
          <w:iCs w:val="1"/>
          <w:color w:val="auto"/>
        </w:rPr>
        <w:t>2021 Fiscal Year</w:t>
      </w:r>
      <w:r>
        <w:rPr>
          <w:rFonts w:ascii="Times New Roman" w:cs="Times New Roman" w:eastAsia="Times New Roman" w:hAnsi="Times New Roman"/>
          <w:sz w:val="16"/>
          <w:szCs w:val="16"/>
          <w:color w:val="auto"/>
        </w:rPr>
        <w:t>”) and the other Named Executive Officers during the 2021 Fiscal Year.</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2021 SUMMARY COMPENSATION TABLE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5"/>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0"/>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0" w:type="dxa"/>
            <w:vAlign w:val="bottom"/>
          </w:tcPr>
          <w:p>
            <w:pPr>
              <w:spacing w:after="0"/>
              <w:rPr>
                <w:sz w:val="20"/>
                <w:szCs w:val="20"/>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4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21"/>
              <w:spacing w:after="0" w:line="236"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0"/>
                <w:szCs w:val="20"/>
                <w:color w:val="auto"/>
              </w:rPr>
            </w:pPr>
          </w:p>
        </w:tc>
        <w:tc>
          <w:tcPr>
            <w:tcW w:w="1100" w:type="dxa"/>
            <w:vAlign w:val="bottom"/>
          </w:tcPr>
          <w:p>
            <w:pPr>
              <w:jc w:val="center"/>
              <w:spacing w:after="0" w:line="23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(2)</w:t>
            </w:r>
          </w:p>
        </w:tc>
        <w:tc>
          <w:tcPr>
            <w:tcW w:w="2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r>
      <w:tr>
        <w:trPr>
          <w:trHeight w:val="189"/>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396,366</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3"/>
              </w:rPr>
              <w:t>1,165,866</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w w:val="97"/>
              </w:rPr>
              <w:t>Co- Chief Executive Officer</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0"/>
        </w:trPr>
        <w:tc>
          <w:tcPr>
            <w:tcW w:w="190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Jonathan Maurer,</w:t>
            </w:r>
          </w:p>
        </w:tc>
        <w:tc>
          <w:tcPr>
            <w:tcW w:w="1360" w:type="dxa"/>
            <w:vAlign w:val="bottom"/>
            <w:gridSpan w:val="2"/>
          </w:tcPr>
          <w:p>
            <w:pPr>
              <w:ind w:left="580"/>
              <w:spacing w:after="0" w:line="171"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4"/>
                <w:szCs w:val="14"/>
                <w:color w:val="auto"/>
              </w:rPr>
            </w:pPr>
          </w:p>
        </w:tc>
        <w:tc>
          <w:tcPr>
            <w:tcW w:w="136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380,519</w:t>
            </w:r>
          </w:p>
        </w:tc>
        <w:tc>
          <w:tcPr>
            <w:tcW w:w="132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color w:val="auto"/>
              </w:rPr>
              <w:t>750,000</w:t>
            </w:r>
          </w:p>
        </w:tc>
        <w:tc>
          <w:tcPr>
            <w:tcW w:w="1340" w:type="dxa"/>
            <w:vAlign w:val="bottom"/>
            <w:gridSpan w:val="2"/>
          </w:tcPr>
          <w:p>
            <w:pPr>
              <w:ind w:left="9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26,000</w:t>
            </w:r>
          </w:p>
        </w:tc>
        <w:tc>
          <w:tcPr>
            <w:tcW w:w="122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1,156,519</w:t>
            </w:r>
          </w:p>
        </w:tc>
      </w:tr>
      <w:tr>
        <w:trPr>
          <w:trHeight w:val="208"/>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w w:val="97"/>
              </w:rPr>
              <w:t>Co- Chief Executive Officer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Scott Edelbach,</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293,623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202,366</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11,593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507,582</w:t>
            </w:r>
          </w:p>
        </w:tc>
      </w:tr>
      <w:tr>
        <w:trPr>
          <w:trHeight w:val="189"/>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0"/>
        </w:trPr>
        <w:tc>
          <w:tcPr>
            <w:tcW w:w="190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David Unger,</w:t>
            </w:r>
          </w:p>
        </w:tc>
        <w:tc>
          <w:tcPr>
            <w:tcW w:w="1360" w:type="dxa"/>
            <w:vAlign w:val="bottom"/>
            <w:gridSpan w:val="2"/>
          </w:tcPr>
          <w:p>
            <w:pPr>
              <w:ind w:left="580"/>
              <w:spacing w:after="0" w:line="171"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4"/>
                <w:szCs w:val="14"/>
                <w:color w:val="auto"/>
              </w:rPr>
            </w:pPr>
          </w:p>
        </w:tc>
        <w:tc>
          <w:tcPr>
            <w:tcW w:w="136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325,923</w:t>
            </w:r>
          </w:p>
        </w:tc>
        <w:tc>
          <w:tcPr>
            <w:tcW w:w="132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color w:val="auto"/>
              </w:rPr>
              <w:t>340,000</w:t>
            </w:r>
          </w:p>
        </w:tc>
        <w:tc>
          <w:tcPr>
            <w:tcW w:w="1340" w:type="dxa"/>
            <w:vAlign w:val="bottom"/>
            <w:gridSpan w:val="2"/>
          </w:tcPr>
          <w:p>
            <w:pPr>
              <w:ind w:left="9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19,835</w:t>
            </w:r>
          </w:p>
        </w:tc>
        <w:tc>
          <w:tcPr>
            <w:tcW w:w="122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685,758</w:t>
            </w:r>
          </w:p>
        </w:tc>
      </w:tr>
      <w:tr>
        <w:trPr>
          <w:trHeight w:val="208"/>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70" w:lineRule="exact"/>
        <w:rPr>
          <w:sz w:val="20"/>
          <w:szCs w:val="20"/>
          <w:color w:val="auto"/>
        </w:rPr>
      </w:pPr>
    </w:p>
    <w:p>
      <w:pPr>
        <w:ind w:left="285" w:hanging="285"/>
        <w:spacing w:after="0"/>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discretionary bonuses paid to NEOs for 2021. Please see additional information below in the section entitled “</w:t>
      </w:r>
      <w:r>
        <w:rPr>
          <w:rFonts w:ascii="Times New Roman" w:cs="Times New Roman" w:eastAsia="Times New Roman" w:hAnsi="Times New Roman"/>
          <w:sz w:val="16"/>
          <w:szCs w:val="16"/>
          <w:i w:val="1"/>
          <w:iCs w:val="1"/>
          <w:color w:val="auto"/>
        </w:rPr>
        <w:t>Annual Incentives</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285" w:hanging="285"/>
        <w:spacing w:after="0" w:line="275" w:lineRule="auto"/>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color w:val="auto"/>
        </w:rPr>
        <w:t>Narrative Disclosure to the Summary Compensation Table</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2021 fiscal year, our compensation program consisted primarily of the following elements: base salary, short-term annual incentive awards, long-term equity incentives and benefit and perquisite programs.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Annual Incentives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5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w:t>
      </w:r>
      <w:r>
        <w:rPr>
          <w:rFonts w:ascii="Times New Roman" w:cs="Times New Roman" w:eastAsia="Times New Roman" w:hAnsi="Times New Roman"/>
          <w:sz w:val="16"/>
          <w:szCs w:val="16"/>
          <w:i w:val="1"/>
          <w:iCs w:val="1"/>
          <w:color w:val="auto"/>
        </w:rPr>
        <w:t>profits interests</w:t>
      </w:r>
      <w:r>
        <w:rPr>
          <w:rFonts w:ascii="Times New Roman" w:cs="Times New Roman" w:eastAsia="Times New Roman" w:hAnsi="Times New Roman"/>
          <w:sz w:val="16"/>
          <w:szCs w:val="16"/>
          <w:color w:val="auto"/>
        </w:rPr>
        <w:t>”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6"/>
          <w:szCs w:val="16"/>
          <w:i w:val="1"/>
          <w:iCs w:val="1"/>
          <w:color w:val="auto"/>
        </w:rPr>
        <w:t>Parent Equity Awards</w:t>
      </w:r>
      <w:r>
        <w:rPr>
          <w:rFonts w:ascii="Times New Roman" w:cs="Times New Roman" w:eastAsia="Times New Roman" w:hAnsi="Times New Roman"/>
          <w:sz w:val="16"/>
          <w:szCs w:val="16"/>
          <w:color w:val="auto"/>
        </w:rPr>
        <w:t xml:space="preserve">”). Participants were entitled to participate in </w:t>
      </w:r>
      <w:r>
        <w:rPr>
          <w:rFonts w:ascii="Times New Roman" w:cs="Times New Roman" w:eastAsia="Times New Roman" w:hAnsi="Times New Roman"/>
          <w:sz w:val="16"/>
          <w:szCs w:val="16"/>
          <w:i w:val="1"/>
          <w:iCs w:val="1"/>
          <w:color w:val="auto"/>
        </w:rPr>
        <w:t>pro-rata</w:t>
      </w:r>
      <w:r>
        <w:rPr>
          <w:rFonts w:ascii="Times New Roman" w:cs="Times New Roman" w:eastAsia="Times New Roman" w:hAnsi="Times New Roman"/>
          <w:sz w:val="16"/>
          <w:szCs w:val="16"/>
          <w:color w:val="auto"/>
        </w:rPr>
        <w:t xml:space="preserve"> distributions from such predecessors of Opco during their employment. Effective as 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Employee Benefits.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17" w:name="page118"/>
    <w:bookmarkEnd w:id="117"/>
    <w:p>
      <w:pPr>
        <w:ind w:left="5"/>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w:t>
      </w:r>
      <w:r>
        <w:rPr>
          <w:rFonts w:ascii="Times New Roman" w:cs="Times New Roman" w:eastAsia="Times New Roman" w:hAnsi="Times New Roman"/>
          <w:sz w:val="16"/>
          <w:szCs w:val="16"/>
          <w:i w:val="1"/>
          <w:iCs w:val="1"/>
          <w:color w:val="auto"/>
        </w:rPr>
        <w:t>Outstanding Equity Awards at 2021 Fiscal Year End</w:t>
      </w:r>
      <w:r>
        <w:rPr>
          <w:rFonts w:ascii="Times New Roman" w:cs="Times New Roman" w:eastAsia="Times New Roman" w:hAnsi="Times New Roman"/>
          <w:sz w:val="16"/>
          <w:szCs w:val="16"/>
          <w:color w:val="auto"/>
        </w:rPr>
        <w:t>” (assuming such change in control occurred on December 31, 2021, and other conditions described in footnote 3 to such table are met).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Outstanding Equity Awards at 2021 Fiscal Year End</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sets forth information concerning outstanding profits interest equity awards as of December 31, 2021 for each NEO.</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Market Value of</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Shares 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Units of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Or Units Of</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r>
      <w:tr>
        <w:trPr>
          <w:trHeight w:val="193"/>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Parent Equity Awards</w:t>
            </w:r>
          </w:p>
        </w:tc>
        <w:tc>
          <w:tcPr>
            <w:tcW w:w="2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Have</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1"/>
                <w:szCs w:val="21"/>
                <w:color w:val="auto"/>
              </w:rPr>
            </w:pPr>
          </w:p>
        </w:tc>
        <w:tc>
          <w:tcPr>
            <w:tcW w:w="3160" w:type="dxa"/>
            <w:vAlign w:val="bottom"/>
          </w:tcPr>
          <w:p>
            <w:pPr>
              <w:jc w:val="center"/>
              <w:spacing w:after="0" w:line="240" w:lineRule="exact"/>
              <w:rPr>
                <w:sz w:val="20"/>
                <w:szCs w:val="20"/>
                <w:color w:val="auto"/>
              </w:rPr>
            </w:pPr>
            <w:r>
              <w:rPr>
                <w:rFonts w:ascii="Times New Roman" w:cs="Times New Roman" w:eastAsia="Times New Roman" w:hAnsi="Times New Roman"/>
                <w:sz w:val="16"/>
                <w:szCs w:val="16"/>
                <w:b w:val="1"/>
                <w:bCs w:val="1"/>
                <w:color w:val="auto"/>
                <w:w w:val="93"/>
              </w:rPr>
              <w:t>Grant Date</w:t>
            </w:r>
            <w:r>
              <w:rPr>
                <w:rFonts w:ascii="Times New Roman" w:cs="Times New Roman" w:eastAsia="Times New Roman" w:hAnsi="Times New Roman"/>
                <w:sz w:val="26"/>
                <w:szCs w:val="26"/>
                <w:b w:val="1"/>
                <w:bCs w:val="1"/>
                <w:color w:val="auto"/>
                <w:w w:val="93"/>
                <w:vertAlign w:val="superscript"/>
              </w:rPr>
              <w:t>(1)</w:t>
            </w:r>
          </w:p>
        </w:tc>
        <w:tc>
          <w:tcPr>
            <w:tcW w:w="220" w:type="dxa"/>
            <w:vAlign w:val="bottom"/>
          </w:tcPr>
          <w:p>
            <w:pPr>
              <w:spacing w:after="0"/>
              <w:rPr>
                <w:sz w:val="21"/>
                <w:szCs w:val="21"/>
                <w:color w:val="auto"/>
              </w:rPr>
            </w:pPr>
          </w:p>
        </w:tc>
        <w:tc>
          <w:tcPr>
            <w:tcW w:w="1300" w:type="dxa"/>
            <w:vAlign w:val="bottom"/>
            <w:gridSpan w:val="2"/>
          </w:tcPr>
          <w:p>
            <w:pPr>
              <w:jc w:val="center"/>
              <w:ind w:right="200"/>
              <w:spacing w:after="0" w:line="240" w:lineRule="exact"/>
              <w:rPr>
                <w:sz w:val="20"/>
                <w:szCs w:val="20"/>
                <w:color w:val="auto"/>
              </w:rPr>
            </w:pPr>
            <w:r>
              <w:rPr>
                <w:rFonts w:ascii="Times New Roman" w:cs="Times New Roman" w:eastAsia="Times New Roman" w:hAnsi="Times New Roman"/>
                <w:sz w:val="16"/>
                <w:szCs w:val="16"/>
                <w:b w:val="1"/>
                <w:bCs w:val="1"/>
                <w:color w:val="auto"/>
                <w:w w:val="92"/>
              </w:rPr>
              <w:t>Vested (%)</w:t>
            </w:r>
            <w:r>
              <w:rPr>
                <w:rFonts w:ascii="Times New Roman" w:cs="Times New Roman" w:eastAsia="Times New Roman" w:hAnsi="Times New Roman"/>
                <w:sz w:val="26"/>
                <w:szCs w:val="26"/>
                <w:b w:val="1"/>
                <w:bCs w:val="1"/>
                <w:color w:val="auto"/>
                <w:w w:val="92"/>
                <w:vertAlign w:val="superscript"/>
              </w:rPr>
              <w:t>(2)</w:t>
            </w:r>
          </w:p>
        </w:tc>
        <w:tc>
          <w:tcPr>
            <w:tcW w:w="60" w:type="dxa"/>
            <w:vAlign w:val="bottom"/>
          </w:tcPr>
          <w:p>
            <w:pPr>
              <w:spacing w:after="0"/>
              <w:rPr>
                <w:sz w:val="21"/>
                <w:szCs w:val="21"/>
                <w:color w:val="auto"/>
              </w:rPr>
            </w:pPr>
          </w:p>
        </w:tc>
        <w:tc>
          <w:tcPr>
            <w:tcW w:w="1220" w:type="dxa"/>
            <w:vAlign w:val="bottom"/>
            <w:gridSpan w:val="3"/>
          </w:tcPr>
          <w:p>
            <w:pPr>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Not Vested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6"/>
                <w:szCs w:val="26"/>
                <w:b w:val="1"/>
                <w:bCs w:val="1"/>
                <w:color w:val="auto"/>
                <w:vertAlign w:val="superscript"/>
              </w:rPr>
              <w:t>(3)</w:t>
            </w:r>
          </w:p>
        </w:tc>
      </w:tr>
      <w:tr>
        <w:trPr>
          <w:trHeight w:val="18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Adam Comora,</w:t>
            </w:r>
          </w:p>
        </w:tc>
        <w:tc>
          <w:tcPr>
            <w:tcW w:w="1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i w:val="1"/>
                <w:iCs w:val="1"/>
                <w:color w:val="auto"/>
              </w:rPr>
              <w:t>Co-Chief Executive Officer</w:t>
            </w: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0.78%</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11,172,566</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3,720,271</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3,784,434</w:t>
            </w:r>
          </w:p>
        </w:tc>
      </w:tr>
      <w:tr>
        <w:trPr>
          <w:trHeight w:val="189"/>
        </w:trPr>
        <w:tc>
          <w:tcPr>
            <w:tcW w:w="5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3,784,434</w:t>
            </w:r>
          </w:p>
        </w:tc>
      </w:tr>
      <w:tr>
        <w:trPr>
          <w:trHeight w:val="170"/>
        </w:trPr>
        <w:tc>
          <w:tcPr>
            <w:tcW w:w="51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Jonathan Maurer,</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Co-Chief Executive Officer</w:t>
            </w: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0.52%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7,448,595</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2,480,253</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2,523,439</w:t>
            </w:r>
          </w:p>
        </w:tc>
      </w:t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2,523,439</w:t>
            </w:r>
          </w:p>
        </w:tc>
      </w:tr>
      <w:tr>
        <w:trPr>
          <w:trHeight w:val="170"/>
        </w:trPr>
        <w:tc>
          <w:tcPr>
            <w:tcW w:w="5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Scott Edelbach,</w:t>
            </w: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51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David Unger,</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February 25,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1,861,986</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8"/>
              </w:rPr>
              <w:t>May 15, 2019</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620,009</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6"/>
              </w:rPr>
              <w:t>July 24,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1,963,832</w:t>
            </w:r>
          </w:p>
        </w:tc>
      </w:tr>
      <w:tr>
        <w:trPr>
          <w:trHeight w:val="20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7"/>
              </w:rPr>
              <w:t>August 4, 2020</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1,583,334</w:t>
            </w:r>
          </w:p>
        </w:tc>
      </w:tr>
    </w:tbl>
    <w:p>
      <w:pPr>
        <w:spacing w:after="0" w:line="172" w:lineRule="exact"/>
        <w:rPr>
          <w:sz w:val="20"/>
          <w:szCs w:val="20"/>
          <w:color w:val="auto"/>
        </w:rPr>
      </w:pPr>
    </w:p>
    <w:p>
      <w:pPr>
        <w:ind w:left="285" w:hanging="285"/>
        <w:spacing w:after="0"/>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Parent Equity Awards vest ratably on each of the first five anniversaries of the Grant Date.</w:t>
      </w:r>
    </w:p>
    <w:p>
      <w:pPr>
        <w:spacing w:after="0" w:line="192" w:lineRule="exact"/>
        <w:rPr>
          <w:rFonts w:ascii="Times New Roman" w:cs="Times New Roman" w:eastAsia="Times New Roman" w:hAnsi="Times New Roman"/>
          <w:sz w:val="16"/>
          <w:szCs w:val="16"/>
          <w:color w:val="auto"/>
        </w:rPr>
      </w:pPr>
    </w:p>
    <w:p>
      <w:pPr>
        <w:ind w:left="285" w:right="20" w:hanging="285"/>
        <w:spacing w:after="0" w:line="312" w:lineRule="auto"/>
        <w:tabs>
          <w:tab w:leader="none" w:pos="28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Equity Awards entitle recipients to indirectly receive a percentage of the profits (“</w:t>
      </w:r>
      <w:r>
        <w:rPr>
          <w:rFonts w:ascii="Times New Roman" w:cs="Times New Roman" w:eastAsia="Times New Roman" w:hAnsi="Times New Roman"/>
          <w:sz w:val="15"/>
          <w:szCs w:val="15"/>
          <w:i w:val="1"/>
          <w:iCs w:val="1"/>
          <w:color w:val="auto"/>
        </w:rPr>
        <w:t>Profits Portion</w:t>
      </w:r>
      <w:r>
        <w:rPr>
          <w:rFonts w:ascii="Times New Roman" w:cs="Times New Roman" w:eastAsia="Times New Roman" w:hAnsi="Times New Roman"/>
          <w:sz w:val="15"/>
          <w:szCs w:val="15"/>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20" w:lineRule="exact"/>
        <w:rPr>
          <w:rFonts w:ascii="Times New Roman" w:cs="Times New Roman" w:eastAsia="Times New Roman" w:hAnsi="Times New Roman"/>
          <w:sz w:val="15"/>
          <w:szCs w:val="15"/>
          <w:color w:val="auto"/>
        </w:rPr>
      </w:pPr>
    </w:p>
    <w:p>
      <w:pPr>
        <w:jc w:val="both"/>
        <w:ind w:left="285" w:right="20" w:hanging="285"/>
        <w:spacing w:after="0" w:line="261" w:lineRule="auto"/>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Compensation of Directors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Each member of our board is entitled to reimbursement for reasonable travel and other expenses incurred in connection with attending board meetings and meetings for any committee on which he or she serves.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19" w:name="page120"/>
    <w:bookmarkEnd w:id="119"/>
    <w:p>
      <w:pPr>
        <w:ind w:left="2540"/>
        <w:spacing w:after="0"/>
        <w:rPr>
          <w:sz w:val="20"/>
          <w:szCs w:val="20"/>
          <w:color w:val="auto"/>
        </w:rPr>
      </w:pPr>
      <w:r>
        <w:rPr>
          <w:rFonts w:ascii="Times New Roman" w:cs="Times New Roman" w:eastAsia="Times New Roman" w:hAnsi="Times New Roman"/>
          <w:sz w:val="16"/>
          <w:szCs w:val="16"/>
          <w:b w:val="1"/>
          <w:bCs w:val="1"/>
          <w:color w:val="auto"/>
        </w:rPr>
        <w:t>MARKET INFORMATION, DIVIDENDS, AND RELATED STOCKHOLDER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of Class A Common Stock and Warrants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Class A common stock and public warrants are listed on the Nasdaq under the symbols “OPAL” and “OPALW,” respectively. As of November 16, 2022, 25,671,390 shares of Class A common stock, 6,223,233 public warrants, and 9,223,261 private placement warrants were outstanding. The closing price of our Class A common stock and public warrants on November 16, 2022 was $7.77 and $1.2387, respectively.</w:t>
      </w:r>
    </w:p>
    <w:p>
      <w:pPr>
        <w:spacing w:after="0" w:line="156" w:lineRule="exact"/>
        <w:rPr>
          <w:sz w:val="20"/>
          <w:szCs w:val="20"/>
          <w:color w:val="auto"/>
        </w:rPr>
      </w:pPr>
    </w:p>
    <w:p>
      <w:pPr>
        <w:ind w:right="36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there were approximately 23 holders of record of our Class A common stock, one holder of record of our public warrants, and five holders of record of our private placement warrants. Such numbers do not include DTCC participants or beneficial owners holding securities through nominee names.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 and Amount of Funds</w:t>
      </w:r>
    </w:p>
    <w:p>
      <w:pPr>
        <w:spacing w:after="0" w:line="196"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Because this transaction is an offer to holders to exchange their existing warrants for our Class A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Offer and Consent Solicitation and the payment of cash in lieu of fractional shares, will be approximately $2.5 million. We expect to have sufficient funds to complete the transactions contemplated by the Offer and Consent Solicitation and to pay fees, expenses, and other related amounts from our cash on hand.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Agent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Continental Stock Transfer &amp; Trust Company has been appointed as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Agent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i w:val="1"/>
          <w:iCs w:val="1"/>
          <w:color w:val="auto"/>
        </w:rPr>
        <w:t>Dealer Manager</w:t>
      </w:r>
    </w:p>
    <w:p>
      <w:pPr>
        <w:spacing w:after="0" w:line="19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We have retained BofA Securities, Inc.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14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 The dealer manager acts as administrative agent and lender under our for our $125 million term loan entered into on October 22, 2021.</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In the ordinary course of its business, the dealer manager or its affiliates may at any time hold long or short positions, and may trade for their own accounts or the accounts of customers, in securities of the Company, including warrants, and, to the extent that the dealer manager or its affiliates own warrants during the Offer and Consent Solicitation, they may tender such warrants under the terms of the Offer and Consent Solicitation.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Fees and Expenses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and Agreements Concerning Our Securities</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Other than as set forth below and (i) in the section of this Prospectus/Offer to Exchange entitled “</w:t>
      </w:r>
      <w:r>
        <w:rPr>
          <w:rFonts w:ascii="Times New Roman" w:cs="Times New Roman" w:eastAsia="Times New Roman" w:hAnsi="Times New Roman"/>
          <w:sz w:val="16"/>
          <w:szCs w:val="16"/>
          <w:i w:val="1"/>
          <w:iCs w:val="1"/>
          <w:color w:val="auto"/>
        </w:rPr>
        <w:t>Description of Securities</w:t>
      </w:r>
      <w:r>
        <w:rPr>
          <w:rFonts w:ascii="Times New Roman" w:cs="Times New Roman" w:eastAsia="Times New Roman" w:hAnsi="Times New Roman"/>
          <w:sz w:val="16"/>
          <w:szCs w:val="16"/>
          <w:color w:val="auto"/>
        </w:rPr>
        <w:t>” and (ii) as set forth in our certificate of incorporation (our “</w:t>
      </w:r>
      <w:r>
        <w:rPr>
          <w:rFonts w:ascii="Times New Roman" w:cs="Times New Roman" w:eastAsia="Times New Roman" w:hAnsi="Times New Roman"/>
          <w:sz w:val="16"/>
          <w:szCs w:val="16"/>
          <w:i w:val="1"/>
          <w:iCs w:val="1"/>
          <w:color w:val="auto"/>
        </w:rPr>
        <w:t>Charter</w:t>
      </w:r>
      <w:r>
        <w:rPr>
          <w:rFonts w:ascii="Times New Roman" w:cs="Times New Roman" w:eastAsia="Times New Roman" w:hAnsi="Times New Roman"/>
          <w:sz w:val="16"/>
          <w:szCs w:val="16"/>
          <w:color w:val="auto"/>
        </w:rPr>
        <w:t>”), there are no agreements, arrangements, or understandings between the Company, or any of our directors or executive officers, and any other person with respect to our securities that are the subject of the Offer and Consent Solicitation.</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Neither we, nor any of our directors, executive officers, or controlling persons, or any executive officers, directors, managers, or partners of any of our controlling persons, has engaged in any transactions in our warrants in the last 60 days.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i w:val="1"/>
          <w:iCs w:val="1"/>
          <w:color w:val="auto"/>
        </w:rPr>
        <w:t>Tender and Support Agreement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Parties representing approximately 53.3% of the outstanding public warrants and 100% of the outstanding private placement warrants have agreed to tender their public warrants and private placement warrants (as applicable) in the Offer and consent to the Warrant Amendment in the Consent Solicitation pursuant to the Tender and Support Agreement.</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Accordingly, if holders of an additional approximately 11.7% of the outstanding public warrants consent to the Warrant Amendment in the Consent Solicitation, and the other conditions described herein are satisfied or waived, then the Warrant Amendment will be adopted.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Under the Exchange Act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warrants currently are registered under the Exchange Act. This registration may be terminated upon application by us to the SEC if there are fewer than 300 record holders of the warrants. We currently do not intend to terminate the registration of the warrants, if any, that remain outstanding after completion of the Offer and Consent Solicitation. Notwithstanding any termination of the registration of our warrants, we will continue to be subject to the reporting requirements under the Exchange Act as a result of the continuing registration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Treatment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will account for the exchange of warrants as a Class A common stock issuance for no additional value. The par value of each share of Class A common stock issued in the Offer will be recorded as a decrease in Class A common stock and an increase in additional paid-in capital. Any cash paid in lieu of fractional shares will be recorded as a decrease in cash and an increase in additional paid-in capital. The Offer will not modify the current accounting treatment for the unexchanged warrants.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Absence of Appraisal or Dissenters’ Rights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Holders of the warrants do not have any appraisal or dissenters’ rights under applicable law in connection with the Offer and Consent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Agent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depositary and exchange agent for the Offer and Consent Solicitation is:</w:t>
      </w:r>
    </w:p>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ind w:left="4840"/>
        <w:spacing w:after="0" w:line="198" w:lineRule="auto"/>
        <w:rPr>
          <w:sz w:val="20"/>
          <w:szCs w:val="20"/>
          <w:color w:val="auto"/>
        </w:rPr>
      </w:pPr>
      <w:r>
        <w:rPr>
          <w:rFonts w:ascii="Times New Roman" w:cs="Times New Roman" w:eastAsia="Times New Roman" w:hAnsi="Times New Roman"/>
          <w:sz w:val="16"/>
          <w:szCs w:val="16"/>
          <w:color w:val="auto"/>
        </w:rPr>
        <w:t>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Information; Amendments</w:t>
      </w:r>
    </w:p>
    <w:p>
      <w:pPr>
        <w:spacing w:after="0" w:line="196"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21"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Our board of directors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22" w:name="page123"/>
    <w:bookmarkEnd w:id="122"/>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If you have any questions regarding the Offer and Consent Solicitation or need assistance, you should contact the information agent for the Offer and Consent Solicitation. You may request additional copies of this document, the Letter of Transmittal and Consent, or the Notice of Guaranteed Delivery from the information agent. All such questions or requests should be directed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7"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following is a discussion of certain material U.S. federal income tax consequences of the receipt of Class A common stock in exchange for our warrants pursuant to the Offer or pursuant to the terms of the Warrant Amendment, the deemed exchange of warrants not exchanged for Class A common stock in the Offer for “new” warrants as a result of the Warrant Amendment, and the ownership and disposition of Class A common stock received in any such exchange, but does not purport to be a complete analysis of all potential tax effects. This discussion is limited to certain U.S. federal income tax considerations to beneficial owners of our Class A common stock and warrants (which are referred to collectively in this discussion as our securities) that hold those securities as capital assets within the meaning of Section 1221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This discussion assumes that any distributions made by us on our Class A common stock and any consideration received by a holder in consideration for the sale or other disposition of our Class A common stock will be in U.S. dollars.</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60" w:lineRule="exact"/>
        <w:rPr>
          <w:sz w:val="20"/>
          <w:szCs w:val="20"/>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financial services entities;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or agencies or instrumentalities thereof;</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expatriates or former citizens or long-term residents of the United States;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five percent or more (by vote or value) of our shares;</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acquired our Class A common stock or warrants pursuant to an exercise of employee share options, in connection with employee share incentive plans or otherwise as compensation;</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subject to a mark-to-market method of tax accounting with respect to our Class A common stock or warrants;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our Class A common stock or warrants as part of a “straddle,” constructive sale, hedge, conversion or other integrated or similar transaction;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holders (as defined below) whose functional currency is not the U.S. dollar;</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entities or arrangements classified as partnerships or other pass-through entities for U.S. federal income tax purposes) and any beneficial owners of such entities or arrangements;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foreign corporations;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passive foreign investment companies and other corporations that accumulate earnings to avoid U.S. federal income tax.</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24" w:name="page125"/>
    <w:bookmarkEnd w:id="124"/>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a partnership (including an entity or arrangement treated as a partnership or other pass-through entity for U.S. federal income tax purposes) holds our Class A common stock or warrants,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or warrants, you are urged to consult your own tax advisor regarding the tax consequences of the acquisition, ownership and disposition of our Class A common stock or warrants.</w:t>
      </w:r>
    </w:p>
    <w:p>
      <w:pPr>
        <w:spacing w:after="0" w:line="164" w:lineRule="exact"/>
        <w:rPr>
          <w:sz w:val="20"/>
          <w:szCs w:val="20"/>
          <w:color w:val="auto"/>
        </w:rPr>
      </w:pPr>
    </w:p>
    <w:p>
      <w:pPr>
        <w:jc w:val="both"/>
        <w:ind w:firstLine="283"/>
        <w:spacing w:after="0" w:line="286" w:lineRule="auto"/>
        <w:rPr>
          <w:sz w:val="20"/>
          <w:szCs w:val="20"/>
          <w:color w:val="auto"/>
        </w:rPr>
      </w:pPr>
      <w:r>
        <w:rPr>
          <w:rFonts w:ascii="Times New Roman" w:cs="Times New Roman" w:eastAsia="Times New Roman" w:hAnsi="Times New Roman"/>
          <w:sz w:val="15"/>
          <w:szCs w:val="15"/>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135" w:lineRule="exact"/>
        <w:rPr>
          <w:sz w:val="20"/>
          <w:szCs w:val="20"/>
          <w:color w:val="auto"/>
        </w:rPr>
      </w:pPr>
    </w:p>
    <w:p>
      <w:pPr>
        <w:jc w:val="both"/>
        <w:ind w:firstLine="283"/>
        <w:spacing w:after="0" w:line="280" w:lineRule="auto"/>
        <w:rPr>
          <w:sz w:val="20"/>
          <w:szCs w:val="20"/>
          <w:color w:val="auto"/>
        </w:rPr>
      </w:pPr>
      <w:r>
        <w:rPr>
          <w:rFonts w:ascii="Times New Roman" w:cs="Times New Roman" w:eastAsia="Times New Roman" w:hAnsi="Times New Roman"/>
          <w:sz w:val="15"/>
          <w:szCs w:val="15"/>
          <w:color w:val="auto"/>
        </w:rPr>
        <w:t>We have not sought, and do not expect to seek, a ruling from the U.S. Internal Revenue Service (the “</w:t>
      </w:r>
      <w:r>
        <w:rPr>
          <w:rFonts w:ascii="Times New Roman" w:cs="Times New Roman" w:eastAsia="Times New Roman" w:hAnsi="Times New Roman"/>
          <w:sz w:val="15"/>
          <w:szCs w:val="15"/>
          <w:b w:val="1"/>
          <w:bCs w:val="1"/>
          <w:i w:val="1"/>
          <w:iCs w:val="1"/>
          <w:color w:val="auto"/>
        </w:rPr>
        <w:t>IRS</w:t>
      </w:r>
      <w:r>
        <w:rPr>
          <w:rFonts w:ascii="Times New Roman" w:cs="Times New Roman" w:eastAsia="Times New Roman" w:hAnsi="Times New Roman"/>
          <w:sz w:val="15"/>
          <w:szCs w:val="15"/>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4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THIS DISCUSSION IS ONLY A SUMMARY OF CERTAIN U.S. FEDERAL INCOME TAX CONSIDERATIONS ASSOCIATED WITH THE ACQUISITION, OWNERSHIP AND DISPOSITION OF OUR CLASS A COMMON STOCK OR WARRANTS.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Holders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This section applies to you if you are a “U.S. holder.” A U.S. holder is a beneficial owner of our shares of Class A common stock or warrants that is, for U.S. federal income tax purposes:</w:t>
      </w:r>
    </w:p>
    <w:p>
      <w:pPr>
        <w:spacing w:after="0" w:line="145" w:lineRule="exact"/>
        <w:rPr>
          <w:sz w:val="20"/>
          <w:szCs w:val="20"/>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thereof or the District of Columbia;</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194"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25" w:name="page126"/>
    <w:bookmarkEnd w:id="125"/>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Exchange of Warrants for Class A Common Stock</w:t>
      </w:r>
    </w:p>
    <w:p>
      <w:pPr>
        <w:spacing w:after="0" w:line="198" w:lineRule="exact"/>
        <w:rPr>
          <w:sz w:val="20"/>
          <w:szCs w:val="20"/>
          <w:color w:val="auto"/>
        </w:rPr>
      </w:pPr>
    </w:p>
    <w:p>
      <w:pPr>
        <w:jc w:val="both"/>
        <w:ind w:left="5" w:firstLine="283"/>
        <w:spacing w:after="0" w:line="249" w:lineRule="auto"/>
        <w:rPr>
          <w:sz w:val="20"/>
          <w:szCs w:val="20"/>
          <w:color w:val="auto"/>
        </w:rPr>
      </w:pPr>
      <w:r>
        <w:rPr>
          <w:rFonts w:ascii="Times New Roman" w:cs="Times New Roman" w:eastAsia="Times New Roman" w:hAnsi="Times New Roman"/>
          <w:sz w:val="16"/>
          <w:szCs w:val="16"/>
          <w:color w:val="auto"/>
        </w:rPr>
        <w:t>For those U.S. holders of our warrants participating in the Offer and for any U.S. holders of our warrants subsequently exchanged for Class A common stock pursuant to the terms of the Warrant Amendment, we intend to treat the exchange of warrants for our Class A common stock as a “recapitalization” within the meaning of Section 368(a)(1)(E) of the Code. Under such treatment, (i) you should not recognize any gain or loss on the exchange of warrants for shares of our Class A common stock (except to the extent of any cash payment received in lieu of a fractional share in connection with the Offer or such subsequent exchange), (ii) your aggregate tax basis in the Class A common stock received in the exchange should equal your aggregate tax basis in your warrants surrendered in the exchange (except to the extent of any tax basis allocated to a fractional share for which a cash payment is received in connection with the Offer or such subsequent exchange), and (iii) your holding period for the Class A common stock received in the exchange should include your holding period for the surrendered warrants. Special tax basis and holding period rules apply to U.S. holders that acquired different blocks of warrants at different prices or at different times. You should consult your tax advisor as to the applicability of these special rules to your particular circumstances. Any cash you receive in lieu of a fractional share of our Class A common stock pursuant to the Offer or a subsequent exchange pursuant to the terms of the Warrant Amendment should generally result in gain or loss to you equal to the difference between the cash received and your tax basis in the fractional share as described below under “—Gain or Loss on Sale, Taxable Exchange or Other Taxable Disposition of Class A Common Stock.”</w:t>
      </w:r>
    </w:p>
    <w:p>
      <w:pPr>
        <w:spacing w:after="0" w:line="169"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Because there is a lack of direct legal authority regarding the U.S. federal income tax consequences of the exchange of our warrants for our Class A common stock, there can be no assurance in this regard, and alternative characterizations by the IRS or a court are possible, including ones that would require U.S. holders to recognize taxable income. If our treatment of the exchange of our warrants for our Class A common stock were successfully challenged by the IRS and such exchange were not treated as a recapitalization for United States federal income tax purposes, exchanging U.S. holders may be subject to taxation in a manner analogous to the rules applicable to dispositions of our Class A common stock described below under “—Gain or Loss on Sale, Taxable Exchange or Other Taxable Disposition of Class A Common Stock.”</w:t>
      </w:r>
    </w:p>
    <w:p>
      <w:pPr>
        <w:spacing w:after="0" w:line="164"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Although we believe the exchange of our warrants for our Class A common stock pursuant to the Offer or any subsequent exchange pursuant to the terms of the Warrant Amendment is a value-for-value transaction, because of the uncertainty inherent in any valuation, there can be no assurance that the IRS or a court would agree. If the IRS or a court were to view the exchange pursuant to the Offer or any subsequent exchange pursuant to the terms of the Warrant Amendment as the issuance of Class A common stock to an exchanging holder having a value in excess of the warrants surrendered by such holder, such excess value could be viewed as a constructive dividend or a fee received in consideration for consenting to the Warrant Amendment (which constructive dividend or fee may be taxable to you and may be taxable as ordinary income).</w:t>
      </w:r>
    </w:p>
    <w:p>
      <w:pPr>
        <w:spacing w:after="0" w:line="164"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If you exchange our warrants for our Class A common stock pursuant to the Offer or if your warrants are subsequently exchanged for our Class A common stock pursuant to the terms of the Warrant Amendment, and if you hold 5% or more of our Class A common stock prior to the exchange, or if you hold warrants and other securities of ours prior to the exchange with a tax basis of $1 million or more, you will be required to file with your U.S. federal income tax return for the year in which the exchange occurs a statement setting forth certain information relating to the exchange (including the fair market value, immediately prior to the exchange, of the warrants transferred in the exchange and your tax basis, immediately prior to the exchange, in such warrants), and to maintain permanent records containing such information.</w:t>
      </w:r>
    </w:p>
    <w:p>
      <w:pPr>
        <w:spacing w:after="0" w:line="16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Warrants not Exchanged for Class A Common Stock</w:t>
      </w:r>
    </w:p>
    <w:p>
      <w:pPr>
        <w:spacing w:after="0" w:line="198"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5"/>
          <w:szCs w:val="15"/>
          <w:color w:val="auto"/>
        </w:rPr>
        <w:t>If the Warrant Amendment is approved, we intend to treat all warrants not exchanged for Class A common stock in the Offer as having been exchanged for “new” warrants pursuant to the Warrant Amendment and to treat such deemed exchange as a “recapitalization” within the meaning of Section 368(a)(1)(E) of the Code. Under such treatment,</w:t>
      </w:r>
    </w:p>
    <w:p>
      <w:pPr>
        <w:jc w:val="both"/>
        <w:ind w:left="5" w:right="20" w:hanging="5"/>
        <w:spacing w:after="0" w:line="248" w:lineRule="auto"/>
        <w:tabs>
          <w:tab w:leader="none" w:pos="1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 (iii) your holding period for the “new” warrants deemed to be received in the exchange should include your holding period for the warrants deemed surrendered. Special tax basis and holding period rules apply to holders that acquired different blocks of our warrants at different prices or at different times. You should consult your tax advisor as to the applicability of these special rules to your particular circumstances.</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0" w:right="319" w:bottom="1440" w:gutter="0" w:footer="0" w:header="0"/>
        </w:sectPr>
      </w:pPr>
    </w:p>
    <w:bookmarkStart w:id="126" w:name="page127"/>
    <w:bookmarkEnd w:id="126"/>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Because there is a lack of direct legal authority regarding the U.S. federal income tax consequences of a deemed exchange of our warrants for “new” warrants pursuant to the Warrant Amendment, there can be no assurance in this regard, and alternative characterizations by the IRS or a court are possible, including ones that would require U.S. holders to recognize taxable income. If our treatment of the deemed exchange of our warrants for “new” warrants pursuant to the Warrant Amendment were successfully challenged by the IRS and such exchange were not treated as a recapitalization for United States federal income tax purposes, exchanging U.S. holders may be subject to taxation in a manner analogous to the rules applicable to dispositions of Class A common stock described below under “—Gain or Loss on Sale, Taxable Exchange or Other Taxable Disposition of our Class A Common Stock.”</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Taxation of Distributions on our Class A Common Stock</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do not expect to pay any distributions on our Class A common stock in the foreseeable future. If we pay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6"/>
          <w:szCs w:val="16"/>
          <w:i w:val="1"/>
          <w:iCs w:val="1"/>
          <w:color w:val="auto"/>
        </w:rPr>
        <w:t>U.S. Holders—Gain or Loss on Sale, Taxable Exchange or Other Taxable Disposition of Class A 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6"/>
          <w:szCs w:val="16"/>
          <w:color w:val="auto"/>
        </w:rPr>
        <w:t>Upon a sale or other taxable disposition of our Class A common stock,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other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63"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w:t>
      </w:r>
    </w:p>
    <w:p>
      <w:pPr>
        <w:spacing w:after="0" w:line="152"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general, information reporting requirements may apply to dividends paid to a U.S. holder and to the proceeds of the sale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other disposition of our shares of Class A common stock, unless the U.S. holder is an exempt recipient. Backup withholding may apply to such payments if the U.S. holder fails to provide a taxpayer identification number (which for an individual is ordinarily his or her social security number), a certification of exempt status or has been notified by the IRS that it is subject to backup withholding (and such notification has not been withdrawn).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27" w:name="page128"/>
    <w:bookmarkEnd w:id="127"/>
    <w:p>
      <w:pPr>
        <w:ind w:firstLine="283"/>
        <w:spacing w:after="0" w:line="275"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 holders should consult their tax advisors regarding their qualification for an exemption from backup withholding and the procedures for obtaining such an exemption.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Holders</w:t>
      </w:r>
    </w:p>
    <w:p>
      <w:pPr>
        <w:spacing w:after="0" w:line="196"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This section applies to you if you are a “non-U.S. holder.” As used herein, the term “non-U.S. holder” means a beneficial owner of our Class A common stock or warrants who or that is for U.S. federal income tax purposes:</w:t>
      </w:r>
    </w:p>
    <w:p>
      <w:pPr>
        <w:spacing w:after="0" w:line="145" w:lineRule="exact"/>
        <w:rPr>
          <w:sz w:val="20"/>
          <w:szCs w:val="20"/>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non-resident alien individual (other than certain former citizens and residents of the United States subject to U.S. tax as expatriates);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foreign corporation; or</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that is not a U.S. holder;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but generally does not include an individual who is present in the United States for 183 days or more in the taxable year of the disposition of our securities. If you are such an individual, you should consult your own tax advisor regarding the U.S. federal income tax consequences of the acquisition, ownership or sale or other disposition of our securities.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Exchange of Warrants for our Class A Common Stock</w:t>
      </w:r>
    </w:p>
    <w:p>
      <w:pPr>
        <w:spacing w:after="0" w:line="198"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A non-U.S. holder’s exchange of our warrants for our Class A common stock pursuant to the Offer or the terms of the Warrant Amendment, and the deemed exchange of warrants not exchanged for Class A common stock in the Offer for “new” warrants pursuant to the Warrant Amendment, should generally have the same tax consequences as described above with respect to U.S. holders, except that if a non-U.S. holder is not engaged in the conduct of a trade or business within the United States, such non-U.S. holder should not be required to make the U.S. federal income tax filings required of U.S. holders described above solely on account of the exchange of warrants for our Class A common stock pursuant to the Offer or the terms of the Warrant Amendment. Any cash received by a non-U.S. holder in lieu of a fractional share of our Class A common stock pursuant to the Offer should generally be treated as gain from the sale or other taxable disposition of our Class A common stock, which will be treated as described under “—Gain on Sale, Taxable Exchange or Other Taxable Disposition of Class A Common Stock.”</w:t>
      </w:r>
    </w:p>
    <w:p>
      <w:pPr>
        <w:spacing w:after="0" w:line="161"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Taxation of Distributions on our Class A Common Stock</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general, any distributions (other than certain distributions of our stock and rights to acquire our stock) we make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5"/>
          <w:szCs w:val="15"/>
          <w:i w:val="1"/>
          <w:iCs w:val="1"/>
          <w:color w:val="auto"/>
        </w:rPr>
        <w:t>Non-U.S. Holders—Gain on Sale, Taxable Exchange or Other Taxable Disposition of Class A Common Stock</w:t>
      </w:r>
      <w:r>
        <w:rPr>
          <w:rFonts w:ascii="Times New Roman" w:cs="Times New Roman" w:eastAsia="Times New Roman" w:hAnsi="Times New Roman"/>
          <w:sz w:val="15"/>
          <w:szCs w:val="15"/>
          <w:color w:val="auto"/>
        </w:rPr>
        <w:t>,” below.</w:t>
      </w:r>
    </w:p>
    <w:p>
      <w:pPr>
        <w:spacing w:after="0" w:line="153"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28" w:name="page129"/>
    <w:bookmarkEnd w:id="128"/>
    <w:p>
      <w:pPr>
        <w:ind w:left="280"/>
        <w:spacing w:after="0"/>
        <w:rPr>
          <w:sz w:val="20"/>
          <w:szCs w:val="20"/>
          <w:color w:val="auto"/>
        </w:rPr>
      </w:pPr>
      <w:r>
        <w:rPr>
          <w:rFonts w:ascii="Times New Roman" w:cs="Times New Roman" w:eastAsia="Times New Roman" w:hAnsi="Times New Roman"/>
          <w:sz w:val="16"/>
          <w:szCs w:val="16"/>
          <w:color w:val="auto"/>
        </w:rPr>
        <w:t>Non-U.S. holders should consult their tax advisors regarding any applicable tax treaties that may provide for different rules.</w:t>
      </w:r>
    </w:p>
    <w:p>
      <w:pPr>
        <w:spacing w:after="0" w:line="190"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Gain on Sale, Taxable Exchange or Other Taxable Disposition of Class A Common Stock</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non-U.S. holder generally will not be subject to U.S. federal income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withholding tax in respect of gain recognized on a sale, taxable exchange or other taxable disposition of our Class A common stock or an expiration or redemption of our warrants, unless:</w:t>
      </w:r>
    </w:p>
    <w:p>
      <w:pPr>
        <w:spacing w:after="0" w:line="155" w:lineRule="exact"/>
        <w:rPr>
          <w:sz w:val="20"/>
          <w:szCs w:val="20"/>
          <w:color w:val="auto"/>
        </w:rPr>
      </w:pPr>
    </w:p>
    <w:p>
      <w:pPr>
        <w:ind w:left="560" w:right="20" w:hanging="282"/>
        <w:spacing w:after="0" w:line="275" w:lineRule="auto"/>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52" w:lineRule="auto"/>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believe that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returns will be filed with the IRS in connection with payments of dividends and may be filed with the IRS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payment of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Copies of information returns that are filed with the IRS may also be made available under the provisions of an applicable treaty or agreement to the tax authorities of the country in which the non-U.S. holder resides or is established.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0"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FATCA</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Provisions commonly referred to as “FATCA” impose withholding of 30% on payments of dividends (including constructive dividends) on our Class A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All holders should consult their own tax advisors regarding the effects of FATCA on their investment in our Class A common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94" w:lineRule="exact"/>
        <w:rPr>
          <w:sz w:val="20"/>
          <w:szCs w:val="20"/>
          <w:color w:val="auto"/>
        </w:rPr>
      </w:pPr>
    </w:p>
    <w:p>
      <w:pPr>
        <w:ind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Capitalization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total number of shares of all classes of stock that OPAL has the authority to issue is 1,120,000,000 shares, consisting of:</w:t>
      </w:r>
    </w:p>
    <w:p>
      <w:pPr>
        <w:spacing w:after="0" w:line="194" w:lineRule="exact"/>
        <w:rPr>
          <w:sz w:val="20"/>
          <w:szCs w:val="20"/>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820,000,000 shares of Common Stock, par value of $0.0001 per share, divided into:</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340,000,000 shares of Class A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B common stock;</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C common stock;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160,000,000 shares of Class D common stock;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300,000,000 shares of OPAL Preferred Stock, par value $0.0001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November 16, 2022, OPAL had 25,671,390 shares of Class A common stock issued and outstanding.</w:t>
      </w:r>
    </w:p>
    <w:p>
      <w:pPr>
        <w:spacing w:after="0" w:line="190"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A common stock is entitled to one vote for each share of Class A common stock held of record by such holder on all matters on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6"/>
          <w:szCs w:val="16"/>
          <w:i w:val="1"/>
          <w:iCs w:val="1"/>
          <w:color w:val="auto"/>
        </w:rPr>
        <w:t>DGCL</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Subject to applicable law and the rights, if any, of the holders of any outstanding series of OPAL Preferred Stock or any class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30" w:name="page131"/>
    <w:bookmarkEnd w:id="130"/>
    <w:p>
      <w:pPr>
        <w:ind w:firstLine="283"/>
        <w:spacing w:after="0" w:line="275" w:lineRule="auto"/>
        <w:rPr>
          <w:sz w:val="20"/>
          <w:szCs w:val="20"/>
          <w:color w:val="auto"/>
        </w:rPr>
      </w:pPr>
      <w:r>
        <w:rPr>
          <w:rFonts w:ascii="Times New Roman" w:cs="Times New Roman" w:eastAsia="Times New Roman" w:hAnsi="Times New Roman"/>
          <w:sz w:val="16"/>
          <w:szCs w:val="16"/>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6"/>
          <w:szCs w:val="16"/>
          <w:i w:val="1"/>
          <w:iCs w:val="1"/>
          <w:color w:val="auto"/>
        </w:rPr>
        <w:t>Stock Adjustment</w:t>
      </w:r>
      <w:r>
        <w:rPr>
          <w:rFonts w:ascii="Times New Roman" w:cs="Times New Roman" w:eastAsia="Times New Roman" w:hAnsi="Times New Roman"/>
          <w:sz w:val="16"/>
          <w:szCs w:val="16"/>
          <w:color w:val="auto"/>
        </w:rPr>
        <w:t>”) unless:</w:t>
      </w:r>
    </w:p>
    <w:p>
      <w:pPr>
        <w:spacing w:after="0" w:line="145" w:lineRule="exact"/>
        <w:rPr>
          <w:sz w:val="20"/>
          <w:szCs w:val="20"/>
          <w:color w:val="auto"/>
        </w:rPr>
      </w:pPr>
    </w:p>
    <w:p>
      <w:pPr>
        <w:ind w:left="560" w:hanging="282"/>
        <w:spacing w:after="0"/>
        <w:tabs>
          <w:tab w:leader="none" w:pos="5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 (as defined in the Second A&amp;R LLC Agreement).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p>
      <w:pPr>
        <w:spacing w:after="0" w:line="198"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41"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B common stock will be entitled to one vote for each share of Class B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Dividends of cash or property may not be declared or paid on shares of Class B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Further, 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31" w:name="page132"/>
    <w:bookmarkEnd w:id="131"/>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59" w:lineRule="exact"/>
        <w:rPr>
          <w:sz w:val="20"/>
          <w:szCs w:val="20"/>
          <w:color w:val="auto"/>
        </w:rPr>
      </w:pPr>
    </w:p>
    <w:p>
      <w:pPr>
        <w:jc w:val="both"/>
        <w:ind w:right="20"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Subscription Rights. </w:t>
      </w:r>
      <w:r>
        <w:rPr>
          <w:rFonts w:ascii="Times New Roman" w:cs="Times New Roman" w:eastAsia="Times New Roman" w:hAnsi="Times New Roman"/>
          <w:sz w:val="16"/>
          <w:szCs w:val="16"/>
          <w:color w:val="auto"/>
        </w:rPr>
        <w:t>To the extent Class B Units are issued pursuant to the Second A&amp;R LLC Agreement to any stockholder of OPAL other than a Qualified Stockholder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C common stock</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November 16, 2022, OPAL did not have any shares of Class C common stock issued and outstanding. Shares of Class C common stock may be converted to shares of Class A common stock, as discussed further below.</w:t>
      </w:r>
    </w:p>
    <w:p>
      <w:pPr>
        <w:spacing w:after="0" w:line="141"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C common stock will be entitled to five votes for each share of Class C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or Combinations. </w:t>
      </w:r>
      <w:r>
        <w:rPr>
          <w:rFonts w:ascii="Times New Roman" w:cs="Times New Roman" w:eastAsia="Times New Roman" w:hAnsi="Times New Roman"/>
          <w:sz w:val="16"/>
          <w:szCs w:val="16"/>
          <w:color w:val="auto"/>
        </w:rPr>
        <w:t>Subject to applicable law and the rights, if any, of the holders of outstanding series of OPAL Preferred Stock or any class or series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32" w:name="page133"/>
    <w:bookmarkEnd w:id="132"/>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196" w:lineRule="exact"/>
        <w:rPr>
          <w:sz w:val="20"/>
          <w:szCs w:val="20"/>
          <w:color w:val="auto"/>
        </w:rPr>
      </w:pPr>
    </w:p>
    <w:p>
      <w:pPr>
        <w:jc w:val="both"/>
        <w:ind w:left="560" w:hanging="282"/>
        <w:spacing w:after="0" w:line="262"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C common stock shall be convertible into one share of Class A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C common stock shall automatically, without any further action, convert into one share of Class A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(as defined in the Charter), other than a Transfer to a Qualified Stockholder (as defined in the Charter).</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D common stock</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As of November 16,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56"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holder of Class D common stock will be entitled to five votes for each share of Class D common stock held of record by such holder on all matters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5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Dividends; Stock Splits and Combinations. </w:t>
      </w:r>
      <w:r>
        <w:rPr>
          <w:rFonts w:ascii="Times New Roman" w:cs="Times New Roman" w:eastAsia="Times New Roman" w:hAnsi="Times New Roman"/>
          <w:sz w:val="16"/>
          <w:szCs w:val="16"/>
          <w:color w:val="auto"/>
        </w:rPr>
        <w:t>Dividends of cash or property may not be declared or paid on shares of Class D common stock.</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Further, in no event will any Stock Adjustment be declared or made on any series of Common Stock unless:</w:t>
      </w:r>
    </w:p>
    <w:p>
      <w:pPr>
        <w:spacing w:after="0" w:line="194" w:lineRule="exact"/>
        <w:rPr>
          <w:sz w:val="20"/>
          <w:szCs w:val="20"/>
          <w:color w:val="auto"/>
        </w:rPr>
      </w:pPr>
    </w:p>
    <w:p>
      <w:pPr>
        <w:ind w:left="560" w:hanging="282"/>
        <w:spacing w:after="0"/>
        <w:tabs>
          <w:tab w:leader="none" w:pos="5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corresponding Stock Adjustment for all other series of Common Stock not so adjusted at the time outstanding is made in the same proportion and the same manner; and</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Adjustment has been reflected in the same economically equivalent manner on all Class A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 dividends with respect to each class of Common Stock may only be paid with shares of stock of the same series of Common Stock.</w:t>
      </w:r>
    </w:p>
    <w:p>
      <w:pPr>
        <w:spacing w:after="0" w:line="19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In the event of any voluntary or involuntary liquidation, dissolution or winding-up of the affairs of OPAL, after payment or provision for payment of the debts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33" w:name="page134"/>
    <w:bookmarkEnd w:id="133"/>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Subscription Rights. </w:t>
      </w:r>
      <w:r>
        <w:rPr>
          <w:rFonts w:ascii="Times New Roman" w:cs="Times New Roman" w:eastAsia="Times New Roman" w:hAnsi="Times New Roman"/>
          <w:sz w:val="16"/>
          <w:szCs w:val="16"/>
          <w:color w:val="auto"/>
        </w:rPr>
        <w:t>To the extent that Class B Units are issued pursuant to the Second A&amp;R LLC Agreement to any Qualified Stockholder, such Qualified Stockholder shall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196" w:lineRule="exact"/>
        <w:rPr>
          <w:sz w:val="20"/>
          <w:szCs w:val="20"/>
          <w:color w:val="auto"/>
        </w:rPr>
      </w:pPr>
    </w:p>
    <w:p>
      <w:pPr>
        <w:jc w:val="both"/>
        <w:ind w:left="560" w:right="20" w:hanging="282"/>
        <w:spacing w:after="0" w:line="262"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D common stock shall be convertible into one share of Class B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D common stock shall automatically, without any further action, convert into one share of Class B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other than a Transfer to a Qualified Stockholder.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Cancellation of Class B common stock and Class D common stock</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Preferred Stock</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rights of the Common Stock, the OPAL Preferred Stock or any future class or series of OPAL Preferred Stock or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OPAL Capital Stock</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34" w:name="page135"/>
    <w:bookmarkEnd w:id="134"/>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Anti-Takeover Effects of Provisions of Delaware Law and the Organizational Documents</w:t>
      </w:r>
    </w:p>
    <w:p>
      <w:pPr>
        <w:spacing w:after="0" w:line="196"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These provisions include:</w:t>
      </w:r>
    </w:p>
    <w:p>
      <w:pPr>
        <w:spacing w:after="0" w:line="190" w:lineRule="exact"/>
        <w:rPr>
          <w:sz w:val="20"/>
          <w:szCs w:val="20"/>
          <w:color w:val="auto"/>
        </w:rPr>
      </w:pPr>
    </w:p>
    <w:p>
      <w:pPr>
        <w:jc w:val="both"/>
        <w:ind w:left="5" w:firstLine="28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Action by Written Consent; Special Meeting of Stockholder. </w:t>
      </w:r>
      <w:r>
        <w:rPr>
          <w:rFonts w:ascii="Times New Roman" w:cs="Times New Roman" w:eastAsia="Times New Roman" w:hAnsi="Times New Roman"/>
          <w:sz w:val="15"/>
          <w:szCs w:val="15"/>
          <w:color w:val="auto"/>
        </w:rPr>
        <w:t>Subject to, with respect to the OPAL Preferred Stock, the terms of any series of OPAL Preferred Stock, (i)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w:t>
      </w:r>
    </w:p>
    <w:p>
      <w:pPr>
        <w:spacing w:after="0" w:line="2" w:lineRule="exact"/>
        <w:rPr>
          <w:sz w:val="20"/>
          <w:szCs w:val="20"/>
          <w:color w:val="auto"/>
        </w:rPr>
      </w:pPr>
    </w:p>
    <w:p>
      <w:pPr>
        <w:jc w:val="both"/>
        <w:ind w:left="5" w:right="20" w:hanging="5"/>
        <w:spacing w:after="0" w:line="249" w:lineRule="auto"/>
        <w:tabs>
          <w:tab w:leader="none" w:pos="2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16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5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Election and Removal of Directors. </w:t>
      </w:r>
      <w:r>
        <w:rPr>
          <w:rFonts w:ascii="Times New Roman" w:cs="Times New Roman" w:eastAsia="Times New Roman" w:hAnsi="Times New Roman"/>
          <w:sz w:val="16"/>
          <w:szCs w:val="16"/>
          <w:color w:val="auto"/>
        </w:rPr>
        <w:t>Subject to any limitations imposed by applicable law and except for additional directors of OPAL elected by the holders of any series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3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35" w:name="page136"/>
    <w:bookmarkEnd w:id="135"/>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Bylaws also impose some procedural requirements on stockholders who wish to:</w:t>
      </w:r>
    </w:p>
    <w:p>
      <w:pPr>
        <w:spacing w:after="0" w:line="198" w:lineRule="exact"/>
        <w:rPr>
          <w:sz w:val="20"/>
          <w:szCs w:val="20"/>
          <w:color w:val="auto"/>
        </w:rPr>
      </w:pPr>
    </w:p>
    <w:p>
      <w:pPr>
        <w:ind w:left="560" w:hanging="282"/>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 or</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meeting of stockholders.</w:t>
      </w:r>
    </w:p>
    <w:p>
      <w:pPr>
        <w:spacing w:after="0" w:line="194"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45" w:lineRule="exact"/>
        <w:rPr>
          <w:sz w:val="20"/>
          <w:szCs w:val="20"/>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record address of each stockholder proposing business, as they appear in OPAL’s books;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or series and number of shares of stock of OPAL, directly or indirectly, held of record and beneficially by the Proponent or Stockholder Associated Person, as such terms are defined in the Bylaws;</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all persons with whom the stockholder is acting in concert and a description of all arrangements and understandings with those persons;</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5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business or nomination to be brought before the meeting, the text of the proposal and the reasons for conducting such business at the meeting;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Proponent or Stockholder Associated Person in such business.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Bylaws also set out the timeliness requirements for delivery of such notice.</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Officers and Directors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Organizational Documents provide indemnification for OPAL’s directors and officers to the fullest extent permitted by the DGCL.</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Agreements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July 21, 2022, OPAL entered into certain Indemnification Agreements (“</w:t>
      </w:r>
      <w:r>
        <w:rPr>
          <w:rFonts w:ascii="Times New Roman" w:cs="Times New Roman" w:eastAsia="Times New Roman" w:hAnsi="Times New Roman"/>
          <w:sz w:val="16"/>
          <w:szCs w:val="16"/>
          <w:i w:val="1"/>
          <w:iCs w:val="1"/>
          <w:color w:val="auto"/>
        </w:rPr>
        <w:t>Indemnification Agreements</w:t>
      </w:r>
      <w:r>
        <w:rPr>
          <w:rFonts w:ascii="Times New Roman" w:cs="Times New Roman" w:eastAsia="Times New Roman" w:hAnsi="Times New Roman"/>
          <w:sz w:val="16"/>
          <w:szCs w:val="16"/>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color w:val="auto"/>
        </w:rPr>
        <w:t>Exclusive Forum</w:t>
      </w:r>
    </w:p>
    <w:p>
      <w:pPr>
        <w:spacing w:after="0" w:line="196" w:lineRule="exact"/>
        <w:rPr>
          <w:sz w:val="20"/>
          <w:szCs w:val="20"/>
          <w:color w:val="auto"/>
        </w:rPr>
      </w:pPr>
    </w:p>
    <w:p>
      <w:pPr>
        <w:jc w:val="both"/>
        <w:ind w:firstLine="283"/>
        <w:spacing w:after="0" w:line="267" w:lineRule="auto"/>
        <w:rPr>
          <w:sz w:val="20"/>
          <w:szCs w:val="20"/>
          <w:color w:val="auto"/>
        </w:rPr>
      </w:pPr>
      <w:r>
        <w:rPr>
          <w:rFonts w:ascii="Times New Roman" w:cs="Times New Roman" w:eastAsia="Times New Roman" w:hAnsi="Times New Roman"/>
          <w:sz w:val="15"/>
          <w:szCs w:val="15"/>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5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6"/>
          <w:szCs w:val="16"/>
          <w:i w:val="1"/>
          <w:iCs w:val="1"/>
          <w:color w:val="auto"/>
        </w:rPr>
        <w:t>Foreign Action</w:t>
      </w:r>
      <w:r>
        <w:rPr>
          <w:rFonts w:ascii="Times New Roman" w:cs="Times New Roman" w:eastAsia="Times New Roman" w:hAnsi="Times New Roman"/>
          <w:sz w:val="16"/>
          <w:szCs w:val="16"/>
          <w:color w:val="auto"/>
        </w:rPr>
        <w:t>”) in the name of any stockholder of OPAL,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6"/>
          <w:szCs w:val="16"/>
          <w:i w:val="1"/>
          <w:iCs w:val="1"/>
          <w:color w:val="auto"/>
        </w:rPr>
        <w:t>Enforcement Action</w:t>
      </w:r>
      <w:r>
        <w:rPr>
          <w:rFonts w:ascii="Times New Roman" w:cs="Times New Roman" w:eastAsia="Times New Roman" w:hAnsi="Times New Roman"/>
          <w:sz w:val="16"/>
          <w:szCs w:val="16"/>
          <w:color w:val="auto"/>
        </w:rPr>
        <w:t>”) and (ii) having service of process made upon such stockholder in any such Enforcement Action by service upon such stockholder’s counsel in the Foreign Action as agent for such stockholder.</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Any person or entity purchasing, holding, owning or otherwise acquiring any interest in any security of OPAL shall be deemed to have notice of and to have consented to the exclusive forum provisions of the Charter.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Registration Rights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6"/>
          <w:szCs w:val="16"/>
          <w:i w:val="1"/>
          <w:iCs w:val="1"/>
          <w:color w:val="auto"/>
        </w:rPr>
        <w:t>Certain Relationships and Related Party Transactions—PIPE Investors—Investor Rights Agreement.</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Public Warrants</w:t>
      </w:r>
    </w:p>
    <w:p>
      <w:pPr>
        <w:spacing w:after="0" w:line="19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Each OPAL whole warrant entitles the registered holder to purchase one share of Class A common stock at a price of $11.50 per share, subject to adjustment as discussed below,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on July 21, 2027, at 5:00 p.m., New York City time, or earlier upon redemption or liquidation.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37" w:name="page138"/>
    <w:bookmarkEnd w:id="137"/>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On November 8, 2022, the Company’s resale registration statement on Form S-1 was declared effective.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5" w:lineRule="exact"/>
        <w:rPr>
          <w:sz w:val="20"/>
          <w:szCs w:val="20"/>
          <w:color w:val="auto"/>
        </w:rPr>
      </w:pPr>
    </w:p>
    <w:p>
      <w:pPr>
        <w:jc w:val="both"/>
        <w:ind w:firstLine="283"/>
        <w:spacing w:after="0" w:line="265" w:lineRule="auto"/>
        <w:rPr>
          <w:sz w:val="20"/>
          <w:szCs w:val="20"/>
          <w:color w:val="auto"/>
        </w:rPr>
      </w:pPr>
      <w:r>
        <w:rPr>
          <w:rFonts w:ascii="Times New Roman" w:cs="Times New Roman" w:eastAsia="Times New Roman" w:hAnsi="Times New Roman"/>
          <w:sz w:val="15"/>
          <w:szCs w:val="15"/>
          <w:color w:val="auto"/>
        </w:rPr>
        <w:t>Under the terms of the warrant agreement, we agreed that as soon as practicable, but in no event later than twenty business days after the closing of the Business Combination, we would use our commercially reasonable efforts to file with the SEC a registration statement for the registration, under the Securities Act, of the shares of Class A common stock issuable upon exercise of the warrants, and we would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w:t>
      </w:r>
      <w:r>
        <w:rPr>
          <w:rFonts w:ascii="Times New Roman" w:cs="Times New Roman" w:eastAsia="Times New Roman" w:hAnsi="Times New Roman"/>
          <w:sz w:val="15"/>
          <w:szCs w:val="15"/>
          <w:i w:val="1"/>
          <w:iCs w:val="1"/>
          <w:color w:val="auto"/>
        </w:rPr>
        <w:t>covered security</w:t>
      </w:r>
      <w:r>
        <w:rPr>
          <w:rFonts w:ascii="Times New Roman" w:cs="Times New Roman" w:eastAsia="Times New Roman" w:hAnsi="Times New Roman"/>
          <w:sz w:val="15"/>
          <w:szCs w:val="15"/>
          <w:color w:val="auto"/>
        </w:rPr>
        <w:t>” under Section 18(b)(1) of the Securities Act, we may, at our option, require holders of Public Warrants who exercise their warrants to do so on a “</w:t>
      </w:r>
      <w:r>
        <w:rPr>
          <w:rFonts w:ascii="Times New Roman" w:cs="Times New Roman" w:eastAsia="Times New Roman" w:hAnsi="Times New Roman"/>
          <w:sz w:val="15"/>
          <w:szCs w:val="15"/>
          <w:i w:val="1"/>
          <w:iCs w:val="1"/>
          <w:color w:val="auto"/>
        </w:rPr>
        <w:t>cashless basis</w:t>
      </w:r>
      <w:r>
        <w:rPr>
          <w:rFonts w:ascii="Times New Roman" w:cs="Times New Roman" w:eastAsia="Times New Roman" w:hAnsi="Times New Roman"/>
          <w:sz w:val="15"/>
          <w:szCs w:val="15"/>
          <w:color w:val="auto"/>
        </w:rPr>
        <w:t>”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We further agreed under the terms of the warrant agreement that if a registration statement covering the shares of Class A common stock issuable upon exercise of the warrants were not effective by the 60th day after the closing of the Business Combination, warrant holders may, until such time as there is an effective registration statement and during any period when we will have failed to maintain an effective registration statement, exercise warrants on a “</w:t>
      </w:r>
      <w:r>
        <w:rPr>
          <w:rFonts w:ascii="Times New Roman" w:cs="Times New Roman" w:eastAsia="Times New Roman" w:hAnsi="Times New Roman"/>
          <w:sz w:val="15"/>
          <w:szCs w:val="15"/>
          <w:i w:val="1"/>
          <w:iCs w:val="1"/>
          <w:color w:val="auto"/>
        </w:rPr>
        <w:t>cashless basis</w:t>
      </w:r>
      <w:r>
        <w:rPr>
          <w:rFonts w:ascii="Times New Roman" w:cs="Times New Roman" w:eastAsia="Times New Roman" w:hAnsi="Times New Roman"/>
          <w:sz w:val="15"/>
          <w:szCs w:val="15"/>
          <w:color w:val="auto"/>
        </w:rPr>
        <w:t>” in accordance with Section 3(a)(9) of the Securities Act or another exemption, but we would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w:t>
      </w:r>
      <w:r>
        <w:rPr>
          <w:rFonts w:ascii="Times New Roman" w:cs="Times New Roman" w:eastAsia="Times New Roman" w:hAnsi="Times New Roman"/>
          <w:sz w:val="15"/>
          <w:szCs w:val="15"/>
          <w:i w:val="1"/>
          <w:iCs w:val="1"/>
          <w:color w:val="auto"/>
        </w:rPr>
        <w:t>fair market value</w:t>
      </w:r>
      <w:r>
        <w:rPr>
          <w:rFonts w:ascii="Times New Roman" w:cs="Times New Roman" w:eastAsia="Times New Roman" w:hAnsi="Times New Roman"/>
          <w:sz w:val="15"/>
          <w:szCs w:val="15"/>
          <w:color w:val="auto"/>
        </w:rPr>
        <w:t>” less the exercise price of the warrants by (y) the fair market value and (B) 0.361. The “</w:t>
      </w:r>
      <w:r>
        <w:rPr>
          <w:rFonts w:ascii="Times New Roman" w:cs="Times New Roman" w:eastAsia="Times New Roman" w:hAnsi="Times New Roman"/>
          <w:sz w:val="15"/>
          <w:szCs w:val="15"/>
          <w:i w:val="1"/>
          <w:iCs w:val="1"/>
          <w:color w:val="auto"/>
        </w:rPr>
        <w:t>fair market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value</w:t>
      </w:r>
      <w:r>
        <w:rPr>
          <w:rFonts w:ascii="Times New Roman" w:cs="Times New Roman" w:eastAsia="Times New Roman" w:hAnsi="Times New Roman"/>
          <w:sz w:val="15"/>
          <w:szCs w:val="15"/>
          <w:color w:val="auto"/>
        </w:rPr>
        <w:t>” as used in this paragraph shall mean the volume weighted average price of the Class A common stock for the 10 trading days ending on the trading day prior to the date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the notice of exercise is received by the warrant agent. On November 8, 2022, the Company’s resale registration statement on Form S-1 was declared effective.</w:t>
      </w:r>
    </w:p>
    <w:p>
      <w:pPr>
        <w:spacing w:after="0" w:line="161"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of warrants when the price per share of Class A common stock equals or exceeds $18.00. </w:t>
      </w:r>
      <w:r>
        <w:rPr>
          <w:rFonts w:ascii="Times New Roman" w:cs="Times New Roman" w:eastAsia="Times New Roman" w:hAnsi="Times New Roman"/>
          <w:sz w:val="16"/>
          <w:szCs w:val="16"/>
          <w:color w:val="auto"/>
        </w:rPr>
        <w:t>Once the warrants become exercisable, we may redeem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outstanding warrants:</w:t>
      </w:r>
    </w:p>
    <w:p>
      <w:pPr>
        <w:spacing w:after="0" w:line="142" w:lineRule="exact"/>
        <w:rPr>
          <w:sz w:val="20"/>
          <w:szCs w:val="20"/>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to each warrant holder; and</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for any 20 trading days within a 30-trading day period ending three trading days before we send the notice of redemption to the warrant holders.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38" w:name="page139"/>
    <w:bookmarkEnd w:id="138"/>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We have established the last of the redemption criteria discussed above to prevent a redemption call unless there is at the time of the call a significant premium to the warrant exercise price.</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as well as the $11.50 (for whole shares) warrant exercise price after the redemption notice is issued.</w:t>
      </w:r>
    </w:p>
    <w:p>
      <w:pPr>
        <w:spacing w:after="0" w:line="156"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6"/>
          <w:szCs w:val="16"/>
          <w:color w:val="auto"/>
        </w:rPr>
        <w:t>Once the warrants become exercisable, we may redeem the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warrants:</w:t>
      </w:r>
    </w:p>
    <w:p>
      <w:pPr>
        <w:spacing w:after="0" w:line="142" w:lineRule="exact"/>
        <w:rPr>
          <w:sz w:val="20"/>
          <w:szCs w:val="20"/>
          <w:color w:val="auto"/>
        </w:rPr>
      </w:pPr>
    </w:p>
    <w:p>
      <w:pPr>
        <w:ind w:left="560" w:hanging="282"/>
        <w:spacing w:after="0"/>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9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of Class A common stock (as defined below) except as otherwise described below;</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6"/>
          <w:szCs w:val="16"/>
          <w:i w:val="1"/>
          <w:iCs w:val="1"/>
          <w:color w:val="auto"/>
        </w:rPr>
        <w:t>“— Warrants — Public Warrants — Anti-Dilution Adjustments</w:t>
      </w:r>
      <w:r>
        <w:rPr>
          <w:rFonts w:ascii="Times New Roman" w:cs="Times New Roman" w:eastAsia="Times New Roman" w:hAnsi="Times New Roman"/>
          <w:sz w:val="16"/>
          <w:szCs w:val="16"/>
          <w:color w:val="auto"/>
        </w:rPr>
        <w:t>”) for any 20 trading days within the 30-trading day period ending three trading days before we send the notice of redemption to the warrant holders; and</w:t>
      </w:r>
    </w:p>
    <w:p>
      <w:pPr>
        <w:spacing w:after="0" w:line="155"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6"/>
          <w:szCs w:val="16"/>
          <w:i w:val="1"/>
          <w:iCs w:val="1"/>
          <w:color w:val="auto"/>
        </w:rPr>
        <w:t>Warrants — Public Warrants — Anti-dilution Adjustments</w:t>
      </w:r>
      <w:r>
        <w:rPr>
          <w:rFonts w:ascii="Times New Roman" w:cs="Times New Roman" w:eastAsia="Times New Roman" w:hAnsi="Times New Roman"/>
          <w:sz w:val="16"/>
          <w:szCs w:val="16"/>
          <w:color w:val="auto"/>
        </w:rPr>
        <w:t>”), the Private Placement Warrants must also be concurrently called for redemption on the same terms as the outstanding Public Warrants, as described above.</w:t>
      </w:r>
    </w:p>
    <w:p>
      <w:pPr>
        <w:spacing w:after="0" w:line="160"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39" w:name="page140"/>
    <w:bookmarkEnd w:id="139"/>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w:t>
      </w:r>
    </w:p>
    <w:p>
      <w:pPr>
        <w:spacing w:after="0" w:line="2" w:lineRule="exact"/>
        <w:rPr>
          <w:sz w:val="20"/>
          <w:szCs w:val="20"/>
          <w:color w:val="auto"/>
        </w:rPr>
      </w:pPr>
    </w:p>
    <w:p>
      <w:pPr>
        <w:jc w:val="both"/>
        <w:ind w:left="5" w:hanging="5"/>
        <w:spacing w:after="0" w:line="247" w:lineRule="auto"/>
        <w:tabs>
          <w:tab w:leader="none" w:pos="22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adjustment pursuant to the fifth paragraph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6"/>
          <w:szCs w:val="16"/>
          <w:i w:val="1"/>
          <w:iCs w:val="1"/>
          <w:color w:val="auto"/>
        </w:rPr>
        <w:t>Warrants — 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Anti-dilution Adjustments</w:t>
      </w:r>
      <w:r>
        <w:rPr>
          <w:rFonts w:ascii="Times New Roman" w:cs="Times New Roman" w:eastAsia="Times New Roman" w:hAnsi="Times New Roman"/>
          <w:sz w:val="16"/>
          <w:szCs w:val="16"/>
          <w:color w:val="auto"/>
        </w:rPr>
        <w:t>” below, the adjusted share prices in the column headings will equal the unadjusted share price less the decrease in the exercise price of a warrant pursuant to such exercise price adjustment. As used herein, the term, “</w:t>
      </w:r>
      <w:r>
        <w:rPr>
          <w:rFonts w:ascii="Times New Roman" w:cs="Times New Roman" w:eastAsia="Times New Roman" w:hAnsi="Times New Roman"/>
          <w:sz w:val="16"/>
          <w:szCs w:val="16"/>
          <w:i w:val="1"/>
          <w:iCs w:val="1"/>
          <w:color w:val="auto"/>
        </w:rPr>
        <w:t>Market Value</w:t>
      </w:r>
      <w:r>
        <w:rPr>
          <w:rFonts w:ascii="Times New Roman" w:cs="Times New Roman" w:eastAsia="Times New Roman" w:hAnsi="Times New Roman"/>
          <w:sz w:val="16"/>
          <w:szCs w:val="16"/>
          <w:color w:val="auto"/>
        </w:rPr>
        <w:t>” means the volume weighted average trading price of the shares of Class A Common Stock during the 20 trading day period starting on the trading day prior to the Closing Date and the term, “</w:t>
      </w:r>
      <w:r>
        <w:rPr>
          <w:rFonts w:ascii="Times New Roman" w:cs="Times New Roman" w:eastAsia="Times New Roman" w:hAnsi="Times New Roman"/>
          <w:sz w:val="16"/>
          <w:szCs w:val="16"/>
          <w:i w:val="1"/>
          <w:iCs w:val="1"/>
          <w:color w:val="auto"/>
        </w:rPr>
        <w:t>Newly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Issued Price</w:t>
      </w:r>
      <w:r>
        <w:rPr>
          <w:rFonts w:ascii="Times New Roman" w:cs="Times New Roman" w:eastAsia="Times New Roman" w:hAnsi="Times New Roman"/>
          <w:sz w:val="16"/>
          <w:szCs w:val="16"/>
          <w:color w:val="auto"/>
        </w:rPr>
        <w:t>” means an issue price or effective issue price of less than $9.20 per ordinary share, with such issue price or effective issue price to be determined in good faith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and, in the case of any such issuance to our sponsor or its affiliates, without taking into account any founder shares held by our sponsor or such affiliates, as applicable, prior to such issuance.</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10"/>
          </w:tcPr>
          <w:p>
            <w:pPr>
              <w:ind w:left="600"/>
              <w:spacing w:after="0"/>
              <w:rPr>
                <w:sz w:val="20"/>
                <w:szCs w:val="20"/>
                <w:color w:val="auto"/>
              </w:rPr>
            </w:pPr>
            <w:r>
              <w:rPr>
                <w:rFonts w:ascii="Times New Roman" w:cs="Times New Roman" w:eastAsia="Times New Roman" w:hAnsi="Times New Roman"/>
                <w:sz w:val="16"/>
                <w:szCs w:val="16"/>
                <w:b w:val="1"/>
                <w:bCs w:val="1"/>
                <w:color w:val="auto"/>
              </w:rPr>
              <w:t>Fair Market Value of shares of Class A common stock</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4"/>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 to expiration of warrants)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$10.00</w:t>
            </w:r>
          </w:p>
        </w:tc>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11.00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12.00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13.00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14.00</w:t>
            </w:r>
          </w:p>
        </w:tc>
        <w:tc>
          <w:tcPr>
            <w:tcW w:w="20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15.00</w:t>
            </w:r>
          </w:p>
        </w:tc>
        <w:tc>
          <w:tcPr>
            <w:tcW w:w="200" w:type="dxa"/>
            <w:vAlign w:val="bottom"/>
          </w:tcPr>
          <w:p>
            <w:pPr>
              <w:spacing w:after="0"/>
              <w:rPr>
                <w:sz w:val="17"/>
                <w:szCs w:val="17"/>
                <w:color w:val="auto"/>
              </w:rPr>
            </w:pPr>
          </w:p>
        </w:tc>
        <w:tc>
          <w:tcPr>
            <w:tcW w:w="82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16.00</w:t>
            </w:r>
          </w:p>
        </w:tc>
        <w:tc>
          <w:tcPr>
            <w:tcW w:w="22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17.00</w:t>
            </w:r>
          </w:p>
        </w:tc>
        <w:tc>
          <w:tcPr>
            <w:tcW w:w="220" w:type="dxa"/>
            <w:vAlign w:val="bottom"/>
          </w:tcPr>
          <w:p>
            <w:pPr>
              <w:spacing w:after="0"/>
              <w:rPr>
                <w:sz w:val="17"/>
                <w:szCs w:val="17"/>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18.00</w:t>
            </w:r>
          </w:p>
        </w:tc>
        <w:tc>
          <w:tcPr>
            <w:tcW w:w="120" w:type="dxa"/>
            <w:vAlign w:val="bottom"/>
          </w:tcPr>
          <w:p>
            <w:pPr>
              <w:spacing w:after="0"/>
              <w:rPr>
                <w:sz w:val="17"/>
                <w:szCs w:val="17"/>
                <w:color w:val="auto"/>
              </w:rPr>
            </w:pPr>
          </w:p>
        </w:tc>
      </w:tr>
      <w:tr>
        <w:trPr>
          <w:trHeight w:val="18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60 months</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0.261</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0.281</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0.297</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0.311</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0.324</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0.348</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8"/>
              </w:rPr>
              <w:t>0.358</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8"/>
              </w:rPr>
              <w:t>0.361</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57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0.257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0.310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0.348</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0.358</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54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0.252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0.335</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0.347</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0.357</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51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0.246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0.287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0.320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0.357</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48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0.241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0.344</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0.356</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45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0.235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0.315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0.330</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0.343</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42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0.228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0.342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0.355</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39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0.221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0.246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0.340</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0.354</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0.213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0.239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0.305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0.323</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0.339</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0.353</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33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0.205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0.280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0.301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0.320</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0.337</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0.352</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0.196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0.224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0.316</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0.335</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0.351</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27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0.185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0.214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0.242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0.332</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0.350</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24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0.173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0.204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0.233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0.260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0.329</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0.348</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0.161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0.223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0.252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0.304</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0.326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0.347</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18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0.146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0.242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0.322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0.345</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0.130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0.164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0.262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0.317</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0.342</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0.111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0.146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0.181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0.312</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0.339</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0.090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0.162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0.305</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0.336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0.065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0.099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0.137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0.259</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0.296</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0.331</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months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0.034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0.065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0.104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0.150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0.243</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0.286</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0.326</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0.361</w:t>
            </w:r>
          </w:p>
        </w:tc>
      </w:tr>
      <w:tr>
        <w:trPr>
          <w:trHeight w:val="189"/>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 months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0.042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0.115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0.233</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0.281</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0.323</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0.361</w:t>
            </w:r>
          </w:p>
        </w:tc>
      </w:tr>
    </w:tbl>
    <w:p>
      <w:pPr>
        <w:spacing w:after="0" w:line="172" w:lineRule="exact"/>
        <w:rPr>
          <w:sz w:val="20"/>
          <w:szCs w:val="20"/>
          <w:color w:val="auto"/>
        </w:rPr>
      </w:pPr>
    </w:p>
    <w:p>
      <w:pPr>
        <w:jc w:val="both"/>
        <w:ind w:left="5" w:firstLine="283"/>
        <w:spacing w:after="0" w:line="249" w:lineRule="auto"/>
        <w:rPr>
          <w:sz w:val="20"/>
          <w:szCs w:val="20"/>
          <w:color w:val="auto"/>
        </w:rPr>
      </w:pPr>
      <w:r>
        <w:rPr>
          <w:rFonts w:ascii="Times New Roman" w:cs="Times New Roman" w:eastAsia="Times New Roman" w:hAnsi="Times New Roman"/>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40" w:name="page141"/>
    <w:bookmarkEnd w:id="140"/>
    <w:p>
      <w:pPr>
        <w:jc w:val="both"/>
        <w:ind w:firstLine="283"/>
        <w:spacing w:after="0" w:line="267" w:lineRule="auto"/>
        <w:rPr>
          <w:sz w:val="20"/>
          <w:szCs w:val="20"/>
          <w:color w:val="auto"/>
        </w:rPr>
      </w:pPr>
      <w:r>
        <w:rPr>
          <w:rFonts w:ascii="Times New Roman" w:cs="Times New Roman" w:eastAsia="Times New Roman" w:hAnsi="Times New Roman"/>
          <w:sz w:val="15"/>
          <w:szCs w:val="15"/>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5"/>
          <w:szCs w:val="15"/>
          <w:i w:val="1"/>
          <w:iCs w:val="1"/>
          <w:color w:val="auto"/>
        </w:rPr>
        <w:t>Redemption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warrants when the price per share of Class A common stock equals or exceeds $18.00</w:t>
      </w:r>
      <w:r>
        <w:rPr>
          <w:rFonts w:ascii="Times New Roman" w:cs="Times New Roman" w:eastAsia="Times New Roman" w:hAnsi="Times New Roman"/>
          <w:sz w:val="15"/>
          <w:szCs w:val="15"/>
          <w:color w:val="auto"/>
        </w:rPr>
        <w:t>.” Holders choosing to exercise their warrants in connection with a redemption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57"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Redemption procedures.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Anti-dilution adjustments</w:t>
      </w:r>
      <w:r>
        <w:rPr>
          <w:rFonts w:ascii="Times New Roman" w:cs="Times New Roman" w:eastAsia="Times New Roman" w:hAnsi="Times New Roman"/>
          <w:sz w:val="16"/>
          <w:szCs w:val="16"/>
          <w:b w:val="1"/>
          <w:bCs w:val="1"/>
          <w:color w:val="auto"/>
        </w:rPr>
        <w:t>.</w:t>
      </w:r>
    </w:p>
    <w:p>
      <w:pPr>
        <w:spacing w:after="0" w:line="198"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w:t>
      </w:r>
      <w:r>
        <w:rPr>
          <w:rFonts w:ascii="Times New Roman" w:cs="Times New Roman" w:eastAsia="Times New Roman" w:hAnsi="Times New Roman"/>
          <w:sz w:val="16"/>
          <w:szCs w:val="16"/>
          <w:i w:val="1"/>
          <w:iCs w:val="1"/>
          <w:color w:val="auto"/>
        </w:rPr>
        <w:t>historical fair market value</w:t>
      </w:r>
      <w:r>
        <w:rPr>
          <w:rFonts w:ascii="Times New Roman" w:cs="Times New Roman" w:eastAsia="Times New Roman" w:hAnsi="Times New Roman"/>
          <w:sz w:val="16"/>
          <w:szCs w:val="16"/>
          <w:color w:val="auto"/>
        </w:rPr>
        <w:t>”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w:t>
      </w:r>
      <w:r>
        <w:rPr>
          <w:rFonts w:ascii="Times New Roman" w:cs="Times New Roman" w:eastAsia="Times New Roman" w:hAnsi="Times New Roman"/>
          <w:sz w:val="16"/>
          <w:szCs w:val="16"/>
          <w:i w:val="1"/>
          <w:iCs w:val="1"/>
          <w:color w:val="auto"/>
        </w:rPr>
        <w:t>historical fair market value</w:t>
      </w:r>
      <w:r>
        <w:rPr>
          <w:rFonts w:ascii="Times New Roman" w:cs="Times New Roman" w:eastAsia="Times New Roman" w:hAnsi="Times New Roman"/>
          <w:sz w:val="16"/>
          <w:szCs w:val="16"/>
          <w:color w:val="auto"/>
        </w:rPr>
        <w:t>”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41" w:name="page142"/>
    <w:bookmarkEnd w:id="141"/>
    <w:p>
      <w:pPr>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w:t>
      </w:r>
    </w:p>
    <w:p>
      <w:pPr>
        <w:jc w:val="both"/>
        <w:ind w:left="5" w:right="20" w:hanging="5"/>
        <w:spacing w:after="0" w:line="247" w:lineRule="auto"/>
        <w:tabs>
          <w:tab w:leader="none" w:pos="22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70"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5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60" w:lineRule="exact"/>
        <w:rPr>
          <w:sz w:val="20"/>
          <w:szCs w:val="20"/>
          <w:color w:val="auto"/>
        </w:rPr>
      </w:pPr>
    </w:p>
    <w:p>
      <w:pPr>
        <w:jc w:val="both"/>
        <w:ind w:left="5" w:firstLine="283"/>
        <w:spacing w:after="0" w:line="248" w:lineRule="auto"/>
        <w:rPr>
          <w:sz w:val="20"/>
          <w:szCs w:val="20"/>
          <w:color w:val="auto"/>
        </w:rPr>
      </w:pPr>
      <w:r>
        <w:rPr>
          <w:rFonts w:ascii="Times New Roman" w:cs="Times New Roman" w:eastAsia="Times New Roman" w:hAnsi="Times New Roman"/>
          <w:sz w:val="16"/>
          <w:szCs w:val="16"/>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42" w:name="page143"/>
    <w:bookmarkEnd w:id="142"/>
    <w:p>
      <w:pPr>
        <w:jc w:val="both"/>
        <w:ind w:right="20" w:firstLine="283"/>
        <w:spacing w:after="0" w:line="250" w:lineRule="auto"/>
        <w:rPr>
          <w:sz w:val="20"/>
          <w:szCs w:val="20"/>
          <w:color w:val="auto"/>
        </w:rPr>
      </w:pPr>
      <w:r>
        <w:rPr>
          <w:rFonts w:ascii="Times New Roman" w:cs="Times New Roman" w:eastAsia="Times New Roman" w:hAnsi="Times New Roman"/>
          <w:sz w:val="16"/>
          <w:szCs w:val="16"/>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6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Warrants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of the Business Combination, except pursuant to certain limited exceptions, including transfers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65% of the number of the then-outstanding Private Placement Warrants.</w:t>
      </w:r>
    </w:p>
    <w:p>
      <w:pPr>
        <w:spacing w:after="0" w:line="163"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Except as described above under “— </w:t>
      </w:r>
      <w:r>
        <w:rPr>
          <w:rFonts w:ascii="Times New Roman" w:cs="Times New Roman" w:eastAsia="Times New Roman" w:hAnsi="Times New Roman"/>
          <w:sz w:val="16"/>
          <w:szCs w:val="16"/>
          <w:i w:val="1"/>
          <w:iCs w:val="1"/>
          <w:color w:val="auto"/>
        </w:rPr>
        <w:t>Public Warrants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Redemption of warrants when the price per share of Class A common stock equals or exceeds $10.00</w:t>
      </w:r>
      <w:r>
        <w:rPr>
          <w:rFonts w:ascii="Times New Roman" w:cs="Times New Roman" w:eastAsia="Times New Roman" w:hAnsi="Times New Roman"/>
          <w:sz w:val="16"/>
          <w:szCs w:val="16"/>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w:t>
      </w:r>
      <w:r>
        <w:rPr>
          <w:rFonts w:ascii="Times New Roman" w:cs="Times New Roman" w:eastAsia="Times New Roman" w:hAnsi="Times New Roman"/>
          <w:sz w:val="16"/>
          <w:szCs w:val="16"/>
          <w:i w:val="1"/>
          <w:iCs w:val="1"/>
          <w:color w:val="auto"/>
        </w:rPr>
        <w:t>Sponsor fair market value</w:t>
      </w:r>
      <w:r>
        <w:rPr>
          <w:rFonts w:ascii="Times New Roman" w:cs="Times New Roman" w:eastAsia="Times New Roman" w:hAnsi="Times New Roman"/>
          <w:sz w:val="16"/>
          <w:szCs w:val="16"/>
          <w:color w:val="auto"/>
        </w:rPr>
        <w:t>” (as defined below) over the exercise price of the warrants by (y) the Sponsor fair market value. For these purposes, the “</w:t>
      </w:r>
      <w:r>
        <w:rPr>
          <w:rFonts w:ascii="Times New Roman" w:cs="Times New Roman" w:eastAsia="Times New Roman" w:hAnsi="Times New Roman"/>
          <w:sz w:val="16"/>
          <w:szCs w:val="16"/>
          <w:i w:val="1"/>
          <w:iCs w:val="1"/>
          <w:color w:val="auto"/>
        </w:rPr>
        <w:t>Sponsor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 value</w:t>
      </w:r>
      <w:r>
        <w:rPr>
          <w:rFonts w:ascii="Times New Roman" w:cs="Times New Roman" w:eastAsia="Times New Roman" w:hAnsi="Times New Roman"/>
          <w:sz w:val="16"/>
          <w:szCs w:val="16"/>
          <w:color w:val="auto"/>
        </w:rPr>
        <w:t>” shall mean the average reported closing price of the shares of Class A common stock for the 10 trading days ending on the third trading day prior to the date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the notice of warrant exercise is sent to the warrant agent.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Warrant Agent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transfer agent for OPAL’s Common Stock and warrant agent for the Public Warrants and Private Placement Warrants is the Continental Transfer &amp; Trust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 of Common Stock</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shares of Class A common stock and Public Warrants are listed on Nasdaq under the symbols “OPAL” and “OPALW,” respectively.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19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Audit Committee Charter provides for the review, approval and/or ratification of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Services Agreement</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Opco has entered into a Master Services Agreement with CoStar Partners LLC (“</w:t>
      </w:r>
      <w:r>
        <w:rPr>
          <w:rFonts w:ascii="Times New Roman" w:cs="Times New Roman" w:eastAsia="Times New Roman" w:hAnsi="Times New Roman"/>
          <w:sz w:val="16"/>
          <w:szCs w:val="16"/>
          <w:i w:val="1"/>
          <w:iCs w:val="1"/>
          <w:color w:val="auto"/>
        </w:rPr>
        <w:t>CoStar</w:t>
      </w:r>
      <w:r>
        <w:rPr>
          <w:rFonts w:ascii="Times New Roman" w:cs="Times New Roman" w:eastAsia="Times New Roman" w:hAnsi="Times New Roman"/>
          <w:sz w:val="16"/>
          <w:szCs w:val="16"/>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Administrative Services Agreement</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Opco has entered into an Administrative Services Agreement with Fortistar Services 2 LLC (“</w:t>
      </w:r>
      <w:r>
        <w:rPr>
          <w:rFonts w:ascii="Times New Roman" w:cs="Times New Roman" w:eastAsia="Times New Roman" w:hAnsi="Times New Roman"/>
          <w:sz w:val="16"/>
          <w:szCs w:val="16"/>
          <w:i w:val="1"/>
          <w:iCs w:val="1"/>
          <w:color w:val="auto"/>
        </w:rPr>
        <w:t>FS2</w:t>
      </w:r>
      <w:r>
        <w:rPr>
          <w:rFonts w:ascii="Times New Roman" w:cs="Times New Roman" w:eastAsia="Times New Roman" w:hAnsi="Times New Roman"/>
          <w:sz w:val="16"/>
          <w:szCs w:val="16"/>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color w:val="auto"/>
        </w:rPr>
        <w:t>Indemnification and Hold Harmless Agreement</w:t>
      </w:r>
    </w:p>
    <w:p>
      <w:pPr>
        <w:spacing w:after="0" w:line="196" w:lineRule="exact"/>
        <w:rPr>
          <w:sz w:val="20"/>
          <w:szCs w:val="20"/>
          <w:color w:val="auto"/>
        </w:rPr>
      </w:pPr>
    </w:p>
    <w:p>
      <w:pPr>
        <w:jc w:val="both"/>
        <w:ind w:firstLine="283"/>
        <w:spacing w:after="0" w:line="248" w:lineRule="auto"/>
        <w:rPr>
          <w:sz w:val="20"/>
          <w:szCs w:val="20"/>
          <w:color w:val="auto"/>
        </w:rPr>
      </w:pPr>
      <w:r>
        <w:rPr>
          <w:rFonts w:ascii="Times New Roman" w:cs="Times New Roman" w:eastAsia="Times New Roman" w:hAnsi="Times New Roman"/>
          <w:sz w:val="16"/>
          <w:szCs w:val="16"/>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September 30, 2022, the approximate dollar amounts related to such credit support arrangements in existence by Fortistar under this indemnification and hold harmless agreement was (a) $0 in connection with outstanding loan guaranties (because the underlying loan had been repaid), (b) an aggregate of approximately $4,340,000 in equity capital commitments related to three projects under construction, (c) $2,500,000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September 30, 2022, as none of the conditions upon which Fortistar would be required to perform on behalf of Opco under the indemnification and hold harmless agreement existed as of the date 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Flue Gas Offtake and Preferred Partner Agreement</w:t>
      </w:r>
    </w:p>
    <w:p>
      <w:pPr>
        <w:spacing w:after="0" w:line="194" w:lineRule="exact"/>
        <w:rPr>
          <w:sz w:val="20"/>
          <w:szCs w:val="20"/>
          <w:color w:val="auto"/>
        </w:rPr>
      </w:pPr>
    </w:p>
    <w:p>
      <w:pPr>
        <w:jc w:val="both"/>
        <w:ind w:firstLine="283"/>
        <w:spacing w:after="0" w:line="192" w:lineRule="exact"/>
        <w:rPr>
          <w:sz w:val="20"/>
          <w:szCs w:val="20"/>
          <w:color w:val="auto"/>
        </w:rPr>
      </w:pPr>
      <w:r>
        <w:rPr>
          <w:rFonts w:ascii="Times New Roman" w:cs="Times New Roman" w:eastAsia="Times New Roman" w:hAnsi="Times New Roman"/>
          <w:sz w:val="15"/>
          <w:szCs w:val="15"/>
          <w:color w:val="auto"/>
        </w:rPr>
        <w:t>Opco has entered into an agreement with CarbonFree Chemical Holdings, LLC (“</w:t>
      </w:r>
      <w:r>
        <w:rPr>
          <w:rFonts w:ascii="Times New Roman" w:cs="Times New Roman" w:eastAsia="Times New Roman" w:hAnsi="Times New Roman"/>
          <w:sz w:val="15"/>
          <w:szCs w:val="15"/>
          <w:i w:val="1"/>
          <w:iCs w:val="1"/>
          <w:color w:val="auto"/>
        </w:rPr>
        <w:t>CarbonFree</w:t>
      </w:r>
      <w:r>
        <w:rPr>
          <w:rFonts w:ascii="Times New Roman" w:cs="Times New Roman" w:eastAsia="Times New Roman" w:hAnsi="Times New Roman"/>
          <w:sz w:val="15"/>
          <w:szCs w:val="15"/>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5"/>
          <w:szCs w:val="15"/>
          <w:color w:val="auto"/>
        </w:rPr>
        <w:t>₂</w:t>
      </w:r>
      <w:r>
        <w:rPr>
          <w:rFonts w:ascii="Times New Roman" w:cs="Times New Roman" w:eastAsia="Times New Roman" w:hAnsi="Times New Roman"/>
          <w:sz w:val="15"/>
          <w:szCs w:val="15"/>
          <w:color w:val="auto"/>
        </w:rPr>
        <w:t xml:space="preserve"> from the flue gases produced by the adjacent Opco RNG production facility, transforming it into solid carbonate materials.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45" w:name="page146"/>
    <w:bookmarkEnd w:id="145"/>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Hillman Restructuring</w:t>
      </w:r>
    </w:p>
    <w:p>
      <w:pPr>
        <w:spacing w:after="0" w:line="19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December 11, 2020, Hillman, Hillman Power Company LLC (“</w:t>
      </w:r>
      <w:r>
        <w:rPr>
          <w:rFonts w:ascii="Times New Roman" w:cs="Times New Roman" w:eastAsia="Times New Roman" w:hAnsi="Times New Roman"/>
          <w:sz w:val="16"/>
          <w:szCs w:val="16"/>
          <w:i w:val="1"/>
          <w:iCs w:val="1"/>
          <w:color w:val="auto"/>
        </w:rPr>
        <w:t>Hillman Power</w:t>
      </w:r>
      <w:r>
        <w:rPr>
          <w:rFonts w:ascii="Times New Roman" w:cs="Times New Roman" w:eastAsia="Times New Roman" w:hAnsi="Times New Roman"/>
          <w:sz w:val="16"/>
          <w:szCs w:val="16"/>
          <w:color w:val="auto"/>
        </w:rPr>
        <w:t>”), and Customers Bank, among others, entered into a Loan and Guaranty Agreement (the “</w:t>
      </w:r>
      <w:r>
        <w:rPr>
          <w:rFonts w:ascii="Times New Roman" w:cs="Times New Roman" w:eastAsia="Times New Roman" w:hAnsi="Times New Roman"/>
          <w:sz w:val="16"/>
          <w:szCs w:val="16"/>
          <w:i w:val="1"/>
          <w:iCs w:val="1"/>
          <w:color w:val="auto"/>
        </w:rPr>
        <w:t>Customers Loan Agreement</w:t>
      </w:r>
      <w:r>
        <w:rPr>
          <w:rFonts w:ascii="Times New Roman" w:cs="Times New Roman" w:eastAsia="Times New Roman" w:hAnsi="Times New Roman"/>
          <w:sz w:val="16"/>
          <w:szCs w:val="16"/>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16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6"/>
          <w:szCs w:val="16"/>
          <w:i w:val="1"/>
          <w:iCs w:val="1"/>
          <w:color w:val="auto"/>
        </w:rPr>
        <w:t>Pledged Membership Interests</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6"/>
          <w:szCs w:val="16"/>
          <w:i w:val="1"/>
          <w:iCs w:val="1"/>
          <w:color w:val="auto"/>
        </w:rPr>
        <w:t>OPAL Fuels Membership Interests</w:t>
      </w:r>
      <w:r>
        <w:rPr>
          <w:rFonts w:ascii="Times New Roman" w:cs="Times New Roman" w:eastAsia="Times New Roman" w:hAnsi="Times New Roman"/>
          <w:sz w:val="16"/>
          <w:szCs w:val="16"/>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6"/>
          <w:szCs w:val="16"/>
          <w:i w:val="1"/>
          <w:iCs w:val="1"/>
          <w:color w:val="auto"/>
        </w:rPr>
        <w:t>Exchange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6"/>
          <w:szCs w:val="16"/>
          <w:i w:val="1"/>
          <w:iCs w:val="1"/>
          <w:color w:val="auto"/>
        </w:rPr>
        <w:t>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Consent</w:t>
      </w:r>
      <w:r>
        <w:rPr>
          <w:rFonts w:ascii="Times New Roman" w:cs="Times New Roman" w:eastAsia="Times New Roman" w:hAnsi="Times New Roman"/>
          <w:sz w:val="16"/>
          <w:szCs w:val="16"/>
          <w:color w:val="auto"/>
        </w:rPr>
        <w:t>”) pursuant to which Customers Bank consented to the Exchange, amended the Customers Loan Agreement and released its security interest in the Pledged Membership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(the “</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color w:val="auto"/>
        </w:rPr>
        <w:t>Opco Reorganization</w:t>
      </w:r>
    </w:p>
    <w:p>
      <w:pPr>
        <w:spacing w:after="0" w:line="196"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5"/>
          <w:szCs w:val="15"/>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5"/>
          <w:szCs w:val="15"/>
          <w:i w:val="1"/>
          <w:iCs w:val="1"/>
          <w:color w:val="auto"/>
        </w:rPr>
        <w:t>Opco Reorganized Entities</w:t>
      </w:r>
      <w:r>
        <w:rPr>
          <w:rFonts w:ascii="Times New Roman" w:cs="Times New Roman" w:eastAsia="Times New Roman" w:hAnsi="Times New Roman"/>
          <w:sz w:val="15"/>
          <w:szCs w:val="15"/>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5"/>
          <w:szCs w:val="15"/>
          <w:i w:val="1"/>
          <w:iCs w:val="1"/>
          <w:color w:val="auto"/>
        </w:rPr>
        <w:t>Opco Fuels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Reorganization</w:t>
      </w:r>
      <w:r>
        <w:rPr>
          <w:rFonts w:ascii="Times New Roman" w:cs="Times New Roman" w:eastAsia="Times New Roman" w:hAnsi="Times New Roman"/>
          <w:sz w:val="15"/>
          <w:szCs w:val="15"/>
          <w:color w:val="auto"/>
        </w:rPr>
        <w:t>”). Prior to the Opco Fuels Reorganization, each of the Opco Reorganized Entities were controlled, indirectly, by Mr. Mark Comora through entities affiliated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Sponsor Letter Agreement</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of the Business Combination,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PIPE Investors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of the Business Combination,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Rights Agreement</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Opco, Ares, Hillman and the Class B Shareholders (collectively the “</w:t>
      </w:r>
      <w:r>
        <w:rPr>
          <w:rFonts w:ascii="Times New Roman" w:cs="Times New Roman" w:eastAsia="Times New Roman" w:hAnsi="Times New Roman"/>
          <w:sz w:val="16"/>
          <w:szCs w:val="16"/>
          <w:i w:val="1"/>
          <w:iCs w:val="1"/>
          <w:color w:val="auto"/>
        </w:rPr>
        <w:t>OPAL Holders</w:t>
      </w:r>
      <w:r>
        <w:rPr>
          <w:rFonts w:ascii="Times New Roman" w:cs="Times New Roman" w:eastAsia="Times New Roman" w:hAnsi="Times New Roman"/>
          <w:sz w:val="16"/>
          <w:szCs w:val="16"/>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47" w:name="page148"/>
    <w:bookmarkEnd w:id="147"/>
    <w:p>
      <w:pPr>
        <w:ind w:left="5"/>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196"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we entered into the Tax Receivable Agreement with the Tax Receivable Agreement Parties (as defined in the Tax Receivable Agreement),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65"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64" w:lineRule="exact"/>
        <w:rPr>
          <w:sz w:val="20"/>
          <w:szCs w:val="20"/>
          <w:color w:val="auto"/>
        </w:rPr>
      </w:pPr>
    </w:p>
    <w:p>
      <w:pPr>
        <w:jc w:val="both"/>
        <w:ind w:left="5" w:firstLine="283"/>
        <w:spacing w:after="0" w:line="267" w:lineRule="auto"/>
        <w:rPr>
          <w:sz w:val="20"/>
          <w:szCs w:val="20"/>
          <w:color w:val="auto"/>
        </w:rPr>
      </w:pPr>
      <w:r>
        <w:rPr>
          <w:rFonts w:ascii="Times New Roman" w:cs="Times New Roman" w:eastAsia="Times New Roman" w:hAnsi="Times New Roman"/>
          <w:sz w:val="15"/>
          <w:szCs w:val="15"/>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w:t>
      </w:r>
    </w:p>
    <w:p>
      <w:pPr>
        <w:ind w:left="5" w:right="20" w:hanging="5"/>
        <w:spacing w:after="0" w:line="286" w:lineRule="auto"/>
        <w:tabs>
          <w:tab w:leader="none" w:pos="285"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39" w:lineRule="exact"/>
        <w:rPr>
          <w:sz w:val="20"/>
          <w:szCs w:val="20"/>
          <w:color w:val="auto"/>
        </w:rPr>
      </w:pPr>
    </w:p>
    <w:p>
      <w:pPr>
        <w:jc w:val="both"/>
        <w:ind w:left="5" w:firstLine="283"/>
        <w:spacing w:after="0" w:line="266" w:lineRule="auto"/>
        <w:rPr>
          <w:sz w:val="20"/>
          <w:szCs w:val="20"/>
          <w:color w:val="auto"/>
        </w:rPr>
      </w:pPr>
      <w:r>
        <w:rPr>
          <w:rFonts w:ascii="Times New Roman" w:cs="Times New Roman" w:eastAsia="Times New Roman" w:hAnsi="Times New Roman"/>
          <w:sz w:val="15"/>
          <w:szCs w:val="15"/>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 million to approximately $356.0 million depending on Opco’s rate of recovery of the tax basis increases associated with the deemed exchange of the Opco Common Units (other than those held by us). This estimated Tax Receivable Agreement lump-sum payment is calculated using a discount rate equal to 3.58%, applied against an undiscounted liability of approximately $432.0 million. If the Tax Receivable Agreement Parties were to exchange all of their Opco Common Units, OPAL would recognize a deferred tax asset of approximately $508.0 million and a related liability for payments under the Tax Receivable Agreement of approximately $432.0 million, assuming (i) that the Tax Receivable Agreement Parties redeemed or exchanged all of their Opco Common Units on the closing date of the Business Combination;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148" w:name="page149"/>
    <w:bookmarkEnd w:id="148"/>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It is more likely than not that the deferred tax assets will not be realized in accordance with ASC Topic 740, ‘Income Taxes’.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connection with the closing of the Business Combination, OPAL entered into certain Indemnification Agreements (“</w:t>
      </w:r>
      <w:r>
        <w:rPr>
          <w:rFonts w:ascii="Times New Roman" w:cs="Times New Roman" w:eastAsia="Times New Roman" w:hAnsi="Times New Roman"/>
          <w:sz w:val="16"/>
          <w:szCs w:val="16"/>
          <w:i w:val="1"/>
          <w:iCs w:val="1"/>
          <w:color w:val="auto"/>
        </w:rPr>
        <w:t>Indemnification Agreements</w:t>
      </w:r>
      <w:r>
        <w:rPr>
          <w:rFonts w:ascii="Times New Roman" w:cs="Times New Roman" w:eastAsia="Times New Roman" w:hAnsi="Times New Roman"/>
          <w:sz w:val="16"/>
          <w:szCs w:val="16"/>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59"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foregoing description of the Indemnification Agreements is qualified in its entirety by the full text of the Indemnification Agreements, a copy of each of which has been filed as an exhibit to the registration statement of which this Prospectus/Offer to Exchange forms a part.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Sponsor Letter Agreement</w:t>
      </w:r>
    </w:p>
    <w:p>
      <w:pPr>
        <w:spacing w:after="0" w:line="19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Additionally, in connection with the closing of the Business Combination,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5"/>
          <w:szCs w:val="15"/>
          <w:i w:val="1"/>
          <w:iCs w:val="1"/>
          <w:color w:val="auto"/>
        </w:rPr>
        <w:t>Shortfall Amount</w:t>
      </w:r>
      <w:r>
        <w:rPr>
          <w:rFonts w:ascii="Times New Roman" w:cs="Times New Roman" w:eastAsia="Times New Roman" w:hAnsi="Times New Roman"/>
          <w:sz w:val="15"/>
          <w:szCs w:val="15"/>
          <w:color w:val="auto"/>
        </w:rPr>
        <w: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49" w:name="page150"/>
    <w:bookmarkEnd w:id="149"/>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BENEFICIAL OWNERSHIP OF SECURITIES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sets forth information known to the Company regarding the beneficial ownership of our Class A common stock and Class D common stock by:</w:t>
      </w:r>
    </w:p>
    <w:p>
      <w:pPr>
        <w:spacing w:after="0" w:line="194" w:lineRule="exact"/>
        <w:rPr>
          <w:sz w:val="20"/>
          <w:szCs w:val="20"/>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the beneficial owner of more than 5% of the outstanding shares of our Class A common stock or our Class D common stock;</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named executive officers and directors; and</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Company’s executive officers and directors as a group.</w:t>
      </w:r>
    </w:p>
    <w:p>
      <w:pPr>
        <w:spacing w:after="0" w:line="194" w:lineRule="exact"/>
        <w:rPr>
          <w:sz w:val="20"/>
          <w:szCs w:val="20"/>
          <w:color w:val="auto"/>
        </w:rPr>
      </w:pPr>
    </w:p>
    <w:p>
      <w:pPr>
        <w:jc w:val="both"/>
        <w:ind w:left="5" w:firstLine="283"/>
        <w:spacing w:after="0" w:line="272" w:lineRule="auto"/>
        <w:rPr>
          <w:sz w:val="20"/>
          <w:szCs w:val="20"/>
          <w:color w:val="auto"/>
        </w:rPr>
      </w:pPr>
      <w:r>
        <w:rPr>
          <w:rFonts w:ascii="Times New Roman" w:cs="Times New Roman" w:eastAsia="Times New Roman" w:hAnsi="Times New Roman"/>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Prospectus/Offer to Exchange. Shares subject to warrants that are currently exercisable or exercisable within 60 days of the date of this Prospectus/Offer to Exchange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50"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45"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beneficial ownership of Class A common stock is based on 25,671,390 shares of our Class A common stock issued and outstanding and 144,399,037 shares of our Class D common stock issued and outstanding as of November 16, 2022.</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of Class A</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of Class D</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Voting</w:t>
            </w:r>
          </w:p>
        </w:tc>
      </w:tr>
      <w:tr>
        <w:trPr>
          <w:trHeight w:val="211"/>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Owners(1)</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Class A Shares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Class D Shares</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8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Directors and officers:</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Adam Comora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Maurer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 Anthony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Unger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Falbo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Edelbach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Hugh Donnell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Coghlin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Marco F. Gatti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M. Fogarty(2)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Betsy L. Battle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Dols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Comora(3)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880,600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Nadeem Nisar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Ashok Vemuri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All directors and officers as a group (15 persons)(4)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885,600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Five Percent Holders: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Mark Comora(2)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880,600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4"/>
              </w:rPr>
              <w:t>144,399,037</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96.6%</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ArcLight CTC Holdings II, L.P.(5)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16,877,101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51.28%</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2.26%</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ARCC Beacon LLC(6)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3,059,533</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11.92%</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0.41%</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Mendocino Capital, LLC(7)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9.74%</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0.33%</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Meteora Capital(8)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1,659,658</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r>
      <w:tr>
        <w:trPr>
          <w:trHeight w:val="18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Electron(9)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Nyera II Limited(10)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0.20%</w:t>
            </w:r>
          </w:p>
        </w:tc>
      </w:tr>
      <w:tr>
        <w:trPr>
          <w:trHeight w:val="20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Encompass Capital Advisors(11)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2,675,337</w:t>
            </w: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9.82%</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0.36%</w:t>
            </w:r>
          </w:p>
        </w:tc>
      </w:tr>
    </w:tbl>
    <w:p>
      <w:pPr>
        <w:spacing w:after="0" w:line="41" w:lineRule="exact"/>
        <w:rPr>
          <w:sz w:val="20"/>
          <w:szCs w:val="20"/>
          <w:color w:val="auto"/>
        </w:rPr>
      </w:pPr>
    </w:p>
    <w:p>
      <w:pPr>
        <w:ind w:left="285" w:hanging="285"/>
        <w:spacing w:after="0"/>
        <w:tabs>
          <w:tab w:leader="none" w:pos="285" w:val="left"/>
        </w:tabs>
        <w:numPr>
          <w:ilvl w:val="0"/>
          <w:numId w:val="6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Unless otherwise noted, the business address of each of the directors and officers is One North Lexington Avenue,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White Plains, New York 10601.</w:t>
      </w:r>
    </w:p>
    <w:p>
      <w:pPr>
        <w:ind w:left="285" w:hanging="285"/>
        <w:spacing w:after="0"/>
        <w:tabs>
          <w:tab w:leader="none" w:pos="28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are held by GBBH Family Limited Partnership.</w:t>
      </w:r>
    </w:p>
    <w:p>
      <w:pPr>
        <w:spacing w:after="0" w:line="3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150" w:name="page151"/>
    <w:bookmarkEnd w:id="150"/>
    <w:p>
      <w:pPr>
        <w:jc w:val="both"/>
        <w:ind w:left="285" w:right="20" w:hanging="285"/>
        <w:spacing w:after="0" w:line="266" w:lineRule="auto"/>
        <w:tabs>
          <w:tab w:leader="none" w:pos="285"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5"/>
          <w:szCs w:val="15"/>
          <w:i w:val="1"/>
          <w:iCs w:val="1"/>
          <w:color w:val="auto"/>
        </w:rPr>
        <w:t>Fortistar</w:t>
      </w:r>
      <w:r>
        <w:rPr>
          <w:rFonts w:ascii="Times New Roman" w:cs="Times New Roman" w:eastAsia="Times New Roman" w:hAnsi="Times New Roman"/>
          <w:sz w:val="15"/>
          <w:szCs w:val="15"/>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5"/>
          <w:szCs w:val="15"/>
          <w:i w:val="1"/>
          <w:iCs w:val="1"/>
          <w:color w:val="auto"/>
        </w:rPr>
        <w:t>Certain Relationships and Related Party Transactions—Hillman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Restructuring</w:t>
      </w:r>
      <w:r>
        <w:rPr>
          <w:rFonts w:ascii="Times New Roman" w:cs="Times New Roman" w:eastAsia="Times New Roman" w:hAnsi="Times New Roman"/>
          <w:sz w:val="15"/>
          <w:szCs w:val="15"/>
          <w:color w:val="auto"/>
        </w:rPr>
        <w:t>”. Shares of Class D common stock may be converted into shares of Class A common stock as further discussed in “</w:t>
      </w:r>
      <w:r>
        <w:rPr>
          <w:rFonts w:ascii="Times New Roman" w:cs="Times New Roman" w:eastAsia="Times New Roman" w:hAnsi="Times New Roman"/>
          <w:sz w:val="15"/>
          <w:szCs w:val="15"/>
          <w:i w:val="1"/>
          <w:iCs w:val="1"/>
          <w:color w:val="auto"/>
        </w:rPr>
        <w:t>Description of Securities—Common Stock</w:t>
      </w:r>
    </w:p>
    <w:p>
      <w:pPr>
        <w:ind w:left="285" w:right="2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 Class D common stock</w:t>
      </w:r>
      <w:r>
        <w:rPr>
          <w:rFonts w:ascii="Times New Roman" w:cs="Times New Roman" w:eastAsia="Times New Roman" w:hAnsi="Times New Roman"/>
          <w:sz w:val="16"/>
          <w:szCs w:val="16"/>
          <w:color w:val="auto"/>
        </w:rPr>
        <w:t>.” The business address of each of Mr. Comora, OPAL Holdco, Hillman and Fortistar is One North Lexington Avenue, 14th Floor, White Plains,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York 10601.</w:t>
      </w:r>
    </w:p>
    <w:p>
      <w:pPr>
        <w:ind w:left="285" w:hanging="285"/>
        <w:spacing w:after="0"/>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302,187 restricted stock units issued to these individuals on October 3, 2022.</w:t>
      </w:r>
    </w:p>
    <w:p>
      <w:pPr>
        <w:spacing w:after="0" w:line="5" w:lineRule="exact"/>
        <w:rPr>
          <w:rFonts w:ascii="Times New Roman" w:cs="Times New Roman" w:eastAsia="Times New Roman" w:hAnsi="Times New Roman"/>
          <w:sz w:val="16"/>
          <w:szCs w:val="16"/>
          <w:color w:val="auto"/>
        </w:rPr>
      </w:pP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7,639,076 shares of Class A common stock held directly by ArcLight CTC Holdings II, L.P. (“</w:t>
      </w:r>
      <w:r>
        <w:rPr>
          <w:rFonts w:ascii="Times New Roman" w:cs="Times New Roman" w:eastAsia="Times New Roman" w:hAnsi="Times New Roman"/>
          <w:sz w:val="16"/>
          <w:szCs w:val="16"/>
          <w:i w:val="1"/>
          <w:iCs w:val="1"/>
          <w:color w:val="auto"/>
        </w:rPr>
        <w:t>Sponsor</w:t>
      </w:r>
      <w:r>
        <w:rPr>
          <w:rFonts w:ascii="Times New Roman" w:cs="Times New Roman" w:eastAsia="Times New Roman" w:hAnsi="Times New Roman"/>
          <w:sz w:val="16"/>
          <w:szCs w:val="16"/>
          <w:color w:val="auto"/>
        </w:rPr>
        <w:t>”) (including 763,907 of such shares subject to forfeiture as described in the section titled “</w:t>
      </w:r>
      <w:r>
        <w:rPr>
          <w:rFonts w:ascii="Times New Roman" w:cs="Times New Roman" w:eastAsia="Times New Roman" w:hAnsi="Times New Roman"/>
          <w:sz w:val="16"/>
          <w:szCs w:val="16"/>
          <w:i w:val="1"/>
          <w:iCs w:val="1"/>
          <w:color w:val="auto"/>
        </w:rPr>
        <w:t>The Business Combination — Related Agreements — Sponsor Letter Agreement</w:t>
      </w:r>
      <w:r>
        <w:rPr>
          <w:rFonts w:ascii="Times New Roman" w:cs="Times New Roman" w:eastAsia="Times New Roman" w:hAnsi="Times New Roman"/>
          <w:sz w:val="16"/>
          <w:szCs w:val="16"/>
          <w:color w:val="auto"/>
        </w:rPr>
        <w:t>” of the Proxy Statement/Prospectus beginning on page 144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date of this Prospectus/Offer to Exchange.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3,059,533 shares of Class A common stock. The business address of ARCC Beacon LLC is 245 Park Avenue, 43rd Floor New York, New York 10167.</w:t>
      </w:r>
    </w:p>
    <w:p>
      <w:pPr>
        <w:spacing w:after="0" w:line="5" w:lineRule="exact"/>
        <w:rPr>
          <w:rFonts w:ascii="Times New Roman" w:cs="Times New Roman" w:eastAsia="Times New Roman" w:hAnsi="Times New Roman"/>
          <w:sz w:val="16"/>
          <w:szCs w:val="16"/>
          <w:color w:val="auto"/>
        </w:rPr>
      </w:pPr>
    </w:p>
    <w:p>
      <w:pPr>
        <w:ind w:left="285" w:right="20"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2,500,000 shares of Class A common stock. Mendocino Capital, LLC (“</w:t>
      </w:r>
      <w:r>
        <w:rPr>
          <w:rFonts w:ascii="Times New Roman" w:cs="Times New Roman" w:eastAsia="Times New Roman" w:hAnsi="Times New Roman"/>
          <w:sz w:val="16"/>
          <w:szCs w:val="16"/>
          <w:i w:val="1"/>
          <w:iCs w:val="1"/>
          <w:color w:val="auto"/>
        </w:rPr>
        <w:t>Mendocino</w:t>
      </w:r>
      <w:r>
        <w:rPr>
          <w:rFonts w:ascii="Times New Roman" w:cs="Times New Roman" w:eastAsia="Times New Roman" w:hAnsi="Times New Roman"/>
          <w:sz w:val="16"/>
          <w:szCs w:val="16"/>
          <w:color w:val="auto"/>
        </w:rPr>
        <w:t>”) is a subsidiary of NextEra Energy, Inc. (“</w:t>
      </w:r>
      <w:r>
        <w:rPr>
          <w:rFonts w:ascii="Times New Roman" w:cs="Times New Roman" w:eastAsia="Times New Roman" w:hAnsi="Times New Roman"/>
          <w:sz w:val="16"/>
          <w:szCs w:val="16"/>
          <w:i w:val="1"/>
          <w:iCs w:val="1"/>
          <w:color w:val="auto"/>
        </w:rPr>
        <w:t>NextEra</w:t>
      </w:r>
      <w:r>
        <w:rPr>
          <w:rFonts w:ascii="Times New Roman" w:cs="Times New Roman" w:eastAsia="Times New Roman" w:hAnsi="Times New Roman"/>
          <w:sz w:val="16"/>
          <w:szCs w:val="16"/>
          <w:color w:val="auto"/>
        </w:rPr>
        <w:t>”), a publicly traded company. The business address of Mendocino and NextEra is 700 Universe Boulevard, Juno Beach, Florida 33408.</w:t>
      </w: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374,712 shares of Class A common stock held by Meteora Special Opportunity Fund I, LP (“</w:t>
      </w:r>
      <w:r>
        <w:rPr>
          <w:rFonts w:ascii="Times New Roman" w:cs="Times New Roman" w:eastAsia="Times New Roman" w:hAnsi="Times New Roman"/>
          <w:sz w:val="16"/>
          <w:szCs w:val="16"/>
          <w:i w:val="1"/>
          <w:iCs w:val="1"/>
          <w:color w:val="auto"/>
        </w:rPr>
        <w:t>MSOF</w:t>
      </w:r>
      <w:r>
        <w:rPr>
          <w:rFonts w:ascii="Times New Roman" w:cs="Times New Roman" w:eastAsia="Times New Roman" w:hAnsi="Times New Roman"/>
          <w:sz w:val="16"/>
          <w:szCs w:val="16"/>
          <w:color w:val="auto"/>
        </w:rPr>
        <w:t>”), (ii) 381,715 shares of Class A common stock held by Meteora Select Trading Opportunities Master, LP (“</w:t>
      </w:r>
      <w:r>
        <w:rPr>
          <w:rFonts w:ascii="Times New Roman" w:cs="Times New Roman" w:eastAsia="Times New Roman" w:hAnsi="Times New Roman"/>
          <w:sz w:val="16"/>
          <w:szCs w:val="16"/>
          <w:i w:val="1"/>
          <w:iCs w:val="1"/>
          <w:color w:val="auto"/>
        </w:rPr>
        <w:t>MSTO</w:t>
      </w:r>
      <w:r>
        <w:rPr>
          <w:rFonts w:ascii="Times New Roman" w:cs="Times New Roman" w:eastAsia="Times New Roman" w:hAnsi="Times New Roman"/>
          <w:sz w:val="16"/>
          <w:szCs w:val="16"/>
          <w:color w:val="auto"/>
        </w:rPr>
        <w:t>”) and (iii) 903,231 shares of Class A common stock held by Meteora Capital Partners (“</w:t>
      </w:r>
      <w:r>
        <w:rPr>
          <w:rFonts w:ascii="Times New Roman" w:cs="Times New Roman" w:eastAsia="Times New Roman" w:hAnsi="Times New Roman"/>
          <w:sz w:val="16"/>
          <w:szCs w:val="16"/>
          <w:i w:val="1"/>
          <w:iCs w:val="1"/>
          <w:color w:val="auto"/>
        </w:rPr>
        <w:t>MCP</w:t>
      </w:r>
      <w:r>
        <w:rPr>
          <w:rFonts w:ascii="Times New Roman" w:cs="Times New Roman" w:eastAsia="Times New Roman" w:hAnsi="Times New Roman"/>
          <w:sz w:val="16"/>
          <w:szCs w:val="16"/>
          <w:color w:val="auto"/>
        </w:rPr>
        <w:t>”). Meteora Capital, LLC (“</w:t>
      </w:r>
      <w:r>
        <w:rPr>
          <w:rFonts w:ascii="Times New Roman" w:cs="Times New Roman" w:eastAsia="Times New Roman" w:hAnsi="Times New Roman"/>
          <w:sz w:val="16"/>
          <w:szCs w:val="16"/>
          <w:i w:val="1"/>
          <w:iCs w:val="1"/>
          <w:color w:val="auto"/>
        </w:rPr>
        <w:t>Meteora Capital</w:t>
      </w:r>
      <w:r>
        <w:rPr>
          <w:rFonts w:ascii="Times New Roman" w:cs="Times New Roman" w:eastAsia="Times New Roman" w:hAnsi="Times New Roman"/>
          <w:sz w:val="16"/>
          <w:szCs w:val="16"/>
          <w:color w:val="auto"/>
        </w:rPr>
        <w:t>”) serves as investment manager to MSOF, MSTO and MCP. Voting and investment power over the shares held by MSOF, MSTO and MCP resides with its investment manager, Meteora Capital.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2" w:lineRule="exact"/>
        <w:rPr>
          <w:rFonts w:ascii="Times New Roman" w:cs="Times New Roman" w:eastAsia="Times New Roman" w:hAnsi="Times New Roman"/>
          <w:sz w:val="16"/>
          <w:szCs w:val="16"/>
          <w:color w:val="auto"/>
        </w:rPr>
      </w:pPr>
    </w:p>
    <w:p>
      <w:pPr>
        <w:jc w:val="both"/>
        <w:ind w:left="285"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1,060,088 shares of Class A common stock held by Electron Global Master Fund LP (“</w:t>
      </w:r>
      <w:r>
        <w:rPr>
          <w:rFonts w:ascii="Times New Roman" w:cs="Times New Roman" w:eastAsia="Times New Roman" w:hAnsi="Times New Roman"/>
          <w:sz w:val="16"/>
          <w:szCs w:val="16"/>
          <w:i w:val="1"/>
          <w:iCs w:val="1"/>
          <w:color w:val="auto"/>
        </w:rPr>
        <w:t>EGMF</w:t>
      </w:r>
      <w:r>
        <w:rPr>
          <w:rFonts w:ascii="Times New Roman" w:cs="Times New Roman" w:eastAsia="Times New Roman" w:hAnsi="Times New Roman"/>
          <w:sz w:val="16"/>
          <w:szCs w:val="16"/>
          <w:color w:val="auto"/>
        </w:rPr>
        <w:t>”), (ii) 695,913 shares of Class A common stock held by Electron Infrastructure Master Fund LP (“</w:t>
      </w:r>
      <w:r>
        <w:rPr>
          <w:rFonts w:ascii="Times New Roman" w:cs="Times New Roman" w:eastAsia="Times New Roman" w:hAnsi="Times New Roman"/>
          <w:sz w:val="16"/>
          <w:szCs w:val="16"/>
          <w:i w:val="1"/>
          <w:iCs w:val="1"/>
          <w:color w:val="auto"/>
        </w:rPr>
        <w:t>EIMF</w:t>
      </w:r>
      <w:r>
        <w:rPr>
          <w:rFonts w:ascii="Times New Roman" w:cs="Times New Roman" w:eastAsia="Times New Roman" w:hAnsi="Times New Roman"/>
          <w:sz w:val="16"/>
          <w:szCs w:val="16"/>
          <w:color w:val="auto"/>
        </w:rPr>
        <w:t>”), (iii) 30,628 shares of Class A common stock held by Boothbay Absolute Return Strategies, LP (“</w:t>
      </w:r>
      <w:r>
        <w:rPr>
          <w:rFonts w:ascii="Times New Roman" w:cs="Times New Roman" w:eastAsia="Times New Roman" w:hAnsi="Times New Roman"/>
          <w:sz w:val="16"/>
          <w:szCs w:val="16"/>
          <w:i w:val="1"/>
          <w:iCs w:val="1"/>
          <w:color w:val="auto"/>
        </w:rPr>
        <w:t>BARS</w:t>
      </w:r>
      <w:r>
        <w:rPr>
          <w:rFonts w:ascii="Times New Roman" w:cs="Times New Roman" w:eastAsia="Times New Roman" w:hAnsi="Times New Roman"/>
          <w:sz w:val="16"/>
          <w:szCs w:val="16"/>
          <w:color w:val="auto"/>
        </w:rPr>
        <w:t>”) and (iv) 13,371 shares of Class A common stock held by AGR Trading SPC-Series Segregated Portfolio (“</w:t>
      </w:r>
      <w:r>
        <w:rPr>
          <w:rFonts w:ascii="Times New Roman" w:cs="Times New Roman" w:eastAsia="Times New Roman" w:hAnsi="Times New Roman"/>
          <w:sz w:val="16"/>
          <w:szCs w:val="16"/>
          <w:i w:val="1"/>
          <w:iCs w:val="1"/>
          <w:color w:val="auto"/>
        </w:rPr>
        <w:t>AGR</w:t>
      </w:r>
      <w:r>
        <w:rPr>
          <w:rFonts w:ascii="Times New Roman" w:cs="Times New Roman" w:eastAsia="Times New Roman" w:hAnsi="Times New Roman"/>
          <w:sz w:val="16"/>
          <w:szCs w:val="16"/>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3" w:lineRule="exact"/>
        <w:rPr>
          <w:rFonts w:ascii="Times New Roman" w:cs="Times New Roman" w:eastAsia="Times New Roman" w:hAnsi="Times New Roman"/>
          <w:sz w:val="16"/>
          <w:szCs w:val="16"/>
          <w:color w:val="auto"/>
        </w:rPr>
      </w:pPr>
    </w:p>
    <w:p>
      <w:pPr>
        <w:jc w:val="both"/>
        <w:ind w:left="285" w:right="20" w:hanging="285"/>
        <w:spacing w:after="0" w:line="246"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1,500,000 shares of Class A common stock. Benjamin Wasem, Pantelitsa Georgiade and Vasiliki Papalli (the “</w:t>
      </w:r>
      <w:r>
        <w:rPr>
          <w:rFonts w:ascii="Times New Roman" w:cs="Times New Roman" w:eastAsia="Times New Roman" w:hAnsi="Times New Roman"/>
          <w:sz w:val="16"/>
          <w:szCs w:val="16"/>
          <w:i w:val="1"/>
          <w:iCs w:val="1"/>
          <w:color w:val="auto"/>
        </w:rPr>
        <w:t>Nyera Principals</w:t>
      </w:r>
      <w:r>
        <w:rPr>
          <w:rFonts w:ascii="Times New Roman" w:cs="Times New Roman" w:eastAsia="Times New Roman" w:hAnsi="Times New Roman"/>
          <w:sz w:val="16"/>
          <w:szCs w:val="16"/>
          <w:color w:val="auto"/>
        </w:rPr>
        <w:t>”) each has voting and investment discretion with respect to the securities held Nyera II Limited (“</w:t>
      </w:r>
      <w:r>
        <w:rPr>
          <w:rFonts w:ascii="Times New Roman" w:cs="Times New Roman" w:eastAsia="Times New Roman" w:hAnsi="Times New Roman"/>
          <w:sz w:val="16"/>
          <w:szCs w:val="16"/>
          <w:i w:val="1"/>
          <w:iCs w:val="1"/>
          <w:color w:val="auto"/>
        </w:rPr>
        <w:t>Nyera</w:t>
      </w:r>
      <w:r>
        <w:rPr>
          <w:rFonts w:ascii="Times New Roman" w:cs="Times New Roman" w:eastAsia="Times New Roman" w:hAnsi="Times New Roman"/>
          <w:sz w:val="16"/>
          <w:szCs w:val="16"/>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 w:lineRule="exact"/>
        <w:rPr>
          <w:rFonts w:ascii="Times New Roman" w:cs="Times New Roman" w:eastAsia="Times New Roman" w:hAnsi="Times New Roman"/>
          <w:sz w:val="16"/>
          <w:szCs w:val="16"/>
          <w:color w:val="auto"/>
        </w:rPr>
      </w:pPr>
    </w:p>
    <w:p>
      <w:pPr>
        <w:jc w:val="both"/>
        <w:ind w:left="285" w:hanging="285"/>
        <w:spacing w:after="0" w:line="247"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1,323,114 shares of Class A common stock and (ii) 1,352,223 shares of Class A common stock underlying certain warrants that are exercisable within 60 days of the date of this Prospectus/Offer to Exchange, which are held by certain fund entities and managed accounts for which Encompass Capital Advisors, LLC (“</w:t>
      </w:r>
      <w:r>
        <w:rPr>
          <w:rFonts w:ascii="Times New Roman" w:cs="Times New Roman" w:eastAsia="Times New Roman" w:hAnsi="Times New Roman"/>
          <w:sz w:val="16"/>
          <w:szCs w:val="16"/>
          <w:i w:val="1"/>
          <w:iCs w:val="1"/>
          <w:color w:val="auto"/>
        </w:rPr>
        <w:t>Encompass</w:t>
      </w:r>
      <w:r>
        <w:rPr>
          <w:rFonts w:ascii="Times New Roman" w:cs="Times New Roman" w:eastAsia="Times New Roman" w:hAnsi="Times New Roman"/>
          <w:sz w:val="16"/>
          <w:szCs w:val="16"/>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Prospectus/Offer to Exchange.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35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validity of the securities covered by this Prospectus/Offer to Exchange has been passed upon for us by Sheppard, Mullin, Richter &amp; Hampton LLP, New York, New York. Certain legal matters relating to the securities offered hereby will be passed upon for the dealer manager by Davis Polk &amp; Wardwell LLP, New York, New York.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consolidated financial statements of OPAL Fuels Inc. as of and for the years ended December 31, 2021, 2020 and 2019 included in this Prospectus/Offer to Exchange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consolidated financial statements of Beacon RNG LLC as of April 30, 2021, December 31, 2020 and December 31, 2019 for the four-month period ended April 30, 2021, and the year ended December 31, 2020 and the period from March 11, 2019 (inception) to December 31, 2019 included in this Prospectus/Offer to Exchange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information with the SEC. We have filed a registration statement on Form S-4 of which this Prospectus/Offer to Exchange is a part with the SEC in connection with the Offer and the Consent Solicitation. We may also file amendments to such registration statement. In addition, on the date of the initial filing of the registration statement on Form S-4 of which this Prospectus/Offer to Exchange is a part, we filed a Tender Offer Statement on Schedule TO with the SEC, together with exhibits, to furnish certain information about the Offer and Consent Solicitation. We may file amendments to the Schedule TO. As allowed by SEC rules, this Prospectus/Offer to Exchange does not contain all of the information in the registration statement or the Schedule TO or the exhibits to the registration statement or the Schedule TO. You may obtain copies of the registration statement on Form S-4 and Schedule TO (and any amendments to those documents) by contacting the information agent as directed elsewhere in this Prospectus/Offer to Exchange. Our SEC filings are available to the public on the internet at a website maintained by the SEC located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 may request a free copy of any of these documents by writing or telephoning us at the following address: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North Lexington Avenue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Suite 1450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White Plains, New York 10601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(914) 705-4000</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Exhibits to the filings will not be sent, however, unless those exhibits have specifically been included in this Prospectus/Offer to Exchange.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180" w:type="dxa"/>
            <w:vAlign w:val="bottom"/>
            <w:gridSpan w:val="7"/>
          </w:tcPr>
          <w:p>
            <w:pPr>
              <w:jc w:val="center"/>
              <w:ind w:right="330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900" w:type="dxa"/>
            <w:vAlign w:val="bottom"/>
          </w:tcPr>
          <w:p>
            <w:pPr>
              <w:spacing w:after="0"/>
              <w:rPr>
                <w:sz w:val="18"/>
                <w:szCs w:val="18"/>
                <w:color w:val="auto"/>
              </w:rPr>
            </w:pPr>
          </w:p>
        </w:tc>
      </w:tr>
      <w:tr>
        <w:trPr>
          <w:trHeight w:val="378"/>
        </w:trPr>
        <w:tc>
          <w:tcPr>
            <w:tcW w:w="140" w:type="dxa"/>
            <w:vAlign w:val="bottom"/>
          </w:tcPr>
          <w:p>
            <w:pPr>
              <w:spacing w:after="0"/>
              <w:rPr>
                <w:sz w:val="24"/>
                <w:szCs w:val="24"/>
                <w:color w:val="auto"/>
              </w:rPr>
            </w:pPr>
          </w:p>
        </w:tc>
        <w:tc>
          <w:tcPr>
            <w:tcW w:w="10220" w:type="dxa"/>
            <w:vAlign w:val="bottom"/>
            <w:gridSpan w:val="8"/>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7"/>
              </w:rPr>
              <w:t>OPAL FUELS INC. FINANCIAL STATEMENTS</w:t>
            </w:r>
          </w:p>
        </w:tc>
        <w:tc>
          <w:tcPr>
            <w:tcW w:w="900" w:type="dxa"/>
            <w:vAlign w:val="bottom"/>
          </w:tcPr>
          <w:p>
            <w:pPr>
              <w:spacing w:after="0"/>
              <w:rPr>
                <w:sz w:val="24"/>
                <w:szCs w:val="24"/>
                <w:color w:val="auto"/>
              </w:rPr>
            </w:pPr>
          </w:p>
        </w:tc>
      </w:tr>
      <w:tr>
        <w:trPr>
          <w:trHeight w:val="393"/>
        </w:trPr>
        <w:tc>
          <w:tcPr>
            <w:tcW w:w="14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89"/>
        </w:trPr>
        <w:tc>
          <w:tcPr>
            <w:tcW w:w="103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Unaudited Financial Statements of OPAL Fuels Inc.</w:t>
            </w:r>
          </w:p>
        </w:tc>
        <w:tc>
          <w:tcPr>
            <w:tcW w:w="900" w:type="dxa"/>
            <w:vAlign w:val="bottom"/>
            <w:shd w:val="clear" w:color="auto" w:fill="CCEEFF"/>
          </w:tcPr>
          <w:p>
            <w:pPr>
              <w:spacing w:after="0"/>
              <w:rPr>
                <w:sz w:val="16"/>
                <w:szCs w:val="16"/>
                <w:color w:val="auto"/>
              </w:rPr>
            </w:pPr>
          </w:p>
        </w:tc>
      </w:tr>
      <w:tr>
        <w:trPr>
          <w:trHeight w:val="161"/>
        </w:trPr>
        <w:tc>
          <w:tcPr>
            <w:tcW w:w="6520" w:type="dxa"/>
            <w:vAlign w:val="bottom"/>
            <w:tcBorders>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6"/>
                <w:szCs w:val="16"/>
                <w:color w:val="0000EE"/>
                <w:w w:val="98"/>
              </w:rPr>
              <w:t>Condensed Consolidated Balance Sheets as of September 30, 2022 (unaudited) and December 31, 2021</w:t>
            </w:r>
          </w:p>
        </w:tc>
        <w:tc>
          <w:tcPr>
            <w:tcW w:w="3840" w:type="dxa"/>
            <w:vAlign w:val="bottom"/>
            <w:gridSpan w:val="5"/>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F-2</w:t>
            </w:r>
          </w:p>
        </w:tc>
      </w:tr>
      <w:tr>
        <w:trPr>
          <w:trHeight w:val="161"/>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Condensed Consolidated Statements of Operations for the Three and Nine Months Ended September 30, 2022 and 2021 (unaudited)</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F-3</w:t>
            </w:r>
          </w:p>
        </w:tc>
      </w:tr>
      <w:tr>
        <w:trPr>
          <w:trHeight w:val="35"/>
        </w:trPr>
        <w:tc>
          <w:tcPr>
            <w:tcW w:w="140" w:type="dxa"/>
            <w:vAlign w:val="bottom"/>
            <w:shd w:val="clear" w:color="auto" w:fill="0000EE"/>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Condensed Consolidated Statements of Comprehensive Income for the Three and Nine Months Ended September 30, 2022 and 2021 (unaudited)</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F-4</w:t>
            </w:r>
          </w:p>
        </w:tc>
      </w:tr>
      <w:tr>
        <w:trPr>
          <w:trHeight w:val="28"/>
        </w:trPr>
        <w:tc>
          <w:tcPr>
            <w:tcW w:w="140" w:type="dxa"/>
            <w:vAlign w:val="bottom"/>
            <w:shd w:val="clear" w:color="auto" w:fill="0000EE"/>
          </w:tcPr>
          <w:p>
            <w:pPr>
              <w:spacing w:after="0"/>
              <w:rPr>
                <w:sz w:val="2"/>
                <w:szCs w:val="2"/>
                <w:color w:val="auto"/>
              </w:rPr>
            </w:pPr>
          </w:p>
        </w:tc>
        <w:tc>
          <w:tcPr>
            <w:tcW w:w="404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9900" w:type="dxa"/>
            <w:vAlign w:val="bottom"/>
            <w:tcBorders>
              <w:bottom w:val="single" w:sz="8" w:color="0000EE"/>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Condensed Consolidated Statements of Changes in Redeemable Non-Controlling Interest, Redeemable Preferred Non-Controlling Interest and Stockholders’</w:t>
            </w:r>
          </w:p>
        </w:tc>
        <w:tc>
          <w:tcPr>
            <w:tcW w:w="4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69"/>
        </w:trPr>
        <w:tc>
          <w:tcPr>
            <w:tcW w:w="10360" w:type="dxa"/>
            <w:vAlign w:val="bottom"/>
            <w:gridSpan w:val="9"/>
            <w:shd w:val="clear" w:color="auto" w:fill="CCEEFF"/>
          </w:tcPr>
          <w:p>
            <w:pPr>
              <w:ind w:left="140"/>
              <w:spacing w:after="0" w:line="169" w:lineRule="exact"/>
              <w:rPr>
                <w:sz w:val="20"/>
                <w:szCs w:val="20"/>
                <w:color w:val="auto"/>
              </w:rPr>
            </w:pPr>
            <w:r>
              <w:rPr>
                <w:rFonts w:ascii="Times New Roman" w:cs="Times New Roman" w:eastAsia="Times New Roman" w:hAnsi="Times New Roman"/>
                <w:sz w:val="16"/>
                <w:szCs w:val="16"/>
                <w:color w:val="0000EE"/>
              </w:rPr>
              <w:t>(Deficit) Equity for the Three and Nine Months Ended September 30, 2022 and 2021 (unaudited)</w:t>
            </w: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F-5</w:t>
            </w:r>
          </w:p>
        </w:tc>
      </w:tr>
      <w:tr>
        <w:trPr>
          <w:trHeight w:val="35"/>
        </w:trPr>
        <w:tc>
          <w:tcPr>
            <w:tcW w:w="140" w:type="dxa"/>
            <w:vAlign w:val="bottom"/>
            <w:shd w:val="clear" w:color="auto" w:fill="CCEEFF"/>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7700" w:type="dxa"/>
            <w:vAlign w:val="bottom"/>
            <w:tcBorders>
              <w:bottom w:val="single" w:sz="8" w:color="0000EE"/>
            </w:tcBorders>
            <w:gridSpan w:val="5"/>
          </w:tcPr>
          <w:p>
            <w:pPr>
              <w:spacing w:after="0" w:line="154" w:lineRule="exact"/>
              <w:rPr>
                <w:sz w:val="20"/>
                <w:szCs w:val="20"/>
                <w:color w:val="auto"/>
              </w:rPr>
            </w:pPr>
            <w:r>
              <w:rPr>
                <w:rFonts w:ascii="Times New Roman" w:cs="Times New Roman" w:eastAsia="Times New Roman" w:hAnsi="Times New Roman"/>
                <w:sz w:val="16"/>
                <w:szCs w:val="16"/>
                <w:color w:val="0000EE"/>
                <w:w w:val="98"/>
              </w:rPr>
              <w:t>Condensed Consolidated Statements of Cash Flows for the Nine Months Ended September 30, 2022 and 2021 (unaudited)</w:t>
            </w:r>
          </w:p>
        </w:tc>
        <w:tc>
          <w:tcPr>
            <w:tcW w:w="2660" w:type="dxa"/>
            <w:vAlign w:val="bottom"/>
            <w:gridSpan w:val="4"/>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8"/>
              </w:rPr>
              <w:t>F-6</w:t>
            </w:r>
          </w:p>
        </w:tc>
      </w:tr>
      <w:tr>
        <w:trPr>
          <w:trHeight w:val="161"/>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8"/>
              </w:rPr>
              <w:t>F-7</w:t>
            </w:r>
          </w:p>
        </w:tc>
      </w:tr>
      <w:tr>
        <w:trPr>
          <w:trHeight w:val="35"/>
        </w:trPr>
        <w:tc>
          <w:tcPr>
            <w:tcW w:w="140" w:type="dxa"/>
            <w:vAlign w:val="bottom"/>
            <w:shd w:val="clear" w:color="auto" w:fill="0000EE"/>
          </w:tcPr>
          <w:p>
            <w:pPr>
              <w:spacing w:after="0"/>
              <w:rPr>
                <w:sz w:val="3"/>
                <w:szCs w:val="3"/>
                <w:color w:val="auto"/>
              </w:rPr>
            </w:pPr>
          </w:p>
        </w:tc>
        <w:tc>
          <w:tcPr>
            <w:tcW w:w="4040" w:type="dxa"/>
            <w:vAlign w:val="bottom"/>
            <w:shd w:val="clear" w:color="auto" w:fill="0000EE"/>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103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OPAL Fuels Inc.</w:t>
            </w:r>
          </w:p>
        </w:tc>
        <w:tc>
          <w:tcPr>
            <w:tcW w:w="900" w:type="dxa"/>
            <w:vAlign w:val="bottom"/>
            <w:shd w:val="clear" w:color="auto" w:fill="CCEEFF"/>
          </w:tcPr>
          <w:p>
            <w:pPr>
              <w:spacing w:after="0"/>
              <w:rPr>
                <w:sz w:val="16"/>
                <w:szCs w:val="16"/>
                <w:color w:val="auto"/>
              </w:rPr>
            </w:pP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F-46</w:t>
            </w:r>
          </w:p>
        </w:tc>
      </w:tr>
      <w:tr>
        <w:trPr>
          <w:trHeight w:val="28"/>
        </w:trPr>
        <w:tc>
          <w:tcPr>
            <w:tcW w:w="160" w:type="dxa"/>
            <w:vAlign w:val="bottom"/>
            <w:shd w:val="clear" w:color="auto" w:fill="0000EE"/>
          </w:tcPr>
          <w:p>
            <w:pPr>
              <w:spacing w:after="0"/>
              <w:rPr>
                <w:sz w:val="2"/>
                <w:szCs w:val="2"/>
                <w:color w:val="auto"/>
              </w:rPr>
            </w:pPr>
          </w:p>
        </w:tc>
        <w:tc>
          <w:tcPr>
            <w:tcW w:w="3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7"/>
        </w:trPr>
        <w:tc>
          <w:tcPr>
            <w:tcW w:w="4700" w:type="dxa"/>
            <w:vAlign w:val="bottom"/>
            <w:tcBorders>
              <w:bottom w:val="single" w:sz="8" w:color="0000EE"/>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7"/>
              </w:rPr>
              <w:t>Consolidated Balance Sheets as of December 31, 2021 and 2020 (restated)</w:t>
            </w:r>
          </w:p>
        </w:tc>
        <w:tc>
          <w:tcPr>
            <w:tcW w:w="566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300"/>
              <w:spacing w:after="0" w:line="161" w:lineRule="exact"/>
              <w:rPr>
                <w:sz w:val="20"/>
                <w:szCs w:val="20"/>
                <w:color w:val="auto"/>
              </w:rPr>
            </w:pPr>
            <w:r>
              <w:rPr>
                <w:rFonts w:ascii="Times New Roman" w:cs="Times New Roman" w:eastAsia="Times New Roman" w:hAnsi="Times New Roman"/>
                <w:sz w:val="16"/>
                <w:szCs w:val="16"/>
                <w:color w:val="auto"/>
              </w:rPr>
              <w:t>F-47</w:t>
            </w:r>
          </w:p>
        </w:tc>
      </w:tr>
      <w:tr>
        <w:trPr>
          <w:trHeight w:val="154"/>
        </w:trPr>
        <w:tc>
          <w:tcPr>
            <w:tcW w:w="10360" w:type="dxa"/>
            <w:vAlign w:val="bottom"/>
            <w:gridSpan w:val="9"/>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2021, 2020 (restated) and 2019 (restated)</w:t>
            </w: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F-48</w:t>
            </w:r>
          </w:p>
        </w:tc>
      </w:tr>
      <w:tr>
        <w:trPr>
          <w:trHeight w:val="28"/>
        </w:trPr>
        <w:tc>
          <w:tcPr>
            <w:tcW w:w="160" w:type="dxa"/>
            <w:vAlign w:val="bottom"/>
            <w:shd w:val="clear" w:color="auto" w:fill="0000EE"/>
          </w:tcPr>
          <w:p>
            <w:pPr>
              <w:spacing w:after="0"/>
              <w:rPr>
                <w:sz w:val="2"/>
                <w:szCs w:val="2"/>
                <w:color w:val="auto"/>
              </w:rPr>
            </w:pPr>
          </w:p>
        </w:tc>
        <w:tc>
          <w:tcPr>
            <w:tcW w:w="3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9900" w:type="dxa"/>
            <w:vAlign w:val="bottom"/>
            <w:tcBorders>
              <w:bottom w:val="single" w:sz="8" w:color="0000EE"/>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Condensed Consolidated Statements of Changes in Redeemable Non-Controlling Interest, Redeemable Preferred Non-Controlling Interest and Stockholders’</w:t>
            </w:r>
          </w:p>
        </w:tc>
        <w:tc>
          <w:tcPr>
            <w:tcW w:w="4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84"/>
        </w:trPr>
        <w:tc>
          <w:tcPr>
            <w:tcW w:w="160" w:type="dxa"/>
            <w:vAlign w:val="bottom"/>
            <w:tcBorders>
              <w:bottom w:val="single" w:sz="8" w:color="CCEEFF"/>
            </w:tcBorders>
            <w:shd w:val="clear" w:color="auto" w:fill="CCEEFF"/>
          </w:tcPr>
          <w:p>
            <w:pPr>
              <w:spacing w:after="0"/>
              <w:rPr>
                <w:sz w:val="16"/>
                <w:szCs w:val="16"/>
                <w:color w:val="auto"/>
              </w:rPr>
            </w:pPr>
          </w:p>
        </w:tc>
        <w:tc>
          <w:tcPr>
            <w:tcW w:w="5840" w:type="dxa"/>
            <w:vAlign w:val="bottom"/>
            <w:tcBorders>
              <w:bottom w:val="single" w:sz="8" w:color="0000EE"/>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7"/>
              </w:rPr>
              <w:t>(Deficit) Equity for the Years Ended December 31, 2021, 2020 (restated) and 2019 (restated)</w:t>
            </w:r>
          </w:p>
        </w:tc>
        <w:tc>
          <w:tcPr>
            <w:tcW w:w="4360" w:type="dxa"/>
            <w:vAlign w:val="bottom"/>
            <w:tcBorders>
              <w:bottom w:val="single" w:sz="8" w:color="CCEEFF"/>
            </w:tcBorders>
            <w:gridSpan w:val="4"/>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F-49</w:t>
            </w:r>
          </w:p>
        </w:tc>
      </w:tr>
      <w:tr>
        <w:trPr>
          <w:trHeight w:val="161"/>
        </w:trPr>
        <w:tc>
          <w:tcPr>
            <w:tcW w:w="7360" w:type="dxa"/>
            <w:vAlign w:val="bottom"/>
            <w:tcBorders>
              <w:bottom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Years Ended December 31, 2021, 2020 (restated) and 2019 (restated)</w:t>
            </w:r>
          </w:p>
        </w:tc>
        <w:tc>
          <w:tcPr>
            <w:tcW w:w="3000" w:type="dxa"/>
            <w:vAlign w:val="bottom"/>
            <w:gridSpan w:val="2"/>
          </w:tcPr>
          <w:p>
            <w:pPr>
              <w:spacing w:after="0"/>
              <w:rPr>
                <w:sz w:val="14"/>
                <w:szCs w:val="14"/>
                <w:color w:val="auto"/>
              </w:rPr>
            </w:pPr>
          </w:p>
        </w:tc>
        <w:tc>
          <w:tcPr>
            <w:tcW w:w="900" w:type="dxa"/>
            <w:vAlign w:val="bottom"/>
          </w:tcPr>
          <w:p>
            <w:pPr>
              <w:ind w:left="300"/>
              <w:spacing w:after="0" w:line="154" w:lineRule="exact"/>
              <w:rPr>
                <w:sz w:val="20"/>
                <w:szCs w:val="20"/>
                <w:color w:val="auto"/>
              </w:rPr>
            </w:pPr>
            <w:r>
              <w:rPr>
                <w:rFonts w:ascii="Times New Roman" w:cs="Times New Roman" w:eastAsia="Times New Roman" w:hAnsi="Times New Roman"/>
                <w:sz w:val="16"/>
                <w:szCs w:val="16"/>
                <w:color w:val="auto"/>
              </w:rPr>
              <w:t>F-50</w:t>
            </w:r>
          </w:p>
        </w:tc>
      </w:tr>
      <w:tr>
        <w:trPr>
          <w:trHeight w:val="177"/>
        </w:trPr>
        <w:tc>
          <w:tcPr>
            <w:tcW w:w="1036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 (restated)</w:t>
            </w:r>
          </w:p>
        </w:tc>
        <w:tc>
          <w:tcPr>
            <w:tcW w:w="90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6"/>
                <w:szCs w:val="16"/>
                <w:color w:val="auto"/>
              </w:rPr>
              <w:t>F-52</w:t>
            </w:r>
          </w:p>
        </w:tc>
      </w:tr>
      <w:tr>
        <w:trPr>
          <w:trHeight w:val="379"/>
        </w:trPr>
        <w:tc>
          <w:tcPr>
            <w:tcW w:w="160" w:type="dxa"/>
            <w:vAlign w:val="bottom"/>
            <w:tcBorders>
              <w:top w:val="single" w:sz="8" w:color="0000EE"/>
            </w:tcBorders>
          </w:tcPr>
          <w:p>
            <w:pPr>
              <w:spacing w:after="0"/>
              <w:rPr>
                <w:sz w:val="24"/>
                <w:szCs w:val="24"/>
                <w:color w:val="auto"/>
              </w:rPr>
            </w:pPr>
          </w:p>
        </w:tc>
        <w:tc>
          <w:tcPr>
            <w:tcW w:w="32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680" w:type="dxa"/>
            <w:vAlign w:val="bottom"/>
            <w:tcBorders>
              <w:top w:val="single" w:sz="8" w:color="CCEEFF"/>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BEACON RNG LLC FINANCIAL STATEMENTS</w:t>
            </w:r>
          </w:p>
        </w:tc>
        <w:tc>
          <w:tcPr>
            <w:tcW w:w="900" w:type="dxa"/>
            <w:vAlign w:val="bottom"/>
            <w:tcBorders>
              <w:top w:val="single" w:sz="8" w:color="CCEEFF"/>
            </w:tcBorders>
          </w:tcPr>
          <w:p>
            <w:pPr>
              <w:spacing w:after="0"/>
              <w:rPr>
                <w:sz w:val="24"/>
                <w:szCs w:val="24"/>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4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89"/>
        </w:trPr>
        <w:tc>
          <w:tcPr>
            <w:tcW w:w="103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Audited Financial Statements of Beacon RNG LLC</w:t>
            </w:r>
          </w:p>
        </w:tc>
        <w:tc>
          <w:tcPr>
            <w:tcW w:w="900" w:type="dxa"/>
            <w:vAlign w:val="bottom"/>
            <w:shd w:val="clear" w:color="auto" w:fill="CCEEFF"/>
          </w:tcPr>
          <w:p>
            <w:pPr>
              <w:spacing w:after="0"/>
              <w:rPr>
                <w:sz w:val="16"/>
                <w:szCs w:val="16"/>
                <w:color w:val="auto"/>
              </w:rPr>
            </w:pPr>
          </w:p>
        </w:tc>
      </w:tr>
      <w:tr>
        <w:trPr>
          <w:trHeight w:val="154"/>
        </w:trPr>
        <w:tc>
          <w:tcPr>
            <w:tcW w:w="1036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Report of Independent Auditor</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F-101</w:t>
            </w:r>
          </w:p>
        </w:tc>
      </w:tr>
      <w:tr>
        <w:trPr>
          <w:trHeight w:val="28"/>
        </w:trPr>
        <w:tc>
          <w:tcPr>
            <w:tcW w:w="194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10360" w:type="dxa"/>
            <w:vAlign w:val="bottom"/>
            <w:gridSpan w:val="7"/>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Consolidated Balance Sheet as of April 30, 2021</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F-103</w:t>
            </w:r>
          </w:p>
        </w:tc>
      </w:tr>
      <w:tr>
        <w:trPr>
          <w:trHeight w:val="35"/>
        </w:trPr>
        <w:tc>
          <w:tcPr>
            <w:tcW w:w="19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4760" w:type="dxa"/>
            <w:vAlign w:val="bottom"/>
            <w:tcBorders>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Operations for the period Ended April 30, 2021</w:t>
            </w:r>
          </w:p>
        </w:tc>
        <w:tc>
          <w:tcPr>
            <w:tcW w:w="5600" w:type="dxa"/>
            <w:vAlign w:val="bottom"/>
            <w:gridSpan w:val="3"/>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F-104</w:t>
            </w:r>
          </w:p>
        </w:tc>
      </w:tr>
      <w:tr>
        <w:trPr>
          <w:trHeight w:val="177"/>
        </w:trPr>
        <w:tc>
          <w:tcPr>
            <w:tcW w:w="5920" w:type="dxa"/>
            <w:vAlign w:val="bottom"/>
            <w:tcBorders>
              <w:bottom w:val="single" w:sz="8" w:color="0000EE"/>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w w:val="98"/>
              </w:rPr>
              <w:t>Consolidated Statements of Changes in Members’ Equity for the period Ended April 30, 2021</w:t>
            </w:r>
          </w:p>
        </w:tc>
        <w:tc>
          <w:tcPr>
            <w:tcW w:w="4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F-105</w:t>
            </w:r>
          </w:p>
        </w:tc>
      </w:tr>
      <w:tr>
        <w:trPr>
          <w:trHeight w:val="161"/>
        </w:trPr>
        <w:tc>
          <w:tcPr>
            <w:tcW w:w="1036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Cash Flows for the period Ended April 30, 2021</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F-106</w:t>
            </w:r>
          </w:p>
        </w:tc>
      </w:tr>
      <w:tr>
        <w:trPr>
          <w:trHeight w:val="161"/>
        </w:trPr>
        <w:tc>
          <w:tcPr>
            <w:tcW w:w="4800" w:type="dxa"/>
            <w:vAlign w:val="bottom"/>
            <w:tcBorders>
              <w:top w:val="single" w:sz="8" w:color="0000EE"/>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560" w:type="dxa"/>
            <w:vAlign w:val="bottom"/>
            <w:gridSpan w:val="2"/>
            <w:shd w:val="clear" w:color="auto" w:fill="CCEEFF"/>
          </w:tcPr>
          <w:p>
            <w:pPr>
              <w:spacing w:after="0"/>
              <w:rPr>
                <w:sz w:val="14"/>
                <w:szCs w:val="14"/>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F-107</w:t>
            </w:r>
          </w:p>
        </w:tc>
      </w:tr>
      <w:tr>
        <w:trPr>
          <w:trHeight w:val="35"/>
        </w:trPr>
        <w:tc>
          <w:tcPr>
            <w:tcW w:w="19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42"/>
        </w:trPr>
        <w:tc>
          <w:tcPr>
            <w:tcW w:w="10360" w:type="dxa"/>
            <w:vAlign w:val="bottom"/>
            <w:gridSpan w:val="8"/>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0000EE"/>
              </w:rPr>
              <w:t>Consolidated Balance Sheets as of December 31, 2020 and 2019</w:t>
            </w:r>
          </w:p>
        </w:tc>
        <w:tc>
          <w:tcPr>
            <w:tcW w:w="9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F-114</w:t>
            </w:r>
          </w:p>
        </w:tc>
      </w:tr>
      <w:tr>
        <w:trPr>
          <w:trHeight w:val="27"/>
        </w:trPr>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8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50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54"/>
        </w:trPr>
        <w:tc>
          <w:tcPr>
            <w:tcW w:w="10360" w:type="dxa"/>
            <w:vAlign w:val="bottom"/>
            <w:gridSpan w:val="8"/>
          </w:tcPr>
          <w:p>
            <w:pPr>
              <w:spacing w:after="0" w:line="154" w:lineRule="exact"/>
              <w:rPr>
                <w:sz w:val="20"/>
                <w:szCs w:val="20"/>
                <w:color w:val="auto"/>
              </w:rPr>
            </w:pPr>
            <w:r>
              <w:rPr>
                <w:rFonts w:ascii="Times New Roman" w:cs="Times New Roman" w:eastAsia="Times New Roman" w:hAnsi="Times New Roman"/>
                <w:sz w:val="16"/>
                <w:szCs w:val="16"/>
                <w:color w:val="0000EE"/>
              </w:rPr>
              <w:t>Consolidated Statements of Operations for the Year Ended 2020 and for the period from March 11, 2019 (Inception) through December 31, 2019</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4"/>
              </w:rPr>
              <w:t>F-115</w:t>
            </w:r>
          </w:p>
        </w:tc>
      </w:tr>
      <w:tr>
        <w:trPr>
          <w:trHeight w:val="28"/>
        </w:trPr>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8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50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1"/>
        </w:trPr>
        <w:tc>
          <w:tcPr>
            <w:tcW w:w="10360" w:type="dxa"/>
            <w:vAlign w:val="bottom"/>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Consolidated Statements of Changes in Members’ Equity for the Year Ended 2020 and for the period from March 11, 2019 (Inception) through December 31,</w:t>
            </w:r>
          </w:p>
        </w:tc>
        <w:tc>
          <w:tcPr>
            <w:tcW w:w="900" w:type="dxa"/>
            <w:vAlign w:val="bottom"/>
            <w:shd w:val="clear" w:color="auto" w:fill="CCEEFF"/>
          </w:tcPr>
          <w:p>
            <w:pPr>
              <w:spacing w:after="0"/>
              <w:rPr>
                <w:sz w:val="14"/>
                <w:szCs w:val="14"/>
                <w:color w:val="auto"/>
              </w:rPr>
            </w:pPr>
          </w:p>
        </w:tc>
      </w:tr>
      <w:tr>
        <w:trPr>
          <w:trHeight w:val="169"/>
        </w:trPr>
        <w:tc>
          <w:tcPr>
            <w:tcW w:w="2740" w:type="dxa"/>
            <w:vAlign w:val="bottom"/>
            <w:tcBorders>
              <w:top w:val="single" w:sz="8" w:color="0000EE"/>
            </w:tcBorders>
            <w:gridSpan w:val="3"/>
            <w:shd w:val="clear" w:color="auto" w:fill="CCEEFF"/>
          </w:tcPr>
          <w:p>
            <w:pPr>
              <w:ind w:left="160"/>
              <w:spacing w:after="0" w:line="169" w:lineRule="exact"/>
              <w:rPr>
                <w:sz w:val="20"/>
                <w:szCs w:val="20"/>
                <w:color w:val="auto"/>
              </w:rPr>
            </w:pPr>
            <w:r>
              <w:rPr>
                <w:rFonts w:ascii="Times New Roman" w:cs="Times New Roman" w:eastAsia="Times New Roman" w:hAnsi="Times New Roman"/>
                <w:sz w:val="16"/>
                <w:szCs w:val="16"/>
                <w:color w:val="0000EE"/>
              </w:rPr>
              <w:t>2019</w:t>
            </w:r>
          </w:p>
        </w:tc>
        <w:tc>
          <w:tcPr>
            <w:tcW w:w="1320" w:type="dxa"/>
            <w:vAlign w:val="bottom"/>
            <w:tcBorders>
              <w:top w:val="single" w:sz="8" w:color="0000EE"/>
            </w:tcBorders>
            <w:shd w:val="clear" w:color="auto" w:fill="CCEEFF"/>
          </w:tcPr>
          <w:p>
            <w:pPr>
              <w:spacing w:after="0"/>
              <w:rPr>
                <w:sz w:val="14"/>
                <w:szCs w:val="14"/>
                <w:color w:val="auto"/>
              </w:rPr>
            </w:pPr>
          </w:p>
        </w:tc>
        <w:tc>
          <w:tcPr>
            <w:tcW w:w="50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74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4"/>
              </w:rPr>
              <w:t>F-116</w:t>
            </w:r>
          </w:p>
        </w:tc>
      </w:tr>
      <w:tr>
        <w:trPr>
          <w:trHeight w:val="35"/>
        </w:trPr>
        <w:tc>
          <w:tcPr>
            <w:tcW w:w="160" w:type="dxa"/>
            <w:vAlign w:val="bottom"/>
            <w:shd w:val="clear" w:color="auto" w:fill="CCEEFF"/>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0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1"/>
        </w:trPr>
        <w:tc>
          <w:tcPr>
            <w:tcW w:w="9180" w:type="dxa"/>
            <w:vAlign w:val="bottom"/>
            <w:tcBorders>
              <w:bottom w:val="single" w:sz="8" w:color="0000EE"/>
            </w:tcBorders>
            <w:gridSpan w:val="6"/>
          </w:tcPr>
          <w:p>
            <w:pPr>
              <w:spacing w:after="0" w:line="154"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 Ended 2020 and for the period from March 11, 2019 (Inception) through December 31, 2019</w:t>
            </w:r>
          </w:p>
        </w:tc>
        <w:tc>
          <w:tcPr>
            <w:tcW w:w="1180" w:type="dxa"/>
            <w:vAlign w:val="bottom"/>
            <w:gridSpan w:val="2"/>
          </w:tcPr>
          <w:p>
            <w:pPr>
              <w:spacing w:after="0"/>
              <w:rPr>
                <w:sz w:val="14"/>
                <w:szCs w:val="14"/>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4"/>
              </w:rPr>
              <w:t>F-117</w:t>
            </w:r>
          </w:p>
        </w:tc>
      </w:tr>
      <w:tr>
        <w:trPr>
          <w:trHeight w:val="177"/>
        </w:trPr>
        <w:tc>
          <w:tcPr>
            <w:tcW w:w="10360" w:type="dxa"/>
            <w:vAlign w:val="bottom"/>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4"/>
              </w:rPr>
              <w:t>F-118</w:t>
            </w:r>
          </w:p>
        </w:tc>
      </w:tr>
      <w:tr>
        <w:trPr>
          <w:trHeight w:val="571"/>
        </w:trPr>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gridSpan w:val="4"/>
          </w:tcPr>
          <w:p>
            <w:pPr>
              <w:ind w:left="1460"/>
              <w:spacing w:after="0"/>
              <w:rPr>
                <w:sz w:val="20"/>
                <w:szCs w:val="20"/>
                <w:color w:val="auto"/>
              </w:rPr>
            </w:pPr>
            <w:r>
              <w:rPr>
                <w:rFonts w:ascii="Times New Roman" w:cs="Times New Roman" w:eastAsia="Times New Roman" w:hAnsi="Times New Roman"/>
                <w:sz w:val="16"/>
                <w:szCs w:val="16"/>
                <w:color w:val="auto"/>
              </w:rPr>
              <w:t>F-1</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153" w:name="page154"/>
    <w:bookmarkEnd w:id="153"/>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3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Cash and cash equivalents (includes $10,045 and $1,991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39,314</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Accounts receivable, net (includes $1,129 and $40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25,391</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Restricted cash - current (includes $7,623 and $—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Short term investments ( includes $15,411 and $—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146,936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8,484</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Parts inventory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5,143</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inventory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Prepaid expense and other current assets (includes $268 and $113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5,482</w:t>
            </w: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76"/>
        </w:trPr>
        <w:tc>
          <w:tcPr>
            <w:tcW w:w="730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13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286,255</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86,975</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spares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Property, plant, and equipment, net (includes $50,099 and $27,794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250,355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169,770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48,708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 receivable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9,200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Restricted cash - non-current (includes $2,867 and $1,163 at September 30, 2022 and December 31, 2021, respectively, related to</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2,740</w:t>
            </w:r>
          </w:p>
        </w:tc>
        <w:tc>
          <w:tcPr>
            <w:tcW w:w="0" w:type="dxa"/>
            <w:vAlign w:val="bottom"/>
          </w:tcPr>
          <w:p>
            <w:pPr>
              <w:spacing w:after="0"/>
              <w:rPr>
                <w:sz w:val="1"/>
                <w:szCs w:val="1"/>
                <w:color w:val="auto"/>
              </w:rPr>
            </w:pPr>
          </w:p>
        </w:tc>
      </w:tr>
      <w:tr>
        <w:trPr>
          <w:trHeight w:val="201"/>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4"/>
        </w:trPr>
        <w:tc>
          <w:tcPr>
            <w:tcW w:w="73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656,056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380,844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0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Accounts payable (includes $2,783 and $544 at September 30, 2022 and December 31, 2021, respectively, related to consolidated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12,581</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payable</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payroll</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7,652</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Accrued capital expenses (includes $1,493 and $1,722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5,517</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16,063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7,220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9,785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 term loan, current portion, net of debt issuance costs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70,179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73,145</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 current portion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28,432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13,425</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Sunoma loan, current portion (includes $— and $756 at September 30, 2022 and December 31, 2021, respectively, related to</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2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176"/>
        </w:trPr>
        <w:tc>
          <w:tcPr>
            <w:tcW w:w="730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13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187,580</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142,116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OPAL Term Loan</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60,816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59,090</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Sunoma loan, net of debt issuance costs (includes $22,080 and $16,199 at September 30, 2022 and December 31, 2021, respectively,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16,199</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warrant liabilities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 out liabilities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r>
        <w:trPr>
          <w:trHeight w:val="209"/>
        </w:trPr>
        <w:tc>
          <w:tcPr>
            <w:tcW w:w="73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135,303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30,210</w:t>
            </w:r>
          </w:p>
        </w:tc>
        <w:tc>
          <w:tcPr>
            <w:tcW w:w="0" w:type="dxa"/>
            <w:vAlign w:val="bottom"/>
          </w:tcPr>
          <w:p>
            <w:pPr>
              <w:spacing w:after="0"/>
              <w:rPr>
                <w:sz w:val="1"/>
                <w:szCs w:val="1"/>
                <w:color w:val="auto"/>
              </w:rPr>
            </w:pPr>
          </w:p>
        </w:tc>
      </w:tr>
      <w:tr>
        <w:trPr>
          <w:trHeight w:val="189"/>
        </w:trPr>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1,222,657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63,545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300" w:type="dxa"/>
            <w:vAlign w:val="bottom"/>
          </w:tcPr>
          <w:p>
            <w:pPr>
              <w:ind w:left="120"/>
              <w:spacing w:after="0" w:line="172" w:lineRule="exact"/>
              <w:rPr>
                <w:sz w:val="20"/>
                <w:szCs w:val="20"/>
                <w:color w:val="auto"/>
              </w:rPr>
            </w:pPr>
            <w:r>
              <w:rPr>
                <w:rFonts w:ascii="Times New Roman" w:cs="Times New Roman" w:eastAsia="Times New Roman" w:hAnsi="Times New Roman"/>
                <w:sz w:val="16"/>
                <w:szCs w:val="16"/>
                <w:color w:val="auto"/>
                <w:w w:val="99"/>
              </w:rPr>
              <w:t>Class A common stock, $0.0001 par value, 337,852,251 shares authorized as of September 30, 2022; 25,671,390</w:t>
            </w:r>
          </w:p>
        </w:tc>
        <w:tc>
          <w:tcPr>
            <w:tcW w:w="146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6"/>
                <w:szCs w:val="16"/>
                <w:color w:val="auto"/>
                <w:w w:val="95"/>
              </w:rPr>
              <w:t>and 0 shares, issued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outstanding at September 30, 2022 and December 31, 2021, respectively</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Class B common stock, $0.0001 par value, 157,498,947 shares authorized as of September 30, 2022; None issued and outstanding as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of September 30, 2022 and December 31, 2021</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Class C common stock, $0.0001 par value, 154,309,729 shares authorized as of September 30, 2022; None issued and outstanding as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 September 30, 2022 and December 31, 2021</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8"/>
              </w:rPr>
              <w:t>Class D common stock, $0.0001 par value, 154,309,729 shares authorized as of September 30, 2022; 144,399,037</w:t>
            </w: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issued and</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62"/>
        </w:trPr>
        <w:tc>
          <w:tcPr>
            <w:tcW w:w="73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783" w:right="319" w:bottom="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at September 30, 2022 and December 31, 2021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6"/>
                <w:szCs w:val="16"/>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(1,066,137)</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178</w:t>
            </w:r>
          </w:p>
        </w:tc>
        <w:tc>
          <w:tcPr>
            <w:tcW w:w="34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(deficit) equity attributable to the Company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(1,065,943</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8680" w:type="dxa"/>
            <w:vAlign w:val="bottom"/>
            <w:tcBorders>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Non-redeemable non-controlling interests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26,674</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1,188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(1,039,269</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(deficit) equity</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656,056</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380,844</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5" w:name="page156"/>
    <w:bookmarkEnd w:id="155"/>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32,381</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17,892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83,196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37,066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23,227</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55,524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35,560</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10,942</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32,342</w:t>
            </w:r>
          </w:p>
        </w:tc>
        <w:tc>
          <w:tcPr>
            <w:tcW w:w="0" w:type="dxa"/>
            <w:vAlign w:val="bottom"/>
          </w:tcPr>
          <w:p>
            <w:pPr>
              <w:spacing w:after="0"/>
              <w:rPr>
                <w:sz w:val="1"/>
                <w:szCs w:val="1"/>
                <w:color w:val="auto"/>
              </w:rPr>
            </w:pPr>
          </w:p>
        </w:tc>
      </w:tr>
      <w:tr>
        <w:trPr>
          <w:trHeight w:val="176"/>
        </w:trPr>
        <w:tc>
          <w:tcPr>
            <w:tcW w:w="59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66,550</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47,184</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168,814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104,968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RNG fuel</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20,959</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51,843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23,053</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20,886</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15,458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49,643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7,645</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23,593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23,952</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15,751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34,561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19,107</w:t>
            </w:r>
          </w:p>
        </w:tc>
        <w:tc>
          <w:tcPr>
            <w:tcW w:w="0" w:type="dxa"/>
            <w:vAlign w:val="bottom"/>
          </w:tcPr>
          <w:p>
            <w:pPr>
              <w:spacing w:after="0"/>
              <w:rPr>
                <w:sz w:val="1"/>
                <w:szCs w:val="1"/>
                <w:color w:val="auto"/>
              </w:rPr>
            </w:pPr>
          </w:p>
        </w:tc>
      </w:tr>
      <w:tr>
        <w:trPr>
          <w:trHeight w:val="204"/>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tcPr>
          <w:p>
            <w:pPr>
              <w:spacing w:after="0"/>
              <w:rPr>
                <w:sz w:val="17"/>
                <w:szCs w:val="17"/>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3,258</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9,816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6,672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Operating (loss) income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(1,949</w:t>
            </w:r>
          </w:p>
        </w:tc>
        <w:tc>
          <w:tcPr>
            <w:tcW w:w="240" w:type="dxa"/>
            <w:vAlign w:val="bottom"/>
            <w:tcBorders>
              <w:bottom w:val="single" w:sz="8" w:color="CCEEFF"/>
            </w:tcBorders>
          </w:tcPr>
          <w:p>
            <w:pPr>
              <w:jc w:val="right"/>
              <w:ind w:right="10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3,154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(642</w:t>
            </w:r>
          </w:p>
        </w:tc>
        <w:tc>
          <w:tcPr>
            <w:tcW w:w="140" w:type="dxa"/>
            <w:vAlign w:val="bottom"/>
            <w:tcBorders>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2,409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40" w:type="dxa"/>
            <w:vAlign w:val="bottom"/>
          </w:tcPr>
          <w:p>
            <w:pPr>
              <w:spacing w:after="0"/>
              <w:rPr>
                <w:sz w:val="16"/>
                <w:szCs w:val="16"/>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(776)</w:t>
            </w:r>
          </w:p>
        </w:tc>
        <w:tc>
          <w:tcPr>
            <w:tcW w:w="3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(7,184)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(5,659)</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(1,908)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6,308</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6,308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20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40" w:type="dxa"/>
            <w:vAlign w:val="bottom"/>
          </w:tcPr>
          <w:p>
            <w:pPr>
              <w:spacing w:after="0"/>
              <w:rPr>
                <w:sz w:val="17"/>
                <w:szCs w:val="17"/>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3,694</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9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Net income (loss) attributable to redeemable non-controlling interests</w:t>
            </w:r>
          </w:p>
        </w:tc>
        <w:tc>
          <w:tcPr>
            <w:tcW w:w="24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4,161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(2,584)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attributable to non-redeemable non-controlling interests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(325)</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24"/>
        </w:trPr>
        <w:tc>
          <w:tcPr>
            <w:tcW w:w="5980" w:type="dxa"/>
            <w:vAlign w:val="bottom"/>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Paid-in-kind preferred dividends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2,658</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5,093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OPAL Fuels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Net loss attributable to Class A common stockholders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vMerge w:val="continue"/>
          </w:tcPr>
          <w:p>
            <w:pPr>
              <w:spacing w:after="0"/>
              <w:rPr>
                <w:sz w:val="20"/>
                <w:szCs w:val="20"/>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 :</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25,671,390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25,671,390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25,823,772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25,823,772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Per share amounts: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Basic </w:t>
            </w:r>
            <w:r>
              <w:rPr>
                <w:rFonts w:ascii="Times New Roman" w:cs="Times New Roman" w:eastAsia="Times New Roman" w:hAnsi="Times New Roman"/>
                <w:sz w:val="26"/>
                <w:szCs w:val="26"/>
                <w:color w:val="auto"/>
                <w:vertAlign w:val="superscript"/>
              </w:rPr>
              <w:t>(2)</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(0.04)</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60"/>
              <w:spacing w:after="0" w:line="225" w:lineRule="exact"/>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(0.06)</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5" w:right="20" w:hanging="285"/>
        <w:spacing w:after="0" w:line="196" w:lineRule="auto"/>
        <w:tabs>
          <w:tab w:leader="none" w:pos="285"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Paid-in-kind preferred dividend is allocated between redeemable non-controlling interests and Class A common stockholders basis their weighted average percentage of ownership. Please see Note.14 </w:t>
      </w:r>
      <w:r>
        <w:rPr>
          <w:rFonts w:ascii="Times New Roman" w:cs="Times New Roman" w:eastAsia="Times New Roman" w:hAnsi="Times New Roman"/>
          <w:sz w:val="16"/>
          <w:szCs w:val="16"/>
          <w:i w:val="1"/>
          <w:iCs w:val="1"/>
          <w:color w:val="auto"/>
        </w:rPr>
        <w:t>Redeemable non-controlling interests, redeemable preferred non-controlling interests and stockholders’ equity</w:t>
      </w:r>
      <w:r>
        <w:rPr>
          <w:rFonts w:ascii="Times New Roman" w:cs="Times New Roman" w:eastAsia="Times New Roman" w:hAnsi="Times New Roman"/>
          <w:sz w:val="16"/>
          <w:szCs w:val="16"/>
          <w:color w:val="auto"/>
        </w:rPr>
        <w:t xml:space="preserve"> for additional information.</w:t>
      </w:r>
    </w:p>
    <w:p>
      <w:pPr>
        <w:spacing w:after="0" w:line="158" w:lineRule="exact"/>
        <w:rPr>
          <w:rFonts w:ascii="Times New Roman" w:cs="Times New Roman" w:eastAsia="Times New Roman" w:hAnsi="Times New Roman"/>
          <w:sz w:val="26"/>
          <w:szCs w:val="26"/>
          <w:color w:val="auto"/>
          <w:vertAlign w:val="superscript"/>
        </w:rPr>
      </w:pPr>
    </w:p>
    <w:p>
      <w:pPr>
        <w:ind w:left="285" w:right="20" w:hanging="285"/>
        <w:spacing w:after="0" w:line="197" w:lineRule="auto"/>
        <w:tabs>
          <w:tab w:leader="none" w:pos="285"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Loss per share information has not been presented for the periods prior to the Business Combination (as defined in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as it would not be meaningful to the users of these unaudited condensed consolidated financial statements, Refer to Note 3, Business Combination.</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156" w:name="page157"/>
    <w:bookmarkEnd w:id="15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4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(Restated)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5,369</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773</w:t>
            </w:r>
          </w:p>
        </w:tc>
        <w:tc>
          <w:tcPr>
            <w:tcW w:w="82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18,950</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gain on cash flow hedges</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1,189</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1,189</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9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comprehensive income</w:t>
            </w:r>
          </w:p>
        </w:tc>
        <w:tc>
          <w:tcPr>
            <w:tcW w:w="7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99"/>
              </w:rPr>
              <w:t>6,558</w:t>
            </w:r>
          </w:p>
        </w:tc>
        <w:tc>
          <w:tcPr>
            <w:tcW w:w="24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773</w:t>
            </w: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99"/>
              </w:rPr>
              <w:t>1,749</w:t>
            </w:r>
          </w:p>
        </w:tc>
        <w:tc>
          <w:tcPr>
            <w:tcW w:w="2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18,950</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6,509</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2,199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attributable to Redeemable non-controlling interests</w:t>
            </w:r>
          </w:p>
        </w:tc>
        <w:tc>
          <w:tcPr>
            <w:tcW w:w="740" w:type="dxa"/>
            <w:vAlign w:val="bottom"/>
          </w:tcPr>
          <w:p>
            <w:pPr>
              <w:spacing w:after="0"/>
              <w:rPr>
                <w:sz w:val="16"/>
                <w:szCs w:val="16"/>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w w:val="99"/>
              </w:rPr>
              <w:t>1,011</w:t>
            </w:r>
          </w:p>
        </w:tc>
        <w:tc>
          <w:tcPr>
            <w:tcW w:w="7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1,011</w:t>
            </w:r>
          </w:p>
        </w:tc>
        <w:tc>
          <w:tcPr>
            <w:tcW w:w="16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non-redeemable non-controlling interests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(325)</w:t>
            </w:r>
          </w:p>
        </w:tc>
        <w:tc>
          <w:tcPr>
            <w:tcW w:w="7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740" w:type="dxa"/>
            <w:vAlign w:val="bottom"/>
          </w:tcPr>
          <w:p>
            <w:pPr>
              <w:spacing w:after="0"/>
              <w:rPr>
                <w:sz w:val="16"/>
                <w:szCs w:val="16"/>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310</w:t>
            </w:r>
          </w:p>
        </w:tc>
        <w:tc>
          <w:tcPr>
            <w:tcW w:w="7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OPAL Fuels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Comprehensive loss attributable to Class A common stockholders</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40" w:type="dxa"/>
            <w:vAlign w:val="bottom"/>
            <w:vMerge w:val="continue"/>
          </w:tcPr>
          <w:p>
            <w:pPr>
              <w:spacing w:after="0"/>
              <w:rPr>
                <w:sz w:val="17"/>
                <w:szCs w:val="17"/>
                <w:color w:val="auto"/>
              </w:rPr>
            </w:pPr>
          </w:p>
        </w:tc>
        <w:tc>
          <w:tcPr>
            <w:tcW w:w="78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20" w:type="dxa"/>
            <w:vAlign w:val="bottom"/>
            <w:vMerge w:val="continue"/>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57" w:name="page158"/>
    <w:bookmarkEnd w:id="157"/>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REDEEMABLE NON-CONTROLLING INTEREST,</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REDEEMABLE PREFERRED NON-CONTROLLING INTEREST AND STOCKHOLDERS’ (DEFICIT) EQUITY</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0" w:type="dxa"/>
            <w:vAlign w:val="bottom"/>
          </w:tcPr>
          <w:p>
            <w:pPr>
              <w:spacing w:after="0" w:line="20" w:lineRule="exact"/>
              <w:rPr>
                <w:sz w:val="1"/>
                <w:szCs w:val="1"/>
                <w:color w:val="auto"/>
              </w:rPr>
            </w:pPr>
          </w:p>
        </w:tc>
      </w:tr>
      <w:tr>
        <w:trPr>
          <w:trHeight w:val="132"/>
        </w:trPr>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60"/>
              <w:spacing w:after="0" w:line="130"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1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Legacy Series A-1</w:t>
            </w:r>
          </w:p>
        </w:tc>
        <w:tc>
          <w:tcPr>
            <w:tcW w:w="10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Legacy</w:t>
            </w:r>
          </w:p>
        </w:tc>
        <w:tc>
          <w:tcPr>
            <w:tcW w:w="122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Class A common</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96"/>
              </w:rPr>
              <w:t>Class D common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5"/>
                <w:szCs w:val="15"/>
                <w:color w:val="auto"/>
              </w:rPr>
            </w:pPr>
          </w:p>
        </w:tc>
        <w:tc>
          <w:tcPr>
            <w:tcW w:w="720" w:type="dxa"/>
            <w:vAlign w:val="bottom"/>
            <w:tcBorders>
              <w:right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0" w:type="dxa"/>
            <w:vAlign w:val="bottom"/>
          </w:tcPr>
          <w:p>
            <w:pPr>
              <w:spacing w:after="0"/>
              <w:rPr>
                <w:sz w:val="1"/>
                <w:szCs w:val="1"/>
                <w:color w:val="auto"/>
              </w:rPr>
            </w:pPr>
          </w:p>
        </w:tc>
      </w:tr>
      <w:tr>
        <w:trPr>
          <w:trHeight w:val="83"/>
        </w:trPr>
        <w:tc>
          <w:tcPr>
            <w:tcW w:w="960" w:type="dxa"/>
            <w:vAlign w:val="bottom"/>
          </w:tcPr>
          <w:p>
            <w:pPr>
              <w:spacing w:after="0"/>
              <w:rPr>
                <w:sz w:val="7"/>
                <w:szCs w:val="7"/>
                <w:color w:val="auto"/>
              </w:rPr>
            </w:pPr>
          </w:p>
        </w:tc>
        <w:tc>
          <w:tcPr>
            <w:tcW w:w="1140" w:type="dxa"/>
            <w:vAlign w:val="bottom"/>
            <w:gridSpan w:val="5"/>
            <w:vMerge w:val="continue"/>
          </w:tcPr>
          <w:p>
            <w:pPr>
              <w:spacing w:after="0"/>
              <w:rPr>
                <w:sz w:val="7"/>
                <w:szCs w:val="7"/>
                <w:color w:val="auto"/>
              </w:rPr>
            </w:pPr>
          </w:p>
        </w:tc>
        <w:tc>
          <w:tcPr>
            <w:tcW w:w="1000" w:type="dxa"/>
            <w:vAlign w:val="bottom"/>
            <w:gridSpan w:val="5"/>
            <w:vMerge w:val="continue"/>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right"/>
              <w:ind w:right="28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10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100" w:type="dxa"/>
            <w:vAlign w:val="bottom"/>
          </w:tcPr>
          <w:p>
            <w:pPr>
              <w:spacing w:after="0"/>
              <w:rPr>
                <w:sz w:val="7"/>
                <w:szCs w:val="7"/>
                <w:color w:val="auto"/>
              </w:rPr>
            </w:pPr>
          </w:p>
        </w:tc>
        <w:tc>
          <w:tcPr>
            <w:tcW w:w="600" w:type="dxa"/>
            <w:vAlign w:val="bottom"/>
            <w:gridSpan w:val="3"/>
          </w:tcPr>
          <w:p>
            <w:pPr>
              <w:jc w:val="center"/>
              <w:ind w:right="140"/>
              <w:spacing w:after="0" w:line="83" w:lineRule="exact"/>
              <w:rPr>
                <w:sz w:val="20"/>
                <w:szCs w:val="20"/>
                <w:color w:val="auto"/>
              </w:rPr>
            </w:pPr>
            <w:r>
              <w:rPr>
                <w:rFonts w:ascii="Times New Roman" w:cs="Times New Roman" w:eastAsia="Times New Roman" w:hAnsi="Times New Roman"/>
                <w:sz w:val="9"/>
                <w:szCs w:val="9"/>
                <w:b w:val="1"/>
                <w:bCs w:val="1"/>
                <w:color w:val="auto"/>
              </w:rPr>
              <w:t>non-</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Units</w:t>
            </w:r>
          </w:p>
        </w:tc>
        <w:tc>
          <w:tcPr>
            <w:tcW w:w="100" w:type="dxa"/>
            <w:vAlign w:val="bottom"/>
          </w:tcPr>
          <w:p>
            <w:pPr>
              <w:spacing w:after="0"/>
              <w:rPr>
                <w:sz w:val="14"/>
                <w:szCs w:val="14"/>
                <w:color w:val="auto"/>
              </w:rPr>
            </w:pPr>
          </w:p>
        </w:tc>
        <w:tc>
          <w:tcPr>
            <w:tcW w:w="8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5"/>
                <w:szCs w:val="15"/>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7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15"/>
                <w:szCs w:val="15"/>
                <w:color w:val="auto"/>
              </w:rPr>
            </w:pPr>
          </w:p>
        </w:tc>
        <w:tc>
          <w:tcPr>
            <w:tcW w:w="720" w:type="dxa"/>
            <w:vAlign w:val="bottom"/>
            <w:tcBorders>
              <w:right w:val="single" w:sz="8" w:color="auto"/>
            </w:tcBorders>
          </w:tcPr>
          <w:p>
            <w:pPr>
              <w:jc w:val="right"/>
              <w:ind w:right="157"/>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5"/>
                <w:szCs w:val="15"/>
                <w:color w:val="auto"/>
              </w:rPr>
            </w:pPr>
          </w:p>
        </w:tc>
        <w:tc>
          <w:tcPr>
            <w:tcW w:w="76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interests</w:t>
            </w:r>
          </w:p>
        </w:tc>
        <w:tc>
          <w:tcPr>
            <w:tcW w:w="700" w:type="dxa"/>
            <w:vAlign w:val="bottom"/>
            <w:gridSpan w:val="4"/>
          </w:tcPr>
          <w:p>
            <w:pPr>
              <w:jc w:val="center"/>
              <w:ind w:right="4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96"/>
        </w:trPr>
        <w:tc>
          <w:tcPr>
            <w:tcW w:w="9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2021, as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previously</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30,210</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47,592</w:t>
            </w:r>
          </w:p>
        </w:tc>
        <w:tc>
          <w:tcPr>
            <w:tcW w:w="860" w:type="dxa"/>
            <w:vAlign w:val="bottom"/>
            <w:gridSpan w:val="4"/>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15,967</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64,747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60" w:type="dxa"/>
            <w:vAlign w:val="bottom"/>
            <w:gridSpan w:val="4"/>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060" w:type="dxa"/>
            <w:vAlign w:val="bottom"/>
            <w:gridSpan w:val="3"/>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Retroactive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application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00" w:type="dxa"/>
            <w:vAlign w:val="bottom"/>
            <w:gridSpan w:val="11"/>
          </w:tcPr>
          <w:p>
            <w:pPr>
              <w:ind w:left="140"/>
              <w:spacing w:after="0"/>
              <w:rPr>
                <w:sz w:val="20"/>
                <w:szCs w:val="20"/>
                <w:color w:val="auto"/>
              </w:rPr>
            </w:pPr>
            <w:r>
              <w:rPr>
                <w:rFonts w:ascii="Times New Roman" w:cs="Times New Roman" w:eastAsia="Times New Roman" w:hAnsi="Times New Roman"/>
                <w:sz w:val="13"/>
                <w:szCs w:val="13"/>
                <w:color w:val="auto"/>
              </w:rPr>
              <w:t>recapitalization  (300,000)  (30,210)  (1,000)  (47,592)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(15,967)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9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b w:val="1"/>
                <w:bCs w:val="1"/>
                <w:color w:val="auto"/>
              </w:rPr>
              <w:t>2021, as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63,545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Borders>
              <w:top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(242)</w:t>
            </w:r>
          </w:p>
        </w:tc>
        <w:tc>
          <w:tcPr>
            <w:tcW w:w="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(4,225)</w:t>
            </w:r>
          </w:p>
        </w:tc>
        <w:tc>
          <w:tcPr>
            <w:tcW w:w="40" w:type="dxa"/>
            <w:vAlign w:val="bottom"/>
            <w:tcBorders>
              <w:top w:val="single" w:sz="8" w:color="CCEEFF"/>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Proceeds</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5,738</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Amortization 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payment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acquire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Issuance of</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interest, net of</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17"/>
        </w:trPr>
        <w:tc>
          <w:tcPr>
            <w:tcW w:w="960" w:type="dxa"/>
            <w:vAlign w:val="bottom"/>
            <w:tcBorders>
              <w:top w:val="single" w:sz="8" w:color="CCEEFF"/>
              <w:bottom w:val="single" w:sz="8" w:color="CCEEFF"/>
            </w:tcBorders>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March 31, 2022</w:t>
            </w: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Borders>
              <w:top w:val="single" w:sz="8" w:color="CCEEFF"/>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6,684</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6,698</w:t>
            </w:r>
          </w:p>
        </w:tc>
        <w:tc>
          <w:tcPr>
            <w:tcW w:w="4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55,927</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color w:val="auto"/>
              </w:rPr>
              <w:t>58,310</w:t>
            </w:r>
          </w:p>
        </w:tc>
        <w:tc>
          <w:tcPr>
            <w:tcW w:w="2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jc w:val="right"/>
              <w:ind w:right="17"/>
              <w:spacing w:after="0" w:line="130" w:lineRule="exact"/>
              <w:rPr>
                <w:sz w:val="20"/>
                <w:szCs w:val="20"/>
                <w:color w:val="auto"/>
              </w:rPr>
            </w:pPr>
            <w:r>
              <w:rPr>
                <w:rFonts w:ascii="Times New Roman" w:cs="Times New Roman" w:eastAsia="Times New Roman" w:hAnsi="Times New Roman"/>
                <w:sz w:val="13"/>
                <w:szCs w:val="13"/>
                <w:color w:val="auto"/>
              </w:rPr>
              <w:t>(257)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(85)</w:t>
            </w:r>
          </w:p>
        </w:tc>
        <w:tc>
          <w:tcPr>
            <w:tcW w:w="4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Proceeds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11,211</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11,211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Amortization on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payment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acquire 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Redeemable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interest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w w:val="99"/>
              </w:rPr>
              <w:t>issuance,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1"/>
                <w:szCs w:val="11"/>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costs</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0" w:type="dxa"/>
            <w:vAlign w:val="bottom"/>
          </w:tcPr>
          <w:p>
            <w:pPr>
              <w:spacing w:after="0"/>
              <w:rPr>
                <w:sz w:val="1"/>
                <w:szCs w:val="1"/>
                <w:color w:val="auto"/>
              </w:rPr>
            </w:pPr>
          </w:p>
        </w:tc>
      </w:tr>
      <w:tr>
        <w:trPr>
          <w:trHeight w:val="150"/>
        </w:trPr>
        <w:tc>
          <w:tcPr>
            <w:tcW w:w="9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5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ind w:left="2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17,638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17"/>
              <w:spacing w:after="0" w:line="130" w:lineRule="exact"/>
              <w:rPr>
                <w:sz w:val="20"/>
                <w:szCs w:val="20"/>
                <w:color w:val="auto"/>
              </w:rPr>
            </w:pPr>
            <w:r>
              <w:rPr>
                <w:rFonts w:ascii="Times New Roman" w:cs="Times New Roman" w:eastAsia="Times New Roman" w:hAnsi="Times New Roman"/>
                <w:sz w:val="13"/>
                <w:szCs w:val="13"/>
                <w:color w:val="auto"/>
              </w:rPr>
              <w:t>17,652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132,645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56,622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ind w:left="2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(815)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jc w:val="right"/>
              <w:ind w:right="17"/>
              <w:spacing w:after="0" w:line="114" w:lineRule="exact"/>
              <w:rPr>
                <w:sz w:val="20"/>
                <w:szCs w:val="20"/>
                <w:color w:val="auto"/>
              </w:rPr>
            </w:pPr>
            <w:r>
              <w:rPr>
                <w:rFonts w:ascii="Times New Roman" w:cs="Times New Roman" w:eastAsia="Times New Roman" w:hAnsi="Times New Roman"/>
                <w:sz w:val="13"/>
                <w:szCs w:val="13"/>
                <w:color w:val="auto"/>
              </w:rPr>
              <w:t>(1,140)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6,509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Unrealized gain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on cash flow</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1,011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hedges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Issuance of</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from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reverse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w w:val="99"/>
              </w:rPr>
              <w:t>recapitalization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and PIPE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Investments,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net of warrant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liability, put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option and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earnout</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9"/>
              </w:rPr>
              <w:t>22,611,857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68,255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68,257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liability</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Conversion of</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Convertible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Note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Payable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common</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3,059,533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30,595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30,595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Change in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redemption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value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(95,711)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(1,065,012)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(1,160,723)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1,160,723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interests</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Proceeds from</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(3,158)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9,361</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6,203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Stock-based</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Paid-in-kind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3"/>
                <w:szCs w:val="13"/>
                <w:color w:val="auto"/>
              </w:rPr>
              <w:t>preferred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2,658</w:t>
            </w:r>
          </w:p>
        </w:tc>
        <w:tc>
          <w:tcPr>
            <w:tcW w:w="1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(2,348)</w:t>
            </w:r>
          </w:p>
        </w:tc>
        <w:tc>
          <w:tcPr>
            <w:tcW w:w="0" w:type="dxa"/>
            <w:vAlign w:val="bottom"/>
          </w:tcPr>
          <w:p>
            <w:pPr>
              <w:spacing w:after="0"/>
              <w:rPr>
                <w:sz w:val="1"/>
                <w:szCs w:val="1"/>
                <w:color w:val="auto"/>
              </w:rPr>
            </w:pPr>
          </w:p>
        </w:tc>
      </w:tr>
      <w:tr>
        <w:trPr>
          <w:trHeight w:val="80"/>
        </w:trPr>
        <w:tc>
          <w:tcPr>
            <w:tcW w:w="960" w:type="dxa"/>
            <w:vAlign w:val="bottom"/>
            <w:tcBorders>
              <w:top w:val="single" w:sz="8" w:color="CCEEFF"/>
            </w:tcBorders>
          </w:tcPr>
          <w:p>
            <w:pPr>
              <w:spacing w:after="0" w:line="80"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right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25,671,390</w:t>
            </w:r>
          </w:p>
        </w:tc>
        <w:tc>
          <w:tcPr>
            <w:tcW w:w="2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144,399,037</w:t>
            </w:r>
          </w:p>
        </w:tc>
        <w:tc>
          <w:tcPr>
            <w:tcW w:w="320" w:type="dxa"/>
            <w:vAlign w:val="bottom"/>
          </w:tcPr>
          <w:p>
            <w:pPr>
              <w:jc w:val="right"/>
              <w:ind w:right="202"/>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14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ind w:right="40"/>
              <w:spacing w:after="0" w:line="188" w:lineRule="exact"/>
              <w:rPr>
                <w:sz w:val="20"/>
                <w:szCs w:val="20"/>
                <w:color w:val="auto"/>
              </w:rPr>
            </w:pPr>
            <w:r>
              <w:rPr>
                <w:rFonts w:ascii="Times New Roman" w:cs="Times New Roman" w:eastAsia="Times New Roman" w:hAnsi="Times New Roman"/>
                <w:sz w:val="11"/>
                <w:szCs w:val="11"/>
                <w:color w:val="auto"/>
              </w:rPr>
              <w:t>(1,066,137</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26,674</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spacing w:after="0" w:line="188" w:lineRule="exact"/>
              <w:rPr>
                <w:sz w:val="20"/>
                <w:szCs w:val="20"/>
                <w:color w:val="auto"/>
              </w:rPr>
            </w:pPr>
            <w:r>
              <w:rPr>
                <w:rFonts w:ascii="Times New Roman" w:cs="Times New Roman" w:eastAsia="Times New Roman" w:hAnsi="Times New Roman"/>
                <w:sz w:val="11"/>
                <w:szCs w:val="11"/>
                <w:color w:val="auto"/>
              </w:rPr>
              <w:t>(1,039,269</w:t>
            </w:r>
            <w:r>
              <w:rPr>
                <w:rFonts w:ascii="Times New Roman" w:cs="Times New Roman" w:eastAsia="Times New Roman" w:hAnsi="Times New Roman"/>
                <w:sz w:val="21"/>
                <w:szCs w:val="21"/>
                <w:color w:val="auto"/>
                <w:vertAlign w:val="superscript"/>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135,303</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1,222,657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4" w:orient="portrait"/>
          <w:cols w:equalWidth="0" w:num="1">
            <w:col w:w="11340"/>
          </w:cols>
          <w:pgMar w:left="320" w:top="782" w:right="23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3260" w:type="dxa"/>
            <w:vAlign w:val="bottom"/>
          </w:tcPr>
          <w:p>
            <w:pPr>
              <w:spacing w:after="0"/>
              <w:rPr>
                <w:sz w:val="3"/>
                <w:szCs w:val="3"/>
                <w:color w:val="auto"/>
              </w:rPr>
            </w:pPr>
          </w:p>
        </w:tc>
        <w:tc>
          <w:tcPr>
            <w:tcW w:w="1800" w:type="dxa"/>
            <w:vAlign w:val="bottom"/>
            <w:gridSpan w:val="6"/>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Legacy Common Units</w:t>
            </w:r>
          </w:p>
        </w:tc>
        <w:tc>
          <w:tcPr>
            <w:tcW w:w="200" w:type="dxa"/>
            <w:vAlign w:val="bottom"/>
            <w:vMerge w:val="restart"/>
          </w:tcPr>
          <w:p>
            <w:pPr>
              <w:spacing w:after="0"/>
              <w:rPr>
                <w:sz w:val="3"/>
                <w:szCs w:val="3"/>
                <w:color w:val="auto"/>
              </w:rPr>
            </w:pPr>
          </w:p>
        </w:tc>
        <w:tc>
          <w:tcPr>
            <w:tcW w:w="162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Class D common stock</w:t>
            </w: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Non-redeemable</w:t>
            </w:r>
          </w:p>
        </w:tc>
        <w:tc>
          <w:tcPr>
            <w:tcW w:w="120" w:type="dxa"/>
            <w:vAlign w:val="bottom"/>
          </w:tcPr>
          <w:p>
            <w:pPr>
              <w:spacing w:after="0"/>
              <w:rPr>
                <w:sz w:val="3"/>
                <w:szCs w:val="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Redeemable</w:t>
            </w: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1800" w:type="dxa"/>
            <w:vAlign w:val="bottom"/>
            <w:gridSpan w:val="6"/>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800" w:type="dxa"/>
            <w:vAlign w:val="bottom"/>
            <w:tcBorders>
              <w:bottom w:val="single" w:sz="8" w:color="auto"/>
            </w:tcBorders>
            <w:gridSpan w:val="6"/>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0"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80" w:type="dxa"/>
            <w:vAlign w:val="bottom"/>
            <w:gridSpan w:val="3"/>
          </w:tcPr>
          <w:p>
            <w:pPr>
              <w:jc w:val="center"/>
              <w:ind w:right="100"/>
              <w:spacing w:after="0" w:line="140"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130"/>
        </w:trPr>
        <w:tc>
          <w:tcPr>
            <w:tcW w:w="326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December 31, 2020, as previously reported</w:t>
            </w: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986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49,170</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(25,396)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30,459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(986)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(49,170)</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25,396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(23,760)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December 31, 2020, as adjusted</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6,685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6,699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23,760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(88)</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(427)</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6,223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6,223</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3,808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1,766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Distributions to redeemable non-controlling interests</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(2,103)</w:t>
            </w: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March 31, 2021</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12,820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12,834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26,964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18,802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5,171</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5,171</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5,756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Distributions to redeemable non-controlling interests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45"/>
        </w:trPr>
        <w:tc>
          <w:tcPr>
            <w:tcW w:w="38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142,377,450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17,881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17,895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50,090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260" w:type="dxa"/>
            <w:vAlign w:val="bottom"/>
          </w:tcPr>
          <w:p>
            <w:pPr>
              <w:spacing w:after="0" w:line="114"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9"/>
                <w:szCs w:val="9"/>
                <w:color w:val="auto"/>
              </w:rPr>
            </w:pPr>
          </w:p>
        </w:tc>
        <w:tc>
          <w:tcPr>
            <w:tcW w:w="7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560"/>
              <w:spacing w:after="0" w:line="114"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(216)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color w:val="auto"/>
              </w:rPr>
              <w:t>989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Issuance of non-redeemable non-controlling interest</w:t>
            </w:r>
          </w:p>
        </w:tc>
        <w:tc>
          <w:tcPr>
            <w:tcW w:w="36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27,545</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27,545</w:t>
            </w: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(4,523)</w:t>
            </w: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Contributions from redeemable non-controlling interests</w:t>
            </w:r>
          </w:p>
        </w:tc>
        <w:tc>
          <w:tcPr>
            <w:tcW w:w="36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5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September 30, 2021</w:t>
            </w: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142,377,450</w:t>
            </w:r>
          </w:p>
        </w:tc>
        <w:tc>
          <w:tcPr>
            <w:tcW w:w="840" w:type="dxa"/>
            <w:vAlign w:val="bottom"/>
            <w:gridSpan w:val="2"/>
          </w:tcPr>
          <w:p>
            <w:pPr>
              <w:jc w:val="right"/>
              <w:ind w:right="502"/>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w w:val="76"/>
              </w:rPr>
              <w:t>14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5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color w:val="auto"/>
              </w:rPr>
              <w:t>45,210</w:t>
            </w: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color w:val="auto"/>
              </w:rPr>
              <w:t>45,224</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47,112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53"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(Restated)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560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18,950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9,581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PPA liability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 Payable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extinguishment of contingent liability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(4,362)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repayment of Note receivable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businesses acquired: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(11,269)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received on previously recorded paid-in-kind interest income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Brown gas and parts inventory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(3,520)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(6,192)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(6,734)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6,970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tax credits payable</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payroll</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(2,386)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8,561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7"/>
                <w:szCs w:val="17"/>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(3,035)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(84,949)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acquired on acquisition of equity method investment</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short term investments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(146,936)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investment in other entity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Note receivable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received from repayment of Note receivable</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(218,930</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(69,763</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Sunoma loan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4,593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14,191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27,500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received from Business Combination</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138,850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(8,462)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OPAL Term Loan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(11,277)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240" w:type="dxa"/>
            <w:vAlign w:val="bottom"/>
          </w:tcPr>
          <w:p>
            <w:pPr>
              <w:spacing w:after="0"/>
              <w:rPr>
                <w:sz w:val="16"/>
                <w:szCs w:val="16"/>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non-redeemable non-controlling interest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23,152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non-controlling interest, related party</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16,645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redeemable preferred units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members</w:t>
            </w:r>
          </w:p>
        </w:tc>
        <w:tc>
          <w:tcPr>
            <w:tcW w:w="240" w:type="dxa"/>
            <w:vAlign w:val="bottom"/>
          </w:tcPr>
          <w:p>
            <w:pPr>
              <w:spacing w:after="0"/>
              <w:rPr>
                <w:sz w:val="16"/>
                <w:szCs w:val="16"/>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7,919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members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270,525</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52,729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42,054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15,388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27,251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 net of $— and $531 capitalized, respectively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7,013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Convertible Note Payable related to business acquisition, excluding paid-in-kind interest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55,410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Class A common stock issued for redemption of Convertible Note Payable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30,595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Derivative warrant liabilities assumed related to Business Combination</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13,524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Earnout liabilities related to Business Combination</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45,900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put option on a forward purchase agreement related to Business Combination</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4,600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contingent consideration to redeem the non-controlling interest included in other long-term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 on redeemable preferred non-controlling interests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5,093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Accrual for purchase of Property, plant and equipment included in Accounts payable and Accrued capital expenses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9,284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for deferred financing costs included in Accrued expenses and other current liabilities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80"/>
          </w:cols>
          <w:pgMar w:left="300" w:top="783" w:right="319" w:bottom="5"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20955</wp:posOffset>
            </wp:positionV>
            <wp:extent cx="714946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color w:val="auto"/>
        </w:rPr>
        <w:t>1. Organization and Description of Business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64" w:lineRule="exact"/>
        <w:rPr>
          <w:sz w:val="20"/>
          <w:szCs w:val="20"/>
          <w:color w:val="auto"/>
        </w:rPr>
      </w:pPr>
    </w:p>
    <w:p>
      <w:pPr>
        <w:jc w:val="both"/>
        <w:ind w:firstLine="283"/>
        <w:spacing w:after="0" w:line="310" w:lineRule="auto"/>
        <w:rPr>
          <w:sz w:val="20"/>
          <w:szCs w:val="20"/>
          <w:color w:val="auto"/>
        </w:rPr>
      </w:pPr>
      <w:r>
        <w:rPr>
          <w:rFonts w:ascii="Times New Roman" w:cs="Times New Roman" w:eastAsia="Times New Roman" w:hAnsi="Times New Roman"/>
          <w:sz w:val="15"/>
          <w:szCs w:val="15"/>
          <w:color w:val="auto"/>
        </w:rPr>
        <w:t>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2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December 2, 2021, the Company, OPAL HoldCo LLC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spacing w:after="0" w:line="164"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amounts in these footnotes are presented in thousands of dollars except per share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COVID-19 Impact</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and nine months ended September 30, 2022.</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September 30, 2022, our liquidity consisted of cash and cash equivalents including restricted cash of $71,360 and short term investments of $146,936.</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we had total indebtedness excluding the deferred financing costs of $219,987 which primarily consisted of $77,679 under the Senior Secured Credit Facility, $27,964 under the Convertible Note Payable, $91,223 under the OPAL Term Loan, $121 under the Municipality loan, and $23,000 under the Sunoma Loan. The amount outstanding under the Senior Secured Credit Facility is due to be repaid in December 2022 and therefore has been classified as a current liability.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62" w:name="page163"/>
    <w:bookmarkEnd w:id="162"/>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August 2022, we entered into a delayed draw term loan facility for $105,000 to fund the construction of new RNG facilities which is available for us to drawdown upon achievement of certain milestones. In July 2022, we received a redemption notice from Biotown Bio Gas LLC (“Biotown”) for the Note receivable and the Company subsequently received $11,555 consisting of the principal balance $10,915, prepayment penalty of $546 and accrued interest of $94. Additionally, we have drawn $12,500 in September 2022 and $12,500 in October 2022 under the OPAL Term Loan following the commencement of operations of two additional RNG facilities. We entered into an amendment to the OPAL Term Loan to extend the commitment date to March 2023 for the remaining $10,000.</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following the date of this report.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To fuel future growth, we anticipate seeking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on a going concern basis, which contemplates the realization of assets and the satisfaction of liabilities in the normal course of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condensed consolidated statements of operations for the nine months ended September 30, 2021 and condensed consolidated statements of changes in Redeemable non-controlling interest, Redeemable preferred non-controlling interests and stockholders’ equity as of September 30, 2021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commodity swap contracts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10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for additional information.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Additionally, the Company entered into another commodity swap contract for a notional quantity of 26,280 MWh at 3 MWh per hour for one year - 2022. Please see Note 10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for additional information.</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recorded $169 of realized gain on the above swap arrangements as part of Revenues in its consolidated statements of operations for the nine months ended September 30, 2021. The Company previously reported this gain as part of Revenues in the condensed consolidated statement of operations but the gain was not properly disclosed in the notes to the financial statements.</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Company concluded that these two contracts were economic hedges against market price volatility and are considered as derivatives under ASC 815 Derivatives and Hedging, which required the Company to record mark to market unrealized gain (loss) in its condensed consolidated statements of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63" w:name="page164"/>
    <w:bookmarkEnd w:id="163"/>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did not record an unrealized loss of $2,824 for the nine months ended September 30, 2021. Therefore, the Company restated its Revenues - RNG Fuel by $2,824 for the nine months ended September 30,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taxes collected on behalf of customers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collects federal and state taxes on its revenues generated from customers in our RNG Fuel segment and remits the same to the government subsequently. The Company concluded that these taxes should be presented on a net basis in Revenues-RNG fuel in its condensed consolidated statements of operations. Therefore, the Company restated its revenues and cost of sales by $1,140 for the nine months ended September 30, 2021. This adjustment did not have any impact on net income reported for the nine months ended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These unaudited condensed consolidated financial statements are prepared in accordance with generally accepted accounting principles in the United States (“U.S. GAAP”) for interim financial information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Beacon RNG LLC (“Beacon”), Central Valley LLC (“Central Valley”), Fortistar Contracting LLC, Fortistar RNG LLC, and OPAL Fuel station services LLC (“Fuel station services”).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equity in the condensed consolidated balance sheets and as a non-redeemable non-controlling interests in the condensed consolidated statements of changes in redeemable non-controlling interests, redeemable preferred non-controlling interests and Stockholders’ equity.</w:t>
      </w:r>
    </w:p>
    <w:p>
      <w:pPr>
        <w:spacing w:after="0" w:line="165"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The accompanying condensed consolidated financial statements reflect the activities of the Company, its subsidiaries, and its equity method investments for the nine months ended September 30, 2022 and 2021. Investments in unconsolidated entities in which the Company can influence the operating or financial decisions are accounted for under the equity method. As of September 30, 2022 and December 31,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Please see Note 4.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for additional information.</w:t>
      </w:r>
    </w:p>
    <w:p>
      <w:pPr>
        <w:spacing w:after="0" w:line="16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Current Report on Form 8K, which was filed with SEC on July 27, 2022. In the opinion of management, the accompanying unaudited condensed financial statements include all adjustments, consisting of a normal recurring nature, which are necessary for a fair statement of the financial position, operating results, and cash flows for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for additional information.</w:t>
      </w:r>
    </w:p>
    <w:p>
      <w:pPr>
        <w:spacing w:after="0" w:line="17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the fair value of the Convertible Note Payable (as defined below), the impairment assessment of goodwill, and the fair value of derivative instruments. Actual results could differ from those estimates.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results of operations for the interim periods presented are not necessarily indicative of the results that may be expected for the entire year.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64" w:name="page165"/>
    <w:bookmarkEnd w:id="164"/>
    <w:p>
      <w:pPr>
        <w:ind w:left="5"/>
        <w:spacing w:after="0"/>
        <w:rPr>
          <w:sz w:val="20"/>
          <w:szCs w:val="20"/>
          <w:color w:val="auto"/>
        </w:rPr>
      </w:pPr>
      <w:r>
        <w:rPr>
          <w:rFonts w:ascii="Times New Roman" w:cs="Times New Roman" w:eastAsia="Times New Roman" w:hAnsi="Times New Roman"/>
          <w:sz w:val="16"/>
          <w:szCs w:val="16"/>
          <w:b w:val="1"/>
          <w:bCs w:val="1"/>
          <w:color w:val="auto"/>
        </w:rPr>
        <w:t>Accounting Pronouncements</w:t>
      </w:r>
    </w:p>
    <w:p>
      <w:pPr>
        <w:spacing w:after="0" w:line="194" w:lineRule="exact"/>
        <w:rPr>
          <w:sz w:val="20"/>
          <w:szCs w:val="20"/>
          <w:color w:val="auto"/>
        </w:rPr>
      </w:pPr>
    </w:p>
    <w:p>
      <w:pPr>
        <w:jc w:val="both"/>
        <w:ind w:left="5" w:firstLine="567"/>
        <w:spacing w:after="0" w:line="251" w:lineRule="auto"/>
        <w:rPr>
          <w:sz w:val="20"/>
          <w:szCs w:val="20"/>
          <w:color w:val="auto"/>
        </w:rPr>
      </w:pPr>
      <w:r>
        <w:rPr>
          <w:rFonts w:ascii="Times New Roman" w:cs="Times New Roman" w:eastAsia="Times New Roman" w:hAnsi="Times New Roman"/>
          <w:sz w:val="16"/>
          <w:szCs w:val="16"/>
          <w:color w:val="auto"/>
        </w:rPr>
        <w:t xml:space="preserve">In June 2022, the FASB issued Accounting Standards Update (“ASU”) 2022-03, </w:t>
      </w:r>
      <w:r>
        <w:rPr>
          <w:rFonts w:ascii="Times New Roman" w:cs="Times New Roman" w:eastAsia="Times New Roman" w:hAnsi="Times New Roman"/>
          <w:sz w:val="16"/>
          <w:szCs w:val="16"/>
          <w:i w:val="1"/>
          <w:iCs w:val="1"/>
          <w:color w:val="auto"/>
        </w:rPr>
        <w:t>Fair Value Measurement of Equity Securities Subject to Contractual Sale Restrictions</w:t>
      </w:r>
      <w:r>
        <w:rPr>
          <w:rFonts w:ascii="Times New Roman" w:cs="Times New Roman" w:eastAsia="Times New Roman" w:hAnsi="Times New Roman"/>
          <w:sz w:val="16"/>
          <w:szCs w:val="16"/>
          <w:color w:val="auto"/>
        </w:rPr>
        <w:t xml:space="preserve"> 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67"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For companies filing under emerging growth company status and private not-for-profits, the leasing standard will be effective for fiscal years beginning after December 15, 2021. The Company is currently evaluating all of its contracts and expects to record right-of-use assets and corresponding liabilities on its consolidated balance sheet as of December 31, 2022 for its vehicle leases and office lease.</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ectPr>
          <w:pgSz w:w="11900" w:h="16838" w:orient="portrait"/>
          <w:cols w:equalWidth="0" w:num="1">
            <w:col w:w="11265"/>
          </w:cols>
          <w:pgMar w:left="315" w:top="782" w:right="319" w:bottom="1440" w:gutter="0" w:footer="0" w:header="0"/>
        </w:sectPr>
      </w:pP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Cash, cash equivalents, and restricted cash consisted of the following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Cash and cash equivalents</w:t>
      </w:r>
    </w:p>
    <w:p>
      <w:pPr>
        <w:ind w:left="5"/>
        <w:spacing w:after="0" w:line="184" w:lineRule="auto"/>
        <w:rPr>
          <w:sz w:val="20"/>
          <w:szCs w:val="20"/>
          <w:color w:val="auto"/>
        </w:rPr>
      </w:pPr>
      <w:r>
        <w:rPr>
          <w:rFonts w:ascii="Times New Roman" w:cs="Times New Roman" w:eastAsia="Times New Roman" w:hAnsi="Times New Roman"/>
          <w:sz w:val="16"/>
          <w:szCs w:val="16"/>
          <w:color w:val="auto"/>
        </w:rPr>
        <w:t xml:space="preserve">Restricted cash - current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6"/>
          <w:szCs w:val="16"/>
          <w:color w:val="auto"/>
        </w:rPr>
        <w:t>Long-term assets:</w:t>
      </w:r>
    </w:p>
    <w:p>
      <w:pPr>
        <w:ind w:left="125"/>
        <w:spacing w:after="0" w:line="203" w:lineRule="auto"/>
        <w:rPr>
          <w:sz w:val="20"/>
          <w:szCs w:val="20"/>
          <w:color w:val="auto"/>
        </w:rPr>
      </w:pPr>
      <w:r>
        <w:rPr>
          <w:rFonts w:ascii="Times New Roman" w:cs="Times New Roman" w:eastAsia="Times New Roman" w:hAnsi="Times New Roman"/>
          <w:sz w:val="16"/>
          <w:szCs w:val="16"/>
          <w:color w:val="auto"/>
        </w:rPr>
        <w:t xml:space="preserve">Restricted cash held as collateral </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57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79"/>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25,286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39,314</w:t>
            </w:r>
          </w:p>
        </w:tc>
      </w:tr>
      <w:tr>
        <w:trPr>
          <w:trHeight w:val="224"/>
        </w:trPr>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41,419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28"/>
        </w:trPr>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w:t>
            </w: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71,360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42,054</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7965" w:space="720"/>
            <w:col w:w="2580"/>
          </w:cols>
          <w:pgMar w:left="315" w:top="782" w:right="319" w:bottom="1440" w:gutter="0" w:footer="0" w:header="0"/>
          <w:type w:val="continuous"/>
        </w:sectPr>
      </w:pPr>
    </w:p>
    <w:p>
      <w:pPr>
        <w:jc w:val="both"/>
        <w:ind w:left="285" w:hanging="285"/>
        <w:spacing w:after="0" w:line="210" w:lineRule="auto"/>
        <w:tabs>
          <w:tab w:leader="none" w:pos="285"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Restricted cash - current primarily consists of (i) $20,100 held in escrow to secure the Company’s purchase obligations under the forward purchase agreement with Meteora (See Note.3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 (ii) $5,800 equity contribution to a joint venture in connection with the closing of OPAL Term Loan II (iii) $1,778 relates to interest reserve on Sunoma Loan and (iv) $13,700 held in a restricted account for funding one of our RNG projects.</w:t>
      </w:r>
    </w:p>
    <w:p>
      <w:pPr>
        <w:spacing w:after="0" w:line="68" w:lineRule="exact"/>
        <w:rPr>
          <w:rFonts w:ascii="Times New Roman" w:cs="Times New Roman" w:eastAsia="Times New Roman" w:hAnsi="Times New Roman"/>
          <w:sz w:val="26"/>
          <w:szCs w:val="26"/>
          <w:color w:val="auto"/>
          <w:vertAlign w:val="superscript"/>
        </w:rPr>
      </w:pPr>
    </w:p>
    <w:p>
      <w:pPr>
        <w:ind w:left="285" w:hanging="285"/>
        <w:spacing w:after="0"/>
        <w:tabs>
          <w:tab w:leader="none" w:pos="285"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Restricted cash held as collateral represents the collateral requirements on our debt facilities.</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color w:val="auto"/>
        </w:rPr>
        <w:t>Short term investments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considers highly liquid investments such as time deposits and certificates of deposit with an original maturity greater than three months at the time of purchase to be short term investments. The Short term investments of $146,936 consists of cash received upon closing of the Business Combination invested in money market accounts with maturities ranging between 1 and 12 months as of September 30, 2022. The amounts in these money market accounts are liquid and available for general 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costs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Transaction costs consists of direct legal, consulting, audit and other fees related to the consummation of the Business Combination. These costs were initially capitalized as incurred and recorded as Deferred financing costs in the condensed consolidated balance sheet. Upon the completion of the Business Combination, transaction costs directly related to the issuance of shares were recognized as an offset to additional paid-in capital within the condensed consolidated statements of changes in redeemable non-controlling interest, redeemable preferred non-controlling interest and stockholders’ equity. The Company incurred $8,299 in transaction costs consisting of legal and professional fees, which were recorded as an offset to additional paid-in capital.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warrant liabilities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assumed publicly-traded warrants (the “Public Warrants”) and private warrants (the “Private Warrants”) upon the completion of the Business Combination. The Company accounts for warrants for shares of the Company’s stock that are not indexed to its own stock as liabilities at fair value on the condensed consolidated balance sheet. The warrants are remeasured at each balance sheet date and any change in fair value is recognized in the Company’s condensed consolidated statement of operations as part of change in fair value of derivative instruments,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Earnout Awards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Put option on forward purchase agreement</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with the change in the fair market value recognized in the statement of operations as part of change in fair value of derivative instruments, net. See Note.3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color w:val="auto"/>
        </w:rPr>
        <w:t>Redeemable non-controlling interests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At each balance sheet date, the mezzanine equity classified Redeemable non-controlling interests is adjusted up to their maximum redemption value if necessary, with an offset in Stockholders’ equity. As of September 30, 2022, the Company recorded an adjustment of $1,160,723.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Accordingly, for accounting purposes, the transaction is treated as the equivalent of OPAL Fuels issuing stock for the net assets of ArcLight,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accompanied by a recapitalization.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Company’s basic earnings per share of Class A common stock is computed based on the average number of outstanding shares of Class A common stock for the period.</w:t>
      </w:r>
    </w:p>
    <w:p>
      <w:pPr>
        <w:spacing w:after="0" w:line="206" w:lineRule="exact"/>
        <w:rPr>
          <w:sz w:val="20"/>
          <w:szCs w:val="20"/>
          <w:color w:val="auto"/>
        </w:rPr>
      </w:pPr>
    </w:p>
    <w:p>
      <w:pPr>
        <w:jc w:val="both"/>
        <w:ind w:right="20" w:firstLine="283"/>
        <w:spacing w:after="0" w:line="310" w:lineRule="auto"/>
        <w:rPr>
          <w:sz w:val="20"/>
          <w:szCs w:val="20"/>
          <w:color w:val="auto"/>
        </w:rPr>
      </w:pPr>
      <w:r>
        <w:rPr>
          <w:rFonts w:ascii="Times New Roman" w:cs="Times New Roman" w:eastAsia="Times New Roman" w:hAnsi="Times New Roman"/>
          <w:sz w:val="15"/>
          <w:szCs w:val="15"/>
          <w:color w:val="auto"/>
        </w:rPr>
        <w:t>The Company’s diluted earnings per share includes effects of the Company’s outstanding Redeemable non-controlling interests (OPAL Fuels Class B units), the put option a forward purchase agreement, redeemable preferred non-controlling interests, Sponsor Earnout Awards, OPAL Earnout Awards, Private Warrants and Public 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allowance for doubtful accounts was $100 and $— at September 30, 2022 and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4"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asset retirement obligations in accordance with FASB ASC 410, </w:t>
      </w:r>
      <w:r>
        <w:rPr>
          <w:rFonts w:ascii="Times New Roman" w:cs="Times New Roman" w:eastAsia="Times New Roman" w:hAnsi="Times New Roman"/>
          <w:sz w:val="16"/>
          <w:szCs w:val="16"/>
          <w:i w:val="1"/>
          <w:iCs w:val="1"/>
          <w:color w:val="auto"/>
        </w:rPr>
        <w:t>Asset Retirement and Environmental Obligations,</w:t>
      </w:r>
      <w:r>
        <w:rPr>
          <w:rFonts w:ascii="Times New Roman" w:cs="Times New Roman" w:eastAsia="Times New Roman" w:hAnsi="Times New Roman"/>
          <w:sz w:val="16"/>
          <w:szCs w:val="16"/>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67" w:name="page168"/>
    <w:bookmarkEnd w:id="167"/>
    <w:p>
      <w:pPr>
        <w:ind w:left="28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 estimated the value of its total asset retirement obligations to be $5,968 and $5,738, respectively.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changes in the asset retirement obligations were as follows as of September 30,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r>
      <w:tr>
        <w:trPr>
          <w:trHeight w:val="211"/>
        </w:trPr>
        <w:tc>
          <w:tcPr>
            <w:tcW w:w="10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Total asset retirement obligation</w:t>
            </w: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5,968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10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 retirement obligation, net of current portion</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2022, the Company earned net revenues after discount and fees of $19,335 and $49,023, respectively under this contract which was recorded as part of Revenues - RNG fuel.</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68" w:name="page169"/>
    <w:bookmarkEnd w:id="168"/>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56"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the Company has concluded these agreements meet the criteria for a lease and are classified as operating leases. Typically, these agreements do not require any minimum consumption amounts and, therefore, no minimum payments. Included in “RNG fuel” revenues are $856 and $1,906 related to the lease portion of these agreements for the three and nine months ended September 30, 2022. The lease revenues included in Revenues - RNG fuel for the three and nine months ended September 30, 2021 were $694 and $1,644, respectively. In addition, the Company has assessed all power purchase agreements (“PPAs”) and concluded that certain PPAs contain a lease element requiring lease accounting. Included in “Renewable power” revenues are $384 and $1,014 related to the lease element of these PPAs for the three and nine months ended September 30, 2022. For the three and nine months ended September 30, 2021, the lease revenues from the PPAs included in “Renewable power” revenues were $765 and $1,642,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shows the disaggregation of revenue according to product line: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7"/>
                <w:szCs w:val="17"/>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sales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28,162</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Third party construction</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18,660</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23,348</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3,480</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11,674</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Brown gas sales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12,430</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7,836</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19,649</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58,444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25,198</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Parts sales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1,355</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532</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agreements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2,433</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2,499</w:t>
            </w:r>
          </w:p>
        </w:tc>
      </w:tr>
      <w:tr>
        <w:trPr>
          <w:trHeight w:val="209"/>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59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Lease revenue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1,240</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1,459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2,920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3,286</w:t>
            </w:r>
          </w:p>
        </w:tc>
        <w:tc>
          <w:tcPr>
            <w:tcW w:w="120" w:type="dxa"/>
            <w:vAlign w:val="bottom"/>
            <w:tcBorders>
              <w:bottom w:val="single" w:sz="8" w:color="CCEEFF"/>
            </w:tcBorders>
          </w:tcPr>
          <w:p>
            <w:pPr>
              <w:spacing w:after="0"/>
              <w:rPr>
                <w:sz w:val="15"/>
                <w:szCs w:val="15"/>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66,550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47,184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168,814</w:t>
            </w:r>
          </w:p>
        </w:tc>
        <w:tc>
          <w:tcPr>
            <w:tcW w:w="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For the three and nine months ended September 30, 2022, 28% and 24.6%, respectively of revenue was recognized over time, and the remainder was for products and services transferred at a point in time. For the three and nine months ended September 30, 2021, approximately 29.8% and 22.2%, respectively, of revenue was recognized over time, and the remainder was for products and services transferred at a point in time.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shows the items consisting of items recorded as Other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Reversal of contingent consideration on acquisition of non-controlling interest</w:t>
            </w: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4,365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4"/>
              </w:rPr>
              <w:t>4,365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Gain on redemption of Note receivable</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1,943</w:t>
            </w:r>
          </w:p>
        </w:tc>
        <w:tc>
          <w:tcPr>
            <w:tcW w:w="24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52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7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6,308</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6,308</w:t>
            </w:r>
          </w:p>
        </w:tc>
        <w:tc>
          <w:tcPr>
            <w:tcW w:w="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6"/>
                <w:szCs w:val="16"/>
                <w:color w:val="auto"/>
              </w:rPr>
              <w:t>F-14</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5" w:right="31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provides information about receivables, contract assets, and contract liabilities from contracts with customers: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and estimated earnings in excess of billings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12,514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Accounts receivable retainage, net</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Contract assets 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14,676</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Billings in excess of costs and estimated earnings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Contract liabilities total</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2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During the nine months ended September 30, 2022, the Company recognized revenue of $9,785 that was included in “Contract liabilities” at December 31, 2021. During the nine months ended September 30, 2021, the Company recognized revenue of $4,678 that was included in “Contract liabilities” at December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RNG inventory</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Company’s remaining performance obligations (“backlog”) represent the unrecognized revenue value of its contract commitments. The Company’s backlog may significantly vary each reporting period based on the timing of major new contract commitments. At September 30, 2022, the Company had a backlog of $36,311 which is anticipated to be recognized as revenue in the next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5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Customers, Vendors and Concentration of Credit Risk</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For the three and nine months ended September 30, 2022, two customers accounted for 49% and 45% of revenue, respectively. For the three and nine months ended 2021, two customers accounted for 18% and 30% of revenue, respectively. At September 30, 2022, two customers accounted for 38% of accounts receivable. At December 31, 2021, one customer accounted for 11%, of accounts receivable.</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one vendor, respectively accounted for 22% of the accounts payable. As of December 31, 2021, no vendors accounted for greater than 10% of the accounts payable.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color w:val="auto"/>
        </w:rPr>
        <w:t>3. 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consummation of the Business Combination, the events summarized below, among others, occurred:</w:t>
      </w:r>
    </w:p>
    <w:p>
      <w:pPr>
        <w:spacing w:after="0" w:line="194" w:lineRule="exact"/>
        <w:rPr>
          <w:sz w:val="20"/>
          <w:szCs w:val="20"/>
          <w:color w:val="auto"/>
        </w:rPr>
      </w:pPr>
    </w:p>
    <w:p>
      <w:pPr>
        <w:jc w:val="both"/>
        <w:ind w:left="560" w:hanging="282"/>
        <w:spacing w:after="0" w:line="252"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jc w:val="both"/>
        <w:ind w:left="560" w:hanging="282"/>
        <w:spacing w:after="0" w:line="263" w:lineRule="auto"/>
        <w:tabs>
          <w:tab w:leader="none" w:pos="5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ind w:left="560" w:hanging="282"/>
        <w:spacing w:after="0"/>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issued 25,671,390 Class A Units of OPAL Fuels to the Company; and</w:t>
      </w:r>
    </w:p>
    <w:p>
      <w:pPr>
        <w:spacing w:after="0" w:line="5" w:lineRule="exact"/>
        <w:rPr>
          <w:rFonts w:ascii="Times New Roman" w:cs="Times New Roman" w:eastAsia="Times New Roman" w:hAnsi="Times New Roman"/>
          <w:sz w:val="16"/>
          <w:szCs w:val="16"/>
          <w:color w:val="auto"/>
        </w:rPr>
      </w:pPr>
    </w:p>
    <w:p>
      <w:pPr>
        <w:ind w:left="560" w:right="20" w:hanging="282"/>
        <w:spacing w:after="0" w:line="253" w:lineRule="auto"/>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62"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with the change in the fair market value recognized in the statement of operations. As of September 30, 2022, Meteora sold 340,000 shares. The fair value of the put option for the remaining 1,700,000 as of September 30, 2022 was estimated at $4,200. For the three and nine months ended September 30, 2022, the Company recorded a gain of $384 as change in fair value of derivative instruments, net in its Condensed Consolidated Statement of Operations.</w:t>
      </w:r>
    </w:p>
    <w:p>
      <w:pPr>
        <w:spacing w:after="0" w:line="17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 w:cs="Times New Roman" w:eastAsia="Times New Roman" w:hAnsi="Times New Roman"/>
          <w:sz w:val="16"/>
          <w:szCs w:val="16"/>
          <w:i w:val="1"/>
          <w:iCs w:val="1"/>
          <w:color w:val="auto"/>
        </w:rPr>
        <w:t>erivatives and Hedging</w:t>
      </w:r>
      <w:r>
        <w:rPr>
          <w:rFonts w:ascii="Times New Roman" w:cs="Times New Roman" w:eastAsia="Times New Roman" w:hAnsi="Times New Roman"/>
          <w:sz w:val="16"/>
          <w:szCs w:val="16"/>
          <w:color w:val="auto"/>
        </w:rPr>
        <w:t>. The fair value of Sponsor Earnout Awards as of September 30, 2022 was estimated at $4,600. For the three and nine months ended September 30, 2022, the Company recorded a gain of $1,100 as change in fair value of derivative instruments, net in its condensed consolidated statement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71" w:name="page172"/>
    <w:bookmarkEnd w:id="171"/>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because they are considered indexed to an obligation to repurchase shares by delivering cash or other assets as a result of certain settlement provisions. The fair value of OPAL Earnout Awards as of September 30, 2022 was estimated at $34,900. For the three and nine months ended September 30, 2022, the Company recorded a gain of $5,300 as change in fair value of derivative instruments,net in its condensed consolidated statements of operations.</w:t>
      </w:r>
    </w:p>
    <w:p>
      <w:pPr>
        <w:spacing w:after="0" w:line="16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Upon the completion of the business combination, the Company assumed the Public Warrants and Private Warrants. As of September 30, 2022, the Company had 6,223,261 and 9,223,261 Public Warrants and Private Warrants outstanding, respectively.</w:t>
      </w:r>
    </w:p>
    <w:p>
      <w:pPr>
        <w:spacing w:after="0" w:line="14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warrants have an exercise price of $11.50 per share, subject to adjustments, and will expire five years after the completion of a Business Combination or earlier upon redemption or liquidation. The fair value of the Public Warrants as of September 30, 2022 was estimated at $9,024. For the three and nine months ended September 30, 2022, the Company recorded an expense of $3,578 as change in fair value of derivative instruments, net in its condensed consolidated statements of operations.</w:t>
      </w:r>
    </w:p>
    <w:p>
      <w:pPr>
        <w:spacing w:after="0" w:line="16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Private Warrants are identical to the Public Warrants underlying the units sold in the Initial Public Offering, except that the Private Warrants and the Class A common stock issuable upon exercise of the Private Placement Warrants will not be transferable, assignable or salable until 30 days after the completion of a Business Combination, subject to certain limited exceptions. Additionally, the Private Warrants will be non-redeemable so long as they are held by the initial purchasers or such purchasers’ permitted transferees. If the Private Warrants are held by someone other than the Initial Shareholders or their permitted transferees, the Private Warrants will be redeemable by the Company and exercisable by such holders on the same basis as the Public Warrants. The fair value of the Private Warrants as of September 30, 2022 was estimated at $13,388. For the three and nine months ended September 30, 2022, the Company recorded an expense of $5,309 as change in fair value of derivative instruments, net in its condensed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Redemption of warrants for cash when the price per Class A common stock price equals or exceeds $18.00:</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Once the warrants become exercisable, the Company may redeem the outstanding warrants (except as described herein with respect to the Private Warrants):</w:t>
      </w:r>
    </w:p>
    <w:p>
      <w:pPr>
        <w:spacing w:after="0" w:line="194" w:lineRule="exact"/>
        <w:rPr>
          <w:sz w:val="20"/>
          <w:szCs w:val="20"/>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to each warrant holder; and</w:t>
      </w:r>
    </w:p>
    <w:p>
      <w:pPr>
        <w:spacing w:after="0" w:line="5" w:lineRule="exact"/>
        <w:rPr>
          <w:rFonts w:ascii="Times New Roman" w:cs="Times New Roman" w:eastAsia="Times New Roman" w:hAnsi="Times New Roman"/>
          <w:sz w:val="16"/>
          <w:szCs w:val="16"/>
          <w:color w:val="auto"/>
        </w:rPr>
      </w:pPr>
    </w:p>
    <w:p>
      <w:pPr>
        <w:ind w:left="560" w:hanging="282"/>
        <w:spacing w:after="0" w:line="253" w:lineRule="auto"/>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reported sale price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72" w:name="page173"/>
    <w:bookmarkEnd w:id="172"/>
    <w:p>
      <w:pPr>
        <w:ind w:left="5"/>
        <w:spacing w:after="0"/>
        <w:rPr>
          <w:sz w:val="20"/>
          <w:szCs w:val="20"/>
          <w:color w:val="auto"/>
        </w:rPr>
      </w:pPr>
      <w:r>
        <w:rPr>
          <w:rFonts w:ascii="Times New Roman" w:cs="Times New Roman" w:eastAsia="Times New Roman" w:hAnsi="Times New Roman"/>
          <w:sz w:val="16"/>
          <w:szCs w:val="16"/>
          <w:i w:val="1"/>
          <w:iCs w:val="1"/>
          <w:color w:val="auto"/>
        </w:rPr>
        <w:t>Redemption of warrants for Class A common stock when the price per share of Class A common stock equals or exceeds $10.00:</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Once the warrants become exercisable, the Company may redeem the outstanding warrants:</w:t>
      </w:r>
    </w:p>
    <w:p>
      <w:pPr>
        <w:spacing w:after="0" w:line="194" w:lineRule="exact"/>
        <w:rPr>
          <w:sz w:val="20"/>
          <w:szCs w:val="20"/>
          <w:color w:val="auto"/>
        </w:rPr>
      </w:pPr>
    </w:p>
    <w:p>
      <w:pPr>
        <w:ind w:left="565" w:hanging="282"/>
        <w:spacing w:after="0"/>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2" w:lineRule="exact"/>
        <w:rPr>
          <w:rFonts w:ascii="Times New Roman" w:cs="Times New Roman" w:eastAsia="Times New Roman" w:hAnsi="Times New Roman"/>
          <w:sz w:val="16"/>
          <w:szCs w:val="16"/>
          <w:color w:val="auto"/>
        </w:rPr>
      </w:pPr>
    </w:p>
    <w:p>
      <w:pPr>
        <w:jc w:val="both"/>
        <w:ind w:left="565" w:right="20" w:hanging="282"/>
        <w:spacing w:after="0" w:line="246"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 w:lineRule="exact"/>
        <w:rPr>
          <w:rFonts w:ascii="Times New Roman" w:cs="Times New Roman" w:eastAsia="Times New Roman" w:hAnsi="Times New Roman"/>
          <w:sz w:val="16"/>
          <w:szCs w:val="16"/>
          <w:color w:val="auto"/>
        </w:rPr>
      </w:pPr>
    </w:p>
    <w:p>
      <w:pPr>
        <w:ind w:left="565" w:right="20" w:hanging="282"/>
        <w:spacing w:after="0" w:line="246"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Class A common stock equals or exceeds $10.00 per share (as adjusted) for any 20 trading days within the 30 trading day period ending three trading days before the Company sends the notice of redemption to the warrant holders; and</w:t>
      </w:r>
    </w:p>
    <w:p>
      <w:pPr>
        <w:jc w:val="both"/>
        <w:ind w:left="565" w:hanging="282"/>
        <w:spacing w:after="0" w:line="249" w:lineRule="auto"/>
        <w:tabs>
          <w:tab w:leader="none" w:pos="56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closing price of the Class A common stock for any 20 trading days within a 30-trading day period ending on the third trading day prior to the date on which the Company sends the notice of redemption to the warrant holders is less than $18.00 per share (as adjusted), the Private Warrants must also be concurrently called for redemption on the same terms as the outstanding Public Warrants, as described above.</w:t>
      </w:r>
    </w:p>
    <w:p>
      <w:pPr>
        <w:spacing w:after="0" w:line="16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“fair market value” of Class A common stock for the above purpose shall mean the volume weighted average price of our Class A common stock during the ten trading days immediately following the date on which the notice of redemption is sent to the holders of warrants. In no event will the warrants be exercisable in connection with this redemption feature for more than 0.361 Class A common stock per warrant (subject to adjustment).</w:t>
      </w:r>
    </w:p>
    <w:p>
      <w:pPr>
        <w:spacing w:after="0" w:line="15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reconciles the elements of the Business Combination to the condensed consolidated statements of cash flows and the condensed consolidated statements of stockholders’ equity for the nine months ended September 30, 2022:</w:t>
      </w:r>
    </w:p>
    <w:p>
      <w:pPr>
        <w:spacing w:after="0" w:line="35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proceeds from Arclight, net of redemptions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17,775</w:t>
            </w:r>
          </w:p>
        </w:tc>
        <w:tc>
          <w:tcPr>
            <w:tcW w:w="100" w:type="dxa"/>
            <w:vAlign w:val="bottom"/>
            <w:shd w:val="clear" w:color="auto" w:fill="CCEEFF"/>
          </w:tcPr>
          <w:p>
            <w:pPr>
              <w:spacing w:after="0"/>
              <w:rPr>
                <w:sz w:val="16"/>
                <w:szCs w:val="16"/>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Cash proceeds from PIPE investors</w:t>
            </w:r>
          </w:p>
        </w:tc>
        <w:tc>
          <w:tcPr>
            <w:tcW w:w="3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110,806</w:t>
            </w:r>
          </w:p>
        </w:tc>
        <w:tc>
          <w:tcPr>
            <w:tcW w:w="100" w:type="dxa"/>
            <w:vAlign w:val="bottom"/>
          </w:tcPr>
          <w:p>
            <w:pPr>
              <w:spacing w:after="0"/>
              <w:rPr>
                <w:sz w:val="16"/>
                <w:szCs w:val="16"/>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in escrow account for the Forward Purchase Agreement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20,040</w:t>
            </w:r>
          </w:p>
        </w:tc>
        <w:tc>
          <w:tcPr>
            <w:tcW w:w="100" w:type="dxa"/>
            <w:vAlign w:val="bottom"/>
            <w:shd w:val="clear" w:color="auto" w:fill="CCEEFF"/>
          </w:tcPr>
          <w:p>
            <w:pPr>
              <w:spacing w:after="0"/>
              <w:rPr>
                <w:sz w:val="16"/>
                <w:szCs w:val="16"/>
                <w:color w:val="auto"/>
              </w:rPr>
            </w:pPr>
          </w:p>
        </w:tc>
      </w:tr>
      <w:tr>
        <w:trPr>
          <w:trHeight w:val="240"/>
        </w:trPr>
        <w:tc>
          <w:tcPr>
            <w:tcW w:w="1002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Less: transaction costs and under writing fees paid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(9,771)</w:t>
            </w: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 from Business Combination</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Less: warrant liabilities</w:t>
            </w:r>
          </w:p>
        </w:tc>
        <w:tc>
          <w:tcPr>
            <w:tcW w:w="34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(13,524)</w:t>
            </w:r>
          </w:p>
        </w:tc>
        <w:tc>
          <w:tcPr>
            <w:tcW w:w="120" w:type="dxa"/>
            <w:vAlign w:val="bottom"/>
            <w:gridSpan w:val="2"/>
          </w:tcPr>
          <w:p>
            <w:pPr>
              <w:spacing w:after="0"/>
              <w:rPr>
                <w:sz w:val="15"/>
                <w:szCs w:val="15"/>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earnout liabilities</w:t>
            </w: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(45,900)</w:t>
            </w: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Less: put option with Meteora</w:t>
            </w:r>
          </w:p>
        </w:tc>
        <w:tc>
          <w:tcPr>
            <w:tcW w:w="3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(4,600)</w:t>
            </w:r>
          </w:p>
        </w:tc>
      </w:tr>
      <w:tr>
        <w:trPr>
          <w:trHeight w:val="256"/>
        </w:trPr>
        <w:tc>
          <w:tcPr>
            <w:tcW w:w="100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 xml:space="preserve">Less: Deferred financing costs recorded in additional paid-in-capital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(6,569)</w:t>
            </w:r>
          </w:p>
        </w:tc>
      </w:tr>
      <w:tr>
        <w:trPr>
          <w:trHeight w:val="200"/>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from Business Combination recorded in Stockholders’ equity</w:t>
            </w: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68,257</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85" w:hanging="285"/>
        <w:spacing w:after="0"/>
        <w:tabs>
          <w:tab w:leader="none" w:pos="285"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$8,041 of Sponsor specific transaction costs paid at closing.</w:t>
      </w:r>
    </w:p>
    <w:p>
      <w:pPr>
        <w:spacing w:after="0" w:line="143" w:lineRule="exact"/>
        <w:rPr>
          <w:rFonts w:ascii="Times New Roman" w:cs="Times New Roman" w:eastAsia="Times New Roman" w:hAnsi="Times New Roman"/>
          <w:sz w:val="26"/>
          <w:szCs w:val="26"/>
          <w:color w:val="auto"/>
          <w:vertAlign w:val="superscript"/>
        </w:rPr>
      </w:pPr>
    </w:p>
    <w:p>
      <w:pPr>
        <w:ind w:left="285" w:hanging="285"/>
        <w:spacing w:after="0" w:line="188" w:lineRule="auto"/>
        <w:tabs>
          <w:tab w:leader="none" w:pos="285"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$1,730 of transaction costs paid at closing and recorded on OPAL Fuels’ condensed consolidated balance sheet prior to closing.</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173" w:name="page174"/>
    <w:bookmarkEnd w:id="173"/>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total number of shares of the Company’s Class A common stock outstanding immediately following the closing of the Business Combination was 25,671,390, consisting of the following:</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1002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8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Public stockholders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1,752,181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1002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Class A - Sponsor shares </w:t>
            </w:r>
            <w:r>
              <w:rPr>
                <w:rFonts w:ascii="Times New Roman" w:cs="Times New Roman" w:eastAsia="Times New Roman" w:hAnsi="Times New Roman"/>
                <w:sz w:val="26"/>
                <w:szCs w:val="26"/>
                <w:color w:val="auto"/>
                <w:vertAlign w:val="superscript"/>
              </w:rPr>
              <w:t>(1)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7,779,076</w:t>
            </w:r>
          </w:p>
        </w:tc>
        <w:tc>
          <w:tcPr>
            <w:tcW w:w="100" w:type="dxa"/>
            <w:vAlign w:val="bottom"/>
          </w:tcPr>
          <w:p>
            <w:pPr>
              <w:spacing w:after="0"/>
              <w:rPr>
                <w:sz w:val="19"/>
                <w:szCs w:val="19"/>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PIPE investors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11,080,600</w:t>
            </w: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Class A - Forward Purchase Agreement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16"/>
                <w:szCs w:val="16"/>
                <w:color w:val="auto"/>
              </w:rPr>
            </w:pP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 Ares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3,059,533</w:t>
            </w:r>
          </w:p>
        </w:tc>
        <w:tc>
          <w:tcPr>
            <w:tcW w:w="100" w:type="dxa"/>
            <w:vAlign w:val="bottom"/>
            <w:shd w:val="clear" w:color="auto" w:fill="CCEEFF"/>
          </w:tcPr>
          <w:p>
            <w:pPr>
              <w:spacing w:after="0"/>
              <w:rPr>
                <w:sz w:val="19"/>
                <w:szCs w:val="19"/>
                <w:color w:val="auto"/>
              </w:rPr>
            </w:pPr>
          </w:p>
        </w:tc>
      </w:tr>
      <w:tr>
        <w:trPr>
          <w:trHeight w:val="176"/>
        </w:trPr>
        <w:tc>
          <w:tcPr>
            <w:tcW w:w="100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25,671,390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 Opal Fuels equity holders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144,399,037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Total shares issued upon closing of Business Combination</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170,070,427</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285" w:hanging="285"/>
        <w:spacing w:after="0"/>
        <w:tabs>
          <w:tab w:leader="none" w:pos="285" w:val="left"/>
        </w:tabs>
        <w:numPr>
          <w:ilvl w:val="0"/>
          <w:numId w:val="71"/>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Includes 763,908 Sponsor Earnout Awards subject to vesting and forfeiture conditions.</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incurred $8,299 in transaction costs relating to the Business Combination which were recorded as an offset to additional paid-in capital in the condensed consolidated Statements of Changes in Redeemable preferred units and Stockholders’ equity.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4. Investment in Other Entities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60"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Our equity method investments were as follows as of September 30, 2022 and December 31, 2021:</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170"/>
        </w:trPr>
        <w:tc>
          <w:tcPr>
            <w:tcW w:w="7320" w:type="dxa"/>
            <w:vAlign w:val="bottom"/>
          </w:tcPr>
          <w:p>
            <w:pPr>
              <w:spacing w:after="0"/>
              <w:rPr>
                <w:sz w:val="14"/>
                <w:szCs w:val="14"/>
                <w:color w:val="auto"/>
              </w:rPr>
            </w:pPr>
          </w:p>
        </w:tc>
        <w:tc>
          <w:tcPr>
            <w:tcW w:w="1320" w:type="dxa"/>
            <w:vAlign w:val="bottom"/>
            <w:gridSpan w:val="2"/>
          </w:tcPr>
          <w:p>
            <w:pPr>
              <w:jc w:val="center"/>
              <w:ind w:right="180"/>
              <w:spacing w:after="0" w:line="171" w:lineRule="exact"/>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80" w:type="dxa"/>
            <w:vAlign w:val="bottom"/>
          </w:tcPr>
          <w:p>
            <w:pPr>
              <w:spacing w:after="0"/>
              <w:rPr>
                <w:sz w:val="14"/>
                <w:szCs w:val="14"/>
                <w:color w:val="auto"/>
              </w:rPr>
            </w:pPr>
          </w:p>
        </w:tc>
        <w:tc>
          <w:tcPr>
            <w:tcW w:w="1320" w:type="dxa"/>
            <w:vAlign w:val="bottom"/>
            <w:tcBorders>
              <w:top w:val="single" w:sz="8" w:color="auto"/>
            </w:tcBorders>
            <w:gridSpan w:val="3"/>
          </w:tcPr>
          <w:p>
            <w:pPr>
              <w:jc w:val="right"/>
              <w:ind w:right="30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
              <w:spacing w:after="0" w:line="17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ownership</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 Bend</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Noble Road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GREP</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3,925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investment in other entities</w:t>
            </w: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48,708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Note receivable</w:t>
      </w:r>
    </w:p>
    <w:p>
      <w:pPr>
        <w:spacing w:after="0" w:line="184"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15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The Company recorded a gain on repayment of $1,943 as part of Other income in the condensed consolidated statement of operations for the three and nine months ended September 30, 2022.</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recorded $95 and $841 as a reduction to interest and financing expense, net in its condensed consolidated statement of operations for the three and nine months ended September 30, 2022, respectively.</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174" w:name="page175"/>
    <w:bookmarkEnd w:id="174"/>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$73 and $136 as a reduction to interest and financing expense, net in the condensed consolidated statement of operations for the three and nine months ended September 30, 2022, respectively.</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Note receivable - variable fee component of $1,865 and $1,656 is recorded as a long-term asset on its condensed consolidated balance sheets as of September 30, 2022 and December 31, 2021, respectively.</w:t>
      </w:r>
    </w:p>
    <w:p>
      <w:pPr>
        <w:spacing w:after="0" w:line="145"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net income from equity method investments: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1"/>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0"/>
        </w:trPr>
        <w:tc>
          <w:tcPr>
            <w:tcW w:w="59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gridSpan w:val="3"/>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213"/>
        </w:trPr>
        <w:tc>
          <w:tcPr>
            <w:tcW w:w="59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Revenue </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42,158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47,247</w:t>
            </w: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14,181</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33,053</w:t>
            </w:r>
          </w:p>
        </w:tc>
        <w:tc>
          <w:tcPr>
            <w:tcW w:w="8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6,459</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31,356</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5,400</w:t>
            </w:r>
          </w:p>
        </w:tc>
      </w:tr>
      <w:tr>
        <w:trPr>
          <w:trHeight w:val="189"/>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59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Net income from equity method investments </w:t>
            </w:r>
            <w:r>
              <w:rPr>
                <w:rFonts w:ascii="Times New Roman" w:cs="Times New Roman" w:eastAsia="Times New Roman" w:hAnsi="Times New Roman"/>
                <w:sz w:val="26"/>
                <w:szCs w:val="26"/>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3,658</w:t>
            </w: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2,392</w:t>
            </w: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Revenues include a realized gain of $32,796 from commodity swap contracts on our equity method investment, GREP for the three and nine months ended September 30, 2022.</w:t>
      </w:r>
    </w:p>
    <w:p>
      <w:pPr>
        <w:spacing w:after="0" w:line="160" w:lineRule="exact"/>
        <w:rPr>
          <w:rFonts w:ascii="Times New Roman" w:cs="Times New Roman" w:eastAsia="Times New Roman" w:hAnsi="Times New Roman"/>
          <w:sz w:val="26"/>
          <w:szCs w:val="26"/>
          <w:color w:val="auto"/>
          <w:vertAlign w:val="superscript"/>
        </w:rPr>
      </w:pPr>
    </w:p>
    <w:p>
      <w:pPr>
        <w:ind w:left="285" w:right="20" w:hanging="285"/>
        <w:spacing w:after="0" w:line="196" w:lineRule="auto"/>
        <w:tabs>
          <w:tab w:leader="none" w:pos="285"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Net income from equity method investments represents our portion of the net income from equity method investments in Pine Bend, Noble Road and GREP for the three and nine months ended September 30, 2022 and Beacon for the three and nine months ended September 30, 2021.</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Property, Plant, and Equipment, Net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as of September 30, 2022 and December 31, 2021: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9"/>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Plant and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34,494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27,892</w:t>
            </w: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102,205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62,616</w:t>
            </w: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1,303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1,692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815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307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6"/>
                <w:szCs w:val="16"/>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r>
      <w:tr>
        <w:trPr>
          <w:trHeight w:val="176"/>
        </w:trPr>
        <w:tc>
          <w:tcPr>
            <w:tcW w:w="86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347,831</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259,480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(97,476</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(89,710</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250,355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169,770</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September 30, 2022, are expected to be operational during the fourth quarter of 2023 and early 2024.</w:t>
      </w:r>
    </w:p>
    <w:p>
      <w:pPr>
        <w:spacing w:after="0" w:line="15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Depreciation expense on property, plant, and equipment for the nine months ended September 30, 2022 and September 30, 2021 was $8,986 and $6,163, respectively.</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Intangible Assets, Net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8"/>
              </w:rPr>
              <w:t>Intangible assets, net, consisted of the following at September 30, 2022 and December 31, 2021:</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4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2,266</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4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w:t>
            </w: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2,861</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$121 under the Municipality loan is shown as part of current liabilities on its condensed consolidated balance sheet as of September 30, 2022. Please see Note 8. </w:t>
      </w:r>
      <w:r>
        <w:rPr>
          <w:rFonts w:ascii="Times New Roman" w:cs="Times New Roman" w:eastAsia="Times New Roman" w:hAnsi="Times New Roman"/>
          <w:sz w:val="15"/>
          <w:szCs w:val="15"/>
          <w:i w:val="1"/>
          <w:iCs w:val="1"/>
          <w:color w:val="auto"/>
        </w:rPr>
        <w:t>Borrowings,</w:t>
      </w:r>
      <w:r>
        <w:rPr>
          <w:rFonts w:ascii="Times New Roman" w:cs="Times New Roman" w:eastAsia="Times New Roman" w:hAnsi="Times New Roman"/>
          <w:sz w:val="15"/>
          <w:szCs w:val="15"/>
          <w:color w:val="auto"/>
        </w:rPr>
        <w:t xml:space="preserve"> for additional information.</w:t>
      </w:r>
    </w:p>
    <w:p>
      <w:pPr>
        <w:spacing w:after="0" w:line="139"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Amortization expense for the nine months ended September 30, 2022 and 2021 was $595 and $346, respectively. At September 30, 2022, estimated future amortization expense for intangible assets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ended December 31, 2022</w:t>
            </w:r>
          </w:p>
        </w:tc>
        <w:tc>
          <w:tcPr>
            <w:tcW w:w="6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6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w:t>
            </w: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6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r>
      <w:tr>
        <w:trPr>
          <w:trHeight w:val="20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6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824</w:t>
            </w:r>
          </w:p>
        </w:tc>
      </w:tr>
      <w:tr>
        <w:trPr>
          <w:trHeight w:val="24"/>
        </w:trPr>
        <w:tc>
          <w:tcPr>
            <w:tcW w:w="402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2,266</w:t>
            </w:r>
          </w:p>
        </w:tc>
      </w:tr>
      <w:tr>
        <w:trPr>
          <w:trHeight w:val="20"/>
        </w:trPr>
        <w:tc>
          <w:tcPr>
            <w:tcW w:w="4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6"/>
        </w:trPr>
        <w:tc>
          <w:tcPr>
            <w:tcW w:w="40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jc w:val="right"/>
              <w:ind w:right="4581"/>
              <w:spacing w:after="0"/>
              <w:rPr>
                <w:sz w:val="20"/>
                <w:szCs w:val="20"/>
                <w:color w:val="auto"/>
              </w:rPr>
            </w:pPr>
            <w:r>
              <w:rPr>
                <w:rFonts w:ascii="Times New Roman" w:cs="Times New Roman" w:eastAsia="Times New Roman" w:hAnsi="Times New Roman"/>
                <w:sz w:val="16"/>
                <w:szCs w:val="16"/>
                <w:color w:val="auto"/>
              </w:rPr>
              <w:t>F-21</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176" w:name="page177"/>
    <w:bookmarkEnd w:id="17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980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auto"/>
              </w:rPr>
              <w:t>The following table summarizes the changes in goodwill, if any, by reporting segment from the beginning of the period to the end of the period: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0"/>
              </w:rPr>
              <w:t>54,608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51,155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3,453</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40" w:type="dxa"/>
            <w:vAlign w:val="bottom"/>
            <w:vMerge w:val="continue"/>
          </w:tcPr>
          <w:p>
            <w:pPr>
              <w:spacing w:after="0"/>
              <w:rPr>
                <w:sz w:val="24"/>
                <w:szCs w:val="24"/>
                <w:color w:val="auto"/>
              </w:rPr>
            </w:pPr>
          </w:p>
        </w:tc>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borrowings under the various debt facilities as of September 30, 2022 and December 31,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73,869</w:t>
            </w:r>
          </w:p>
        </w:tc>
        <w:tc>
          <w:tcPr>
            <w:tcW w:w="120" w:type="dxa"/>
            <w:vAlign w:val="bottom"/>
            <w:gridSpan w:val="2"/>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(724)</w:t>
            </w: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(70,179)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(73,145)</w:t>
            </w:r>
          </w:p>
        </w:tc>
      </w:tr>
      <w:tr>
        <w:trPr>
          <w:trHeight w:val="176"/>
        </w:trPr>
        <w:tc>
          <w:tcPr>
            <w:tcW w:w="868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Senior Secured Credit Facility, term loan, net of debt issuance costs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(7,500)</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OPAL Term Loan</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91,223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75,000</w:t>
            </w:r>
          </w:p>
        </w:tc>
        <w:tc>
          <w:tcPr>
            <w:tcW w:w="120" w:type="dxa"/>
            <w:vAlign w:val="bottom"/>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(1,975)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(2,485)</w:t>
            </w: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(13,425)</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59,090</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Sunoma Loan</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23,000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17,524</w:t>
            </w:r>
          </w:p>
        </w:tc>
        <w:tc>
          <w:tcPr>
            <w:tcW w:w="120" w:type="dxa"/>
            <w:vAlign w:val="bottom"/>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(569)</w:t>
            </w: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(756)</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3"/>
        </w:trPr>
        <w:tc>
          <w:tcPr>
            <w:tcW w:w="86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Convertible Note Payable</w:t>
            </w:r>
          </w:p>
        </w:tc>
        <w:tc>
          <w:tcPr>
            <w:tcW w:w="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27,964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58,710</w:t>
            </w:r>
          </w:p>
        </w:tc>
        <w:tc>
          <w:tcPr>
            <w:tcW w:w="120" w:type="dxa"/>
            <w:vAlign w:val="bottom"/>
            <w:gridSpan w:val="2"/>
          </w:tcPr>
          <w:p>
            <w:pPr>
              <w:spacing w:after="0"/>
              <w:rPr>
                <w:sz w:val="15"/>
                <w:szCs w:val="15"/>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(27,964)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8680" w:type="dxa"/>
            <w:vAlign w:val="bottom"/>
            <w:tcBorders>
              <w:top w:val="single" w:sz="8" w:color="CCEEFF"/>
              <w:bottom w:val="single" w:sz="8" w:color="CCEEFF"/>
            </w:tcBorders>
          </w:tcPr>
          <w:p>
            <w:pPr>
              <w:ind w:left="120"/>
              <w:spacing w:after="0" w:line="173" w:lineRule="exact"/>
              <w:rPr>
                <w:sz w:val="20"/>
                <w:szCs w:val="20"/>
                <w:color w:val="auto"/>
              </w:rPr>
            </w:pPr>
            <w:r>
              <w:rPr>
                <w:rFonts w:ascii="Times New Roman" w:cs="Times New Roman" w:eastAsia="Times New Roman" w:hAnsi="Times New Roman"/>
                <w:sz w:val="16"/>
                <w:szCs w:val="16"/>
                <w:color w:val="auto"/>
              </w:rPr>
              <w:t>Convertible Note Payable</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58,710</w:t>
            </w:r>
          </w:p>
        </w:tc>
        <w:tc>
          <w:tcPr>
            <w:tcW w:w="120" w:type="dxa"/>
            <w:vAlign w:val="bottom"/>
            <w:tcBorders>
              <w:top w:val="single" w:sz="8" w:color="CCEEFF"/>
              <w:bottom w:val="single" w:sz="8" w:color="CCEEFF"/>
            </w:tcBorders>
            <w:gridSpan w:val="2"/>
          </w:tcPr>
          <w:p>
            <w:pPr>
              <w:spacing w:after="0"/>
              <w:rPr>
                <w:sz w:val="15"/>
                <w:szCs w:val="15"/>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r>
      <w:tr>
        <w:trPr>
          <w:trHeight w:val="209"/>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Municipality Loan</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0"/>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Non-current borrowings 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82,896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134,083</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principal maturities of debt are expected as follows, excluding any subsequent refinancing transactions and any undrawn debt facilities as of the date of the condensed consolidated balance sheets:</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Senior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Secured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Credit</w:t>
            </w: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6"/>
                <w:szCs w:val="16"/>
                <w:b w:val="1"/>
                <w:bCs w:val="1"/>
                <w:color w:val="auto"/>
                <w:w w:val="94"/>
              </w:rPr>
              <w:t>OPAL Term</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60"/>
              <w:spacing w:after="0" w:line="161" w:lineRule="exact"/>
              <w:rPr>
                <w:sz w:val="20"/>
                <w:szCs w:val="20"/>
                <w:color w:val="auto"/>
              </w:rPr>
            </w:pPr>
            <w:r>
              <w:rPr>
                <w:rFonts w:ascii="Times New Roman" w:cs="Times New Roman" w:eastAsia="Times New Roman" w:hAnsi="Times New Roman"/>
                <w:sz w:val="16"/>
                <w:szCs w:val="16"/>
                <w:b w:val="1"/>
                <w:bCs w:val="1"/>
                <w:color w:val="auto"/>
                <w:w w:val="97"/>
              </w:rPr>
              <w:t>Municipality</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Facility</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Sunoma Loan</w:t>
            </w:r>
          </w:p>
        </w:tc>
        <w:tc>
          <w:tcPr>
            <w:tcW w:w="120" w:type="dxa"/>
            <w:vAlign w:val="bottom"/>
          </w:tcPr>
          <w:p>
            <w:pPr>
              <w:spacing w:after="0"/>
              <w:rPr>
                <w:sz w:val="20"/>
                <w:szCs w:val="20"/>
                <w:color w:val="auto"/>
              </w:rPr>
            </w:pPr>
          </w:p>
        </w:tc>
        <w:tc>
          <w:tcPr>
            <w:tcW w:w="12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Note Payable </w:t>
            </w:r>
            <w:r>
              <w:rPr>
                <w:rFonts w:ascii="Times New Roman" w:cs="Times New Roman" w:eastAsia="Times New Roman" w:hAnsi="Times New Roman"/>
                <w:sz w:val="26"/>
                <w:szCs w:val="26"/>
                <w:b w:val="1"/>
                <w:bCs w:val="1"/>
                <w:color w:val="auto"/>
                <w:vertAlign w:val="superscript"/>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2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ending December 31, 2022</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77,679</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27,732</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28,751</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27,732</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31,544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28,126</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31,938</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10,622</w:t>
            </w:r>
          </w:p>
        </w:tc>
        <w:tc>
          <w:tcPr>
            <w:tcW w:w="0" w:type="dxa"/>
            <w:vAlign w:val="bottom"/>
          </w:tcPr>
          <w:p>
            <w:pPr>
              <w:spacing w:after="0"/>
              <w:rPr>
                <w:sz w:val="1"/>
                <w:szCs w:val="1"/>
                <w:color w:val="auto"/>
              </w:rPr>
            </w:pPr>
          </w:p>
        </w:tc>
      </w:tr>
      <w:tr>
        <w:trPr>
          <w:trHeight w:val="24"/>
        </w:trPr>
        <w:tc>
          <w:tcPr>
            <w:tcW w:w="2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77,679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91,223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85" w:right="4680" w:hanging="5485"/>
        <w:spacing w:after="0" w:line="603" w:lineRule="auto"/>
        <w:tabs>
          <w:tab w:leader="none" w:pos="288"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Convertible Note Payable is redeemable on demand at the option of the Company or the lender.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14946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color w:val="auto"/>
        </w:rPr>
        <w:t>Senior Secured Credit Facility</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September 30, 2022 and December 31, 2021, $70,179 and $73,869, respectively, was outstanding under the Senior Secured Credit Facility- term loan.</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September 30, 2022 and December 31, 2021, the total amount outstanding under the Working Capital Facility was $7,500. Additionally, the Company pays commitment fee of 0.75% on the unused portion of the facility.</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6"/>
          <w:szCs w:val="16"/>
          <w:b w:val="1"/>
          <w:bCs w:val="1"/>
          <w:color w:val="auto"/>
        </w:rPr>
        <w: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September 30, 2022 and December 31, 2021, FM3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LFG rights agreements.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nine months ended September 30, 2022, FM3 was in compliance with all debt covenants.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Patronage dividends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is eligible to receive annual patronage dividends from one of its lenders, Cobank ACB under a profit sharing program made available to the borrowers. For the nine months ended September 30, 2022 and 2021, the Company received cash dividends of $126 and $139, respectively, which were recorded as credits to interest expense in its condensed consolidated statements of operations. Additionally, the Company recorded $489 as a long-term asset on its condensed consolidated balance sheets at September 30, 2022 and December 31, 2021, which represents the Company’s equity interest in Cobank SCB which will be redeemed for cash beginning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w:t>
      </w:r>
    </w:p>
    <w:p>
      <w:pPr>
        <w:spacing w:after="0" w:line="196" w:lineRule="exact"/>
        <w:rPr>
          <w:sz w:val="20"/>
          <w:szCs w:val="20"/>
          <w:color w:val="auto"/>
        </w:rPr>
      </w:pPr>
    </w:p>
    <w:p>
      <w:pPr>
        <w:jc w:val="both"/>
        <w:ind w:firstLine="283"/>
        <w:spacing w:after="0" w:line="272" w:lineRule="auto"/>
        <w:rPr>
          <w:sz w:val="20"/>
          <w:szCs w:val="20"/>
          <w:color w:val="auto"/>
        </w:rPr>
      </w:pPr>
      <w:r>
        <w:rPr>
          <w:rFonts w:ascii="Times New Roman" w:cs="Times New Roman" w:eastAsia="Times New Roman" w:hAnsi="Times New Roman"/>
          <w:sz w:val="15"/>
          <w:szCs w:val="15"/>
          <w:color w:val="auto"/>
        </w:rPr>
        <w:t>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78" w:name="page179"/>
    <w:bookmarkEnd w:id="178"/>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Pursuant to the OPAL Term Loan, the Company borrowed $75,000 in October 2021 and an another $15,000 in February 2022 pursuant to an amendment allowing the Company to drawdown later than the original commitment date.</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During the third quarter of 2022, one of the RNG projects went operational and the Company borrowed $12,500 under the OPAL Term Loan. In October 2022, the Company borrowed an additional $12,500 with an additional commitment of $10,000 remaining under this debt facility.</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OPAL Term Loan contains customary warranties and representations and certain financial covenants which require OPAL Intermediate Holdco to maintain (i) minimum liquidity of $15,000 until March 31, 2022 and $10,000 thereafter and (ii) a leverage ratio not to exceed 4:1. As of September 30, 2022, the Company is in compliance with the financial covenants under the OPAL Term Loan. Additionally, the OPAL Term Loan contains restrictions on distributions and additional indebtedness.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Sunoma Loan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15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borrowings under the Sunoma Loan Agreement bear interest at a rate of 7.68% and have a maturity date of July 19, 2033. The Company is required to pay a quarterly amortization of principal of $954 beginning in October 2023. The Company paid $3,482 into interest and debt reserve accounts. This cash is recorded as Restricted cash under long term assets in the Condensed Consolidated Balance Sheet as of September 30, 2022.</w:t>
      </w:r>
    </w:p>
    <w:p>
      <w:pPr>
        <w:spacing w:after="0" w:line="154"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significant assets of Sunoma are parenthesized in the condensed consolidated balance sheets as September 30, 2022 and December 31, 2021. See Note 13. </w:t>
      </w:r>
      <w:r>
        <w:rPr>
          <w:rFonts w:ascii="Times New Roman" w:cs="Times New Roman" w:eastAsia="Times New Roman" w:hAnsi="Times New Roman"/>
          <w:sz w:val="16"/>
          <w:szCs w:val="16"/>
          <w:i w:val="1"/>
          <w:iCs w:val="1"/>
          <w:color w:val="auto"/>
        </w:rPr>
        <w:t>Variable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Interest Entities </w:t>
      </w:r>
      <w:r>
        <w:rPr>
          <w:rFonts w:ascii="Times New Roman" w:cs="Times New Roman" w:eastAsia="Times New Roman" w:hAnsi="Times New Roman"/>
          <w:sz w:val="16"/>
          <w:szCs w:val="16"/>
          <w:color w:val="auto"/>
        </w:rPr>
        <w:t>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 Payable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spacing w:after="0" w:line="156"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5"/>
          <w:szCs w:val="15"/>
          <w:color w:val="auto"/>
        </w:rPr>
        <w:t>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79" w:name="page180"/>
    <w:bookmarkEnd w:id="179"/>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The Company elected to account for the Convertible Note using the fair value option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on May 1, 2021, which was determined to be $55,410. The fair value was subsequently remeasured on each reporting date and the change in fair value recorded as interest expense in the condensed consolidated statement of operations for each reporting period. At September 30, 2022, the Convertible Note was classified as a current liability in the condensed consolidated balance sheet at a fair value of 27,964 as it is redeemable on demand by the Company or Ares. At December 31,2021, the Convertible Note was classified as a non-current liability in the condensed consolidated balance sheet at a fair value of $58,710.</w:t>
      </w:r>
    </w:p>
    <w:p>
      <w:pPr>
        <w:spacing w:after="0" w:line="163"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recorded $(2,261) and $(151) as change in fair value of Convertible Note for the three and nine months ended September 30, 2022, respectively as interest and financing expense, net. Upon completion of the Business Combination, the Convertible Note no longer provided for the 10% prepayment penalty. Therefore, the change in fair value for the three months ended September 30, 2022 was ($2,906). The Company recorded $1,362 and $2,250 as payment-in-kind interest expense in the condensed consolidated statement of operations for the three and nine months ended September 30,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Municipality loan</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September 30, 2022 and December 31, 2021, $121 and $278, respectively, were outstanding on the loan.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 II</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$1,322 as third party fees. The transaction costs have been recorded as Deferred financing costs on the condensed consolidated balance sheet as of September 30, 2022.</w:t>
      </w:r>
    </w:p>
    <w:p>
      <w:pPr>
        <w:spacing w:after="0" w:line="16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 September 30, 2022, there was no principal amount outstanding under the OPAL Term Loan II.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TruStar revolver credit facility</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80" w:name="page181"/>
    <w:bookmarkEnd w:id="180"/>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Interest rates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2022</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effective interest rate including amortization of debt issuance costs on Senior Secured Credit Facility was 6.8% and 5.40% including a margin plus LIBOR.</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effective interest rate including amortization of debt issuance costs on OPAL Term Loan was 6.4% and 5.20%.</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interest rate on Sunoma Loan was 7.81% and 9.00%.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payment-in-kind interest rate on Convertible Note Payable was 8.00%.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2022, the weighted average interest rate on Municipality loan was 3.00%.</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2021</w:t>
      </w:r>
    </w:p>
    <w:p>
      <w:pPr>
        <w:spacing w:after="0" w:line="184"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2021, the interest rate on Senior Secured Credit Facility ranged between 3.14% and 3.26% including a margin plus LIBOR and commitment fees of 0.75% on unused portion of the Working capital facility.</w:t>
      </w:r>
    </w:p>
    <w:p>
      <w:pPr>
        <w:spacing w:after="0" w:line="13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nine months ended September 30, 2021, the interest rate on TruStar revolver credit facility was 1.52%.</w:t>
      </w:r>
    </w:p>
    <w:p>
      <w:pPr>
        <w:spacing w:after="0" w:line="182"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three and nine months ended September 30, 2021, the payment-in-kind interest rate on Convertible Note Payable was 8.0%. The change in fair value of the Note recorded as interest expense between May 1, 2021 and September 30, 2021 was $2,250.</w:t>
      </w:r>
    </w:p>
    <w:p>
      <w:pPr>
        <w:spacing w:after="0" w:line="13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three and nine months ended September 30, 2021, the weighted average interest rate on Municipality loan was 3.0%.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Company’s total interest expense for the three and nine months ended September 30, 2022 and 2021:</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2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Convertible Note Payable mark-to-market </w:t>
            </w:r>
            <w:r>
              <w:rPr>
                <w:rFonts w:ascii="Times New Roman" w:cs="Times New Roman" w:eastAsia="Times New Roman" w:hAnsi="Times New Roman"/>
                <w:sz w:val="26"/>
                <w:szCs w:val="26"/>
                <w:color w:val="auto"/>
                <w:vertAlign w:val="superscript"/>
              </w:rPr>
              <w:t>(1)</w:t>
            </w:r>
          </w:p>
        </w:tc>
        <w:tc>
          <w:tcPr>
            <w:tcW w:w="7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4"/>
              </w:rPr>
              <w:t>(2,261)</w:t>
            </w:r>
          </w:p>
        </w:tc>
        <w:tc>
          <w:tcPr>
            <w:tcW w:w="7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Sunoma Loan</w:t>
            </w:r>
            <w:r>
              <w:rPr>
                <w:rFonts w:ascii="Times New Roman" w:cs="Times New Roman" w:eastAsia="Times New Roman" w:hAnsi="Times New Roman"/>
                <w:sz w:val="26"/>
                <w:szCs w:val="26"/>
                <w:color w:val="auto"/>
                <w:vertAlign w:val="superscript"/>
              </w:rPr>
              <w:t>(2)</w:t>
            </w: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1,335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1,107</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2,850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fees and other finance fees</w:t>
            </w: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401</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605</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w:t>
            </w:r>
          </w:p>
        </w:tc>
        <w:tc>
          <w:tcPr>
            <w:tcW w:w="7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616</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on loan receivable</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(612)</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(1,512)</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776</w:t>
            </w:r>
          </w:p>
        </w:tc>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2,354</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7,184</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right="20" w:hanging="285"/>
        <w:spacing w:after="0" w:line="210" w:lineRule="auto"/>
        <w:tabs>
          <w:tab w:leader="none" w:pos="285"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mark-to-market on the Convertible Note Payable is negative for the three and nine months ended September 30, 2022 as the prepayment penalty is no longer applicable upon completion of the Business Combination. The change in fair value of the Convertible Note Payable recorded for the three months ended September 30, 2022 was $2,906.</w:t>
      </w:r>
    </w:p>
    <w:p>
      <w:pPr>
        <w:spacing w:after="0" w:line="160" w:lineRule="exact"/>
        <w:rPr>
          <w:rFonts w:ascii="Times New Roman" w:cs="Times New Roman" w:eastAsia="Times New Roman" w:hAnsi="Times New Roman"/>
          <w:sz w:val="26"/>
          <w:szCs w:val="26"/>
          <w:color w:val="auto"/>
          <w:vertAlign w:val="superscript"/>
        </w:rPr>
      </w:pPr>
    </w:p>
    <w:p>
      <w:pPr>
        <w:ind w:left="285" w:hanging="285"/>
        <w:spacing w:after="0" w:line="196" w:lineRule="auto"/>
        <w:tabs>
          <w:tab w:leader="none" w:pos="285"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interest on Sunoma Loan was capitalized during the construction phase of the RNG facility. Sunoma became operational in December 2021. Therefore, the interest for the three and nine months ended September 30, 2022 has been expensed.</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1"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Future minimum lease payments are as follows:</w:t>
            </w: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8"/>
        </w:trPr>
        <w:tc>
          <w:tcPr>
            <w:tcW w:w="6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ending December 31, 2022</w:t>
            </w:r>
          </w:p>
        </w:tc>
        <w:tc>
          <w:tcPr>
            <w:tcW w:w="37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987</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937</w:t>
            </w: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852</w:t>
            </w:r>
          </w:p>
        </w:tc>
      </w:tr>
      <w:tr>
        <w:trPr>
          <w:trHeight w:val="201"/>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r>
      <w:tr>
        <w:trPr>
          <w:trHeight w:val="24"/>
        </w:trPr>
        <w:tc>
          <w:tcPr>
            <w:tcW w:w="666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incurred rent expense of $359 and $1,050 for the three and nine months ended September 30, 2022, respectively. The Company incurred rent expense of $201 and $604 for the three and nine months ended September 30, 2021,respectively.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Derivative Financial Instruments and Fair Value Measurements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condensed consolidated statements of operations. The swaps expired in September 2022 as the facility is scheduled to be repaid in December 2022.</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Company accounted for the swaption as an economic hedge and included the change in the fair market value in the condensed consolidated statement of operations.</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records the fair value of the interest rate swap as an asset or liability on its balance sheet. The effective portion of the swap is recorded in Accumulated other comprehensive income. No portion of the cash flow hedges were ineffective during the three and nine months ended September 30, 2022.</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82" w:name="page183"/>
    <w:bookmarkEnd w:id="182"/>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interest rate swaps in place as of September 30,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Interest rate swap detail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Notional Amount</w:t>
            </w:r>
          </w:p>
        </w:tc>
      </w:tr>
      <w:tr>
        <w:trPr>
          <w:trHeight w:val="170"/>
        </w:trPr>
        <w:tc>
          <w:tcPr>
            <w:tcW w:w="1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ind w:left="14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21"/>
              <w:spacing w:after="0" w:line="17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4"/>
                <w:szCs w:val="14"/>
                <w:color w:val="auto"/>
              </w:rPr>
            </w:pPr>
          </w:p>
        </w:tc>
      </w:tr>
      <w:tr>
        <w:trPr>
          <w:trHeight w:val="211"/>
        </w:trPr>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Start date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 date</w:t>
            </w:r>
          </w:p>
        </w:tc>
        <w:tc>
          <w:tcPr>
            <w:tcW w:w="220" w:type="dxa"/>
            <w:vAlign w:val="bottom"/>
          </w:tcPr>
          <w:p>
            <w:pPr>
              <w:spacing w:after="0"/>
              <w:rPr>
                <w:sz w:val="18"/>
                <w:szCs w:val="18"/>
                <w:color w:val="auto"/>
              </w:rPr>
            </w:pPr>
          </w:p>
        </w:tc>
        <w:tc>
          <w:tcPr>
            <w:tcW w:w="1460" w:type="dxa"/>
            <w:vAlign w:val="bottom"/>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189"/>
        </w:trPr>
        <w:tc>
          <w:tcPr>
            <w:tcW w:w="1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15, 2022</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June 28, 2024</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August 4, 2027</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15, 2022</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June 28, 2024</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August 4, 2027</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location and amounts of derivatives fair values in the condensed consolidated balance sheets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4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Location of Fair Value Recognized in Balance Sheet</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swaption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interest swaps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(992)</w:t>
            </w: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the interest rate swaps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0" w:type="dxa"/>
            <w:vAlign w:val="bottom"/>
          </w:tcPr>
          <w:p>
            <w:pPr>
              <w:spacing w:after="0"/>
              <w:rPr>
                <w:sz w:val="1"/>
                <w:szCs w:val="1"/>
                <w:color w:val="auto"/>
              </w:rPr>
            </w:pPr>
          </w:p>
        </w:tc>
      </w:tr>
      <w:tr>
        <w:trPr>
          <w:trHeight w:val="24"/>
        </w:trPr>
        <w:tc>
          <w:tcPr>
            <w:tcW w:w="35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20" w:type="dxa"/>
            <w:vAlign w:val="bottom"/>
            <w:vMerge w:val="continue"/>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effect of derivative instruments on the condensed consolidated statement of operations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100" w:type="dxa"/>
            <w:vAlign w:val="bottom"/>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(Loss) Gain Recognized in</w:t>
            </w:r>
          </w:p>
        </w:tc>
      </w:tr>
      <w:tr>
        <w:trPr>
          <w:trHeight w:val="223"/>
        </w:trPr>
        <w:tc>
          <w:tcPr>
            <w:tcW w:w="30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Operations from</w:t>
            </w:r>
          </w:p>
        </w:tc>
      </w:tr>
      <w:tr>
        <w:trPr>
          <w:trHeight w:val="204"/>
        </w:trPr>
        <w:tc>
          <w:tcPr>
            <w:tcW w:w="3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18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1,269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Swaption</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w:t>
            </w:r>
          </w:p>
        </w:tc>
        <w:tc>
          <w:tcPr>
            <w:tcW w:w="74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periodic settlements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(1,631)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(2,149)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(677)</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(1,279)</w:t>
            </w:r>
          </w:p>
        </w:tc>
        <w:tc>
          <w:tcPr>
            <w:tcW w:w="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r>
      <w:tr>
        <w:trPr>
          <w:trHeight w:val="172"/>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color w:val="auto"/>
              </w:rPr>
              <w:t>Change in fair value of derivative</w:t>
            </w:r>
          </w:p>
        </w:tc>
      </w:tr>
      <w:tr>
        <w:trPr>
          <w:trHeight w:val="206"/>
        </w:trPr>
        <w:tc>
          <w:tcPr>
            <w:tcW w:w="3040" w:type="dxa"/>
            <w:vAlign w:val="bottom"/>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195</w:t>
            </w:r>
          </w:p>
        </w:tc>
        <w:tc>
          <w:tcPr>
            <w:tcW w:w="82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instruments, net</w:t>
            </w:r>
          </w:p>
        </w:tc>
      </w:tr>
    </w:tbl>
    <w:p>
      <w:pPr>
        <w:spacing w:after="0" w:line="172"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4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83" w:name="page184"/>
    <w:bookmarkEnd w:id="183"/>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fair value of derivative instruments on the Company’s condensed consolidated balance sheets and the effect of netting arrangements and collateral on its financial position: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Net Amounts of</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 the</w:t>
            </w:r>
          </w:p>
        </w:tc>
        <w:tc>
          <w:tcPr>
            <w:tcW w:w="0" w:type="dxa"/>
            <w:vAlign w:val="bottom"/>
          </w:tcPr>
          <w:p>
            <w:pPr>
              <w:spacing w:after="0"/>
              <w:rPr>
                <w:sz w:val="1"/>
                <w:szCs w:val="1"/>
                <w:color w:val="auto"/>
              </w:rPr>
            </w:pPr>
          </w:p>
        </w:tc>
      </w:tr>
      <w:tr>
        <w:trPr>
          <w:trHeight w:val="211"/>
        </w:trPr>
        <w:tc>
          <w:tcPr>
            <w:tcW w:w="71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asset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01"/>
        </w:trPr>
        <w:tc>
          <w:tcPr>
            <w:tcW w:w="7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Swaption asset</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4"/>
        </w:trPr>
        <w:tc>
          <w:tcPr>
            <w:tcW w:w="7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collateral balances with counterparties outstanding as of the period-end 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Commodity swap contracts</w:t>
      </w:r>
    </w:p>
    <w:p>
      <w:pPr>
        <w:spacing w:after="0" w:line="19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68"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64" w:lineRule="exact"/>
        <w:rPr>
          <w:sz w:val="20"/>
          <w:szCs w:val="20"/>
          <w:color w:val="auto"/>
        </w:rPr>
      </w:pPr>
    </w:p>
    <w:p>
      <w:pPr>
        <w:ind w:right="30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commodity swaps in place as of September 30, 2022 and December 31, 2021. There were no new commodity swap contracts entered during the nine months ended September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Quantity per</w:t>
            </w: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Contract Price</w:t>
            </w:r>
          </w:p>
        </w:tc>
      </w:tr>
      <w:tr>
        <w:trPr>
          <w:trHeight w:val="211"/>
        </w:trPr>
        <w:tc>
          <w:tcPr>
            <w:tcW w:w="29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2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Period To</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Year (“MWh”)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MWh)</w:t>
            </w:r>
          </w:p>
        </w:tc>
      </w:tr>
      <w:tr>
        <w:trPr>
          <w:trHeight w:val="189"/>
        </w:trPr>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8"/>
              </w:rPr>
              <w:t>January 1, 2019</w:t>
            </w: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September 30, 2022</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8"/>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October 28, 2021</w:t>
            </w:r>
          </w:p>
        </w:tc>
        <w:tc>
          <w:tcPr>
            <w:tcW w:w="228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w w:val="98"/>
              </w:rPr>
              <w:t>November 1, 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December 31, 2022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48.75</w:t>
            </w:r>
          </w:p>
        </w:tc>
      </w:tr>
      <w:tr>
        <w:trPr>
          <w:trHeight w:val="189"/>
        </w:trPr>
        <w:tc>
          <w:tcPr>
            <w:tcW w:w="2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27, 2021</w:t>
            </w:r>
          </w:p>
        </w:tc>
        <w:tc>
          <w:tcPr>
            <w:tcW w:w="2280" w:type="dxa"/>
            <w:vAlign w:val="bottom"/>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8"/>
              </w:rPr>
              <w:t>January 1, 2022</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December 31, 2022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50.75</w:t>
            </w:r>
          </w:p>
        </w:tc>
      </w:tr>
      <w:tr>
        <w:trPr>
          <w:trHeight w:val="571"/>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color w:val="auto"/>
              </w:rPr>
              <w:t>F-29</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184" w:name="page185"/>
    <w:bookmarkEnd w:id="184"/>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effect of commodity swaps on the condensed consolidated statements of operations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Derivatives not designated</w:t>
            </w:r>
          </w:p>
        </w:tc>
        <w:tc>
          <w:tcPr>
            <w:tcW w:w="2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Location of (loss) gain</w:t>
            </w:r>
          </w:p>
        </w:tc>
        <w:tc>
          <w:tcPr>
            <w:tcW w:w="240" w:type="dxa"/>
            <w:vAlign w:val="bottom"/>
          </w:tcPr>
          <w:p>
            <w:pPr>
              <w:spacing w:after="0"/>
              <w:rPr>
                <w:sz w:val="16"/>
                <w:szCs w:val="16"/>
                <w:color w:val="auto"/>
              </w:rPr>
            </w:pPr>
          </w:p>
        </w:tc>
        <w:tc>
          <w:tcPr>
            <w:tcW w:w="1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as hedging instruments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recognized</w:t>
            </w:r>
          </w:p>
        </w:tc>
        <w:tc>
          <w:tcPr>
            <w:tcW w:w="24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swaps - realized loss</w:t>
            </w:r>
          </w:p>
        </w:tc>
        <w:tc>
          <w:tcPr>
            <w:tcW w:w="1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Commodity swaps - unrealized gain (loss)</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4"/>
        </w:trPr>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realized and unrealized gain (loss)</w:t>
            </w:r>
          </w:p>
        </w:tc>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3500" w:type="dxa"/>
            <w:vAlign w:val="bottom"/>
            <w:gridSpan w:val="2"/>
            <w:vMerge w:val="continue"/>
            <w:shd w:val="clear" w:color="auto" w:fill="CCEEFF"/>
          </w:tcPr>
          <w:p>
            <w:pPr>
              <w:spacing w:after="0"/>
              <w:rPr>
                <w:sz w:val="18"/>
                <w:szCs w:val="18"/>
                <w:color w:val="auto"/>
              </w:rPr>
            </w:pPr>
          </w:p>
        </w:tc>
        <w:tc>
          <w:tcPr>
            <w:tcW w:w="24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(1,223</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40" w:type="dxa"/>
            <w:vAlign w:val="bottom"/>
            <w:vMerge w:val="continue"/>
            <w:shd w:val="clear" w:color="auto" w:fill="CCEEFF"/>
          </w:tcPr>
          <w:p>
            <w:pPr>
              <w:spacing w:after="0"/>
              <w:rPr>
                <w:sz w:val="18"/>
                <w:szCs w:val="18"/>
                <w:color w:val="auto"/>
              </w:rPr>
            </w:pPr>
          </w:p>
        </w:tc>
        <w:tc>
          <w:tcPr>
            <w:tcW w:w="4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derivative assets and liabilities related to commodity swaps as of September 30, 2022 and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gridSpan w:val="6"/>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Fair value</w:t>
            </w:r>
          </w:p>
        </w:tc>
      </w:tr>
      <w:tr>
        <w:trPr>
          <w:trHeight w:val="170"/>
        </w:trPr>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2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1"/>
              <w:spacing w:after="0" w:line="171"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211"/>
        </w:trPr>
        <w:tc>
          <w:tcPr>
            <w:tcW w:w="3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recognized in Balance Sheet</w:t>
            </w:r>
          </w:p>
        </w:tc>
      </w:tr>
      <w:tr>
        <w:trPr>
          <w:trHeight w:val="189"/>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8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unrealized gain on commodity swaps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w:t>
            </w: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financial asset, current portion</w:t>
            </w:r>
          </w:p>
        </w:tc>
      </w:tr>
      <w:tr>
        <w:trPr>
          <w:trHeight w:val="20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unrealized loss on commodity swaps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derivative liabilities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for additional information. The change in fair value on these derivative instruments in recorded as change in fair value of derivative instruments, net in the condensed consolidated statement of operations for the three and nine months ended September 30, 2022.</w:t>
      </w:r>
    </w:p>
    <w:p>
      <w:pPr>
        <w:spacing w:after="0" w:line="15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effect of change in fair value of other derivative liabilities on the condensed consolidated statements of operations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(Loss) Gain Recognized in</w:t>
            </w:r>
          </w:p>
        </w:tc>
      </w:tr>
      <w:tr>
        <w:trPr>
          <w:trHeight w:val="223"/>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Derivative liability</w:t>
            </w:r>
          </w:p>
        </w:tc>
        <w:tc>
          <w:tcPr>
            <w:tcW w:w="720" w:type="dxa"/>
            <w:vAlign w:val="bottom"/>
          </w:tcPr>
          <w:p>
            <w:pPr>
              <w:spacing w:after="0"/>
              <w:rPr>
                <w:sz w:val="19"/>
                <w:szCs w:val="19"/>
                <w:color w:val="auto"/>
              </w:rPr>
            </w:pPr>
          </w:p>
        </w:tc>
        <w:tc>
          <w:tcPr>
            <w:tcW w:w="150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Operations from</w:t>
            </w:r>
          </w:p>
        </w:tc>
      </w:tr>
      <w:tr>
        <w:trPr>
          <w:trHeight w:val="204"/>
        </w:trPr>
        <w:tc>
          <w:tcPr>
            <w:tcW w:w="2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Put option to Meteora</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384</w:t>
            </w:r>
          </w:p>
        </w:tc>
        <w:tc>
          <w:tcPr>
            <w:tcW w:w="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384</w:t>
            </w:r>
          </w:p>
        </w:tc>
        <w:tc>
          <w:tcPr>
            <w:tcW w:w="8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Sponsor Earnout Awards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1,100</w:t>
            </w:r>
          </w:p>
        </w:tc>
        <w:tc>
          <w:tcPr>
            <w:tcW w:w="840" w:type="dxa"/>
            <w:vAlign w:val="bottom"/>
          </w:tcPr>
          <w:p>
            <w:pPr>
              <w:spacing w:after="0"/>
              <w:rPr>
                <w:sz w:val="16"/>
                <w:szCs w:val="16"/>
                <w:color w:val="auto"/>
              </w:rPr>
            </w:pPr>
          </w:p>
        </w:tc>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Earnout Awards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5,300</w:t>
            </w:r>
          </w:p>
        </w:tc>
        <w:tc>
          <w:tcPr>
            <w:tcW w:w="84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7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(3,578)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(3,578)</w:t>
            </w:r>
          </w:p>
        </w:tc>
        <w:tc>
          <w:tcPr>
            <w:tcW w:w="840" w:type="dxa"/>
            <w:vAlign w:val="bottom"/>
          </w:tcPr>
          <w:p>
            <w:pPr>
              <w:spacing w:after="0"/>
              <w:rPr>
                <w:sz w:val="16"/>
                <w:szCs w:val="16"/>
                <w:color w:val="auto"/>
              </w:rPr>
            </w:pPr>
          </w:p>
        </w:tc>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(5,309)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(5,309)</w:t>
            </w:r>
          </w:p>
        </w:tc>
        <w:tc>
          <w:tcPr>
            <w:tcW w:w="84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r>
      <w:tr>
        <w:trPr>
          <w:trHeight w:val="144"/>
        </w:trPr>
        <w:tc>
          <w:tcPr>
            <w:tcW w:w="2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40" w:type="dxa"/>
            <w:vAlign w:val="bottom"/>
            <w:tcBorders>
              <w:top w:val="single" w:sz="8" w:color="CCEEFF"/>
            </w:tcBorders>
            <w:gridSpan w:val="2"/>
          </w:tcPr>
          <w:p>
            <w:pPr>
              <w:ind w:left="220"/>
              <w:spacing w:after="0" w:line="145" w:lineRule="exact"/>
              <w:rPr>
                <w:sz w:val="20"/>
                <w:szCs w:val="20"/>
                <w:color w:val="auto"/>
              </w:rPr>
            </w:pPr>
            <w:r>
              <w:rPr>
                <w:rFonts w:ascii="Times New Roman" w:cs="Times New Roman" w:eastAsia="Times New Roman" w:hAnsi="Times New Roman"/>
                <w:sz w:val="16"/>
                <w:szCs w:val="16"/>
                <w:color w:val="auto"/>
              </w:rPr>
              <w:t>Change in fair value of derivative</w:t>
            </w:r>
          </w:p>
        </w:tc>
      </w:tr>
      <w:tr>
        <w:trPr>
          <w:trHeight w:val="245"/>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00"/>
              <w:spacing w:after="0" w:line="241" w:lineRule="exact"/>
              <w:rPr>
                <w:sz w:val="20"/>
                <w:szCs w:val="20"/>
                <w:color w:val="auto"/>
              </w:rPr>
            </w:pPr>
            <w:r>
              <w:rPr>
                <w:rFonts w:ascii="Times New Roman" w:cs="Times New Roman" w:eastAsia="Times New Roman" w:hAnsi="Times New Roman"/>
                <w:sz w:val="14"/>
                <w:szCs w:val="14"/>
                <w:color w:val="auto"/>
              </w:rPr>
              <w:t>(2,103</w:t>
            </w:r>
            <w:r>
              <w:rPr>
                <w:rFonts w:ascii="Times New Roman" w:cs="Times New Roman" w:eastAsia="Times New Roman" w:hAnsi="Times New Roman"/>
                <w:sz w:val="27"/>
                <w:szCs w:val="27"/>
                <w:color w:val="auto"/>
                <w:vertAlign w:val="superscript"/>
              </w:rPr>
              <w:t>)</w:t>
            </w:r>
          </w:p>
        </w:tc>
        <w:tc>
          <w:tcPr>
            <w:tcW w:w="9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line="241" w:lineRule="exact"/>
              <w:rPr>
                <w:sz w:val="20"/>
                <w:szCs w:val="20"/>
                <w:color w:val="auto"/>
              </w:rPr>
            </w:pPr>
            <w:r>
              <w:rPr>
                <w:rFonts w:ascii="Times New Roman" w:cs="Times New Roman" w:eastAsia="Times New Roman" w:hAnsi="Times New Roman"/>
                <w:sz w:val="14"/>
                <w:szCs w:val="14"/>
                <w:color w:val="auto"/>
              </w:rPr>
              <w:t>(2,103</w:t>
            </w:r>
            <w:r>
              <w:rPr>
                <w:rFonts w:ascii="Times New Roman" w:cs="Times New Roman" w:eastAsia="Times New Roman" w:hAnsi="Times New Roman"/>
                <w:sz w:val="27"/>
                <w:szCs w:val="27"/>
                <w:color w:val="auto"/>
                <w:vertAlign w:val="superscript"/>
              </w:rPr>
              <w:t>)</w:t>
            </w:r>
          </w:p>
        </w:tc>
        <w:tc>
          <w:tcPr>
            <w:tcW w:w="84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3300" w:type="dxa"/>
            <w:vAlign w:val="bottom"/>
            <w:gridSpan w:val="3"/>
          </w:tcPr>
          <w:p>
            <w:pPr>
              <w:ind w:left="120"/>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instruments, net</w:t>
            </w: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566"/>
        </w:trPr>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w w:val="92"/>
              </w:rPr>
              <w:t>F-30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8"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carrying value of the Company’s long-term debt of $82,896 and $134,083 as of September 30, 2022 and December 31, 2021, respectively, represents the total amount to be repaid if the debt has to be discharged in full and therefore approximates its fair value.</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color w:val="auto"/>
        </w:rPr>
        <w:t xml:space="preserve">The Company follows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regarding fair value measurements which establishes a three-tier fair value hierarchy and prioritizes the inputs used in valuation techniques that measure fair value. These tiers include: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defined as observable inputs such as quoted prices for identical instruments in active markets;</w:t>
      </w:r>
    </w:p>
    <w:p>
      <w:pPr>
        <w:spacing w:after="0" w:line="194" w:lineRule="exact"/>
        <w:rPr>
          <w:sz w:val="20"/>
          <w:szCs w:val="20"/>
          <w:color w:val="auto"/>
        </w:rPr>
      </w:pPr>
    </w:p>
    <w:p>
      <w:pPr>
        <w:ind w:left="280" w:right="20"/>
        <w:spacing w:after="0" w:line="275" w:lineRule="auto"/>
        <w:rPr>
          <w:sz w:val="20"/>
          <w:szCs w:val="20"/>
          <w:color w:val="auto"/>
        </w:rPr>
      </w:pPr>
      <w:r>
        <w:rPr>
          <w:rFonts w:ascii="Times New Roman" w:cs="Times New Roman" w:eastAsia="Times New Roman" w:hAnsi="Times New Roman"/>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defined as unobservable inputs in which little or no market data exists, therefore requiring an entity to develop its own assumptions.</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86" w:name="page187"/>
    <w:bookmarkEnd w:id="186"/>
    <w:p>
      <w:pPr>
        <w:jc w:val="both"/>
        <w:ind w:firstLine="283"/>
        <w:spacing w:after="0" w:line="269" w:lineRule="auto"/>
        <w:rPr>
          <w:sz w:val="20"/>
          <w:szCs w:val="20"/>
          <w:color w:val="auto"/>
        </w:rPr>
      </w:pPr>
      <w:r>
        <w:rPr>
          <w:rFonts w:ascii="Times New Roman" w:cs="Times New Roman" w:eastAsia="Times New Roman" w:hAnsi="Times New Roman"/>
          <w:sz w:val="15"/>
          <w:szCs w:val="15"/>
          <w:color w:val="auto"/>
        </w:rPr>
        <w:t>The Company’s Convertible Note Payable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based on discount rates ranging from 7.0% to 7.5%.</w:t>
      </w:r>
    </w:p>
    <w:p>
      <w:pPr>
        <w:spacing w:after="0" w:line="15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accounted for its outstanding warrants by recording its fair value of a liability on the Closing Date of the Business Combination and recording the change in the fair value at the balance sheet date in the condensed consolidated statement of operations. The Company has the option to redeem the warrants at a conversion price of $0.10 per Warrant if the share price exceeds $10 per share and is less than $18 per share. The fair value of the Public Warrants and Private Warrants was based on a 20 day volume weighted average closing price of $9.68.</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Sponsor Earnout Awards as of September 30, 2022 was determined using a Monte Carlo valuation model with a distribution of potential outcomes on a daily basis over the five year post-close period.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—65%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4.1% based on the U.S. Treasury yield curve in effect at the time of issuance for zero-coupon U.S. Treasury notes with maturities corresponding to the expected 4.8 year term of the earnout period;</w:t>
      </w:r>
    </w:p>
    <w:p>
      <w:pPr>
        <w:ind w:left="560" w:hanging="282"/>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177"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OPAL Earnout Awards as of September 30, 2022 was determined using a Monte Carlo valuation model with a distribution of potential outcomes for stock price and EBITDA over the 2-year period commencing on January 1, 2023 and ending on December 31, 2024.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cost of capital - 16% based on an average of historical volatilities of selected industry peers deemed to be comparable to our business.</w:t>
      </w:r>
    </w:p>
    <w:p>
      <w:pPr>
        <w:spacing w:after="0" w:line="5"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—60%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4.2% based on the U.S. Treasury yield curve in effect at the time of issuance for zero-coupon U.S. Treasury notes with maturities corresponding to the expected 2.2 year term of the earnout period;</w:t>
      </w:r>
    </w:p>
    <w:p>
      <w:pPr>
        <w:ind w:left="560" w:hanging="282"/>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177"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fair value of the Company’s put option with Meteora as of September 30, 2022 was determined using a Monte Carlo valuation model with a distribution of potential outcomes on a daily basis over the 6 month post-close period. Assumptions used in the valuation are as follows:</w:t>
      </w:r>
    </w:p>
    <w:p>
      <w:pPr>
        <w:spacing w:after="0" w:line="145" w:lineRule="exact"/>
        <w:rPr>
          <w:sz w:val="20"/>
          <w:szCs w:val="20"/>
          <w:color w:val="auto"/>
        </w:rPr>
      </w:pP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stock price — The Company’s closing stock price of $8.28 as of September 30, 2022;</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volatility —80% based on historical and implied volatilities of selected industry peers deemed to be comparable to our business corresponding to the expected term of the awards;</w:t>
      </w:r>
    </w:p>
    <w:p>
      <w:pPr>
        <w:ind w:left="560" w:hanging="282"/>
        <w:spacing w:after="0" w:line="246" w:lineRule="auto"/>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3.5% based on the U.S. Treasury yield curve in effect at the time of issuance for zero-coupon U.S. Treasury notes with maturities corresponding to the expected 0.3 year term of the Forward Purchase Agreement ;</w:t>
      </w: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zero.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87" w:name="page188"/>
    <w:bookmarkEnd w:id="187"/>
    <w:p>
      <w:pPr>
        <w:ind w:left="280"/>
        <w:spacing w:after="0"/>
        <w:rPr>
          <w:sz w:val="20"/>
          <w:szCs w:val="20"/>
          <w:color w:val="auto"/>
        </w:rPr>
      </w:pPr>
      <w:r>
        <w:rPr>
          <w:rFonts w:ascii="Times New Roman" w:cs="Times New Roman" w:eastAsia="Times New Roman" w:hAnsi="Times New Roman"/>
          <w:sz w:val="16"/>
          <w:szCs w:val="16"/>
          <w:color w:val="auto"/>
        </w:rPr>
        <w:t>There were no transfers of assets between Level 1, Level 2, or Level 3 of the fair value hierarchy as of September 30, 2022 or December 31, 2021.</w:t>
      </w:r>
    </w:p>
    <w:p>
      <w:pPr>
        <w:spacing w:after="0" w:line="194" w:lineRule="exact"/>
        <w:rPr>
          <w:sz w:val="20"/>
          <w:szCs w:val="20"/>
          <w:color w:val="auto"/>
        </w:rPr>
      </w:pPr>
    </w:p>
    <w:p>
      <w:pPr>
        <w:ind w:right="100" w:firstLine="283"/>
        <w:spacing w:after="0" w:line="275" w:lineRule="auto"/>
        <w:rPr>
          <w:sz w:val="20"/>
          <w:szCs w:val="20"/>
          <w:color w:val="auto"/>
        </w:rPr>
      </w:pPr>
      <w:r>
        <w:rPr>
          <w:rFonts w:ascii="Times New Roman" w:cs="Times New Roman" w:eastAsia="Times New Roman" w:hAnsi="Times New Roman"/>
          <w:sz w:val="16"/>
          <w:szCs w:val="16"/>
          <w:color w:val="auto"/>
        </w:rPr>
        <w:t>The Company’s assets and liabilities that are measured at fair value on a recurring basis include the following as of September 30, 2022 and December 31, 2021, set forth by level,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Fair value as of September 30, 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5,968</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27,964</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Put option with Meteora</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4,216</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Commodity swap contracts</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warrant liabilities</w:t>
            </w:r>
          </w:p>
        </w:tc>
        <w:tc>
          <w:tcPr>
            <w:tcW w:w="8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22,410</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Earnout liabilities</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39,500</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Swaption</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r>
      <w:tr>
        <w:trPr>
          <w:trHeight w:val="206"/>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88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1,189</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 on acquisition of non-controlling interest</w:t>
            </w: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r>
      <w:tr>
        <w:trPr>
          <w:trHeight w:val="18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Note Payable</w:t>
            </w:r>
          </w:p>
        </w:tc>
        <w:tc>
          <w:tcPr>
            <w:tcW w:w="8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r>
      <w:tr>
        <w:trPr>
          <w:trHeight w:val="189"/>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Commodity swap contracts</w:t>
            </w:r>
          </w:p>
        </w:tc>
        <w:tc>
          <w:tcPr>
            <w:tcW w:w="88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bl>
    <w:p>
      <w:pPr>
        <w:spacing w:after="0" w:line="15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 summary of changes in the fair values of the Company’s Level 3 instruments, attributable to asset retirement obligations, for the three and nine months ended September 30, 2022 is included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Related Parties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Related parties are represented by the Ultimate Parent and other affiliates, subsidiaries and other entities under common control with the Ultimate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contributions and distribution from and to members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During the nine months ended September 30, 2022 and 2021, the Company received contributions from its Ultimate Parent of $0 and $7,919, respectively. Additionally, the Company made distributions to its Ultimate Parent of $0 and $3,695 for the nine months ended September 30, 2022 and 2021,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non-controlling interests to Related Parties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$2,658 and $5,093 for the three and nine months ended September 30, 2022. Please see Note 13,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xml:space="preserve"> for additional information.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i w:val="1"/>
          <w:iCs w:val="1"/>
          <w:color w:val="auto"/>
        </w:rPr>
        <w:t>Purchase of investments from Related Parties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$3034 and $2,478 as its share of net income for the three months and nine months ended September 30, 2022 and increased its investment in GREP as of September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contracts with Related Parties</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In June 2020, Fuel Station Services,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condensed consolidated statements of operations for the three and nine months ended September 30, 2022. During 2021, the Company accounted for Beacon under equity method for the period between January 1, 2021 and April 30, 2021 and consolidated Beacon for the remaining part of the year. Therefore, all environmental fees earned after May 1, 2021 are eliminated in the condensed consolidated statement of operations. For the period between January 1, 2021 and April 30, 2021, the company earned environmental processing fees of $632, net of intersegment elimination.</w:t>
      </w:r>
    </w:p>
    <w:p>
      <w:pPr>
        <w:spacing w:after="0" w:line="16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March 2021, Fuel Station Services, contracted with Noble Road to dispense Noble Road’s RNG and to generate and market the resulting RINs created on behalf of Noble Road The term of this contract run from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the first quarter of 2022. For the three and nine months ended September 30, 2022, the Company earned environmental processing fees of $80 and $322, net of intersegment elimination, under this agreement which are included in Fuel Station Services revenues in the condensed consolidated statements of operations. For the three and nine months ended September 30, 2021, the Company earned $0, net of intersegment elimination under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agreements with Related Parties</w:t>
      </w:r>
    </w:p>
    <w:p>
      <w:pPr>
        <w:spacing w:after="0" w:line="196" w:lineRule="exact"/>
        <w:rPr>
          <w:sz w:val="20"/>
          <w:szCs w:val="20"/>
          <w:color w:val="auto"/>
        </w:rPr>
      </w:pPr>
    </w:p>
    <w:p>
      <w:pPr>
        <w:jc w:val="both"/>
        <w:ind w:right="20" w:firstLine="283"/>
        <w:spacing w:after="0" w:line="272" w:lineRule="auto"/>
        <w:rPr>
          <w:sz w:val="20"/>
          <w:szCs w:val="20"/>
          <w:color w:val="auto"/>
        </w:rPr>
      </w:pPr>
      <w:r>
        <w:rPr>
          <w:rFonts w:ascii="Times New Roman" w:cs="Times New Roman" w:eastAsia="Times New Roman" w:hAnsi="Times New Roman"/>
          <w:sz w:val="15"/>
          <w:szCs w:val="15"/>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nine months ended September 30, 2022 and 2021, there have been no material services provided by the Company’s employees to Fortistar.</w:t>
      </w:r>
    </w:p>
    <w:p>
      <w:pPr>
        <w:spacing w:after="0" w:line="15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89" w:name="page190"/>
    <w:bookmarkEnd w:id="189"/>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$26 recorded as Deferred financing costs as of September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80" w:type="dxa"/>
            <w:vAlign w:val="bottom"/>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Staffing and management services</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Rent - fixed compensation</w:t>
            </w: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168</w:t>
            </w:r>
          </w:p>
        </w:tc>
        <w:tc>
          <w:tcPr>
            <w:tcW w:w="82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 services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636</w:t>
            </w: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1,382</w:t>
            </w:r>
          </w:p>
        </w:tc>
        <w:tc>
          <w:tcPr>
            <w:tcW w:w="82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3,846</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 had Accounts payable, related party in the amounts of $489 and $166,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Reportable Segments and Geographic Information</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58" w:lineRule="exact"/>
        <w:rPr>
          <w:sz w:val="20"/>
          <w:szCs w:val="20"/>
          <w:color w:val="auto"/>
        </w:rPr>
      </w:pPr>
    </w:p>
    <w:p>
      <w:pPr>
        <w:ind w:left="560" w:hanging="282"/>
        <w:spacing w:after="0" w:line="259" w:lineRule="auto"/>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w:t>
      </w:r>
      <w:r>
        <w:rPr>
          <w:rFonts w:ascii="Times New Roman" w:cs="Times New Roman" w:eastAsia="Times New Roman" w:hAnsi="Times New Roman"/>
          <w:sz w:val="16"/>
          <w:szCs w:val="16"/>
          <w:color w:val="auto"/>
        </w:rPr>
        <w:t>The RNG Fuel segment relates to all RNG supply and dispensing activities directly related to the generation and sale of brown gas and environmental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credits, and consists of</w:t>
      </w:r>
    </w:p>
    <w:p>
      <w:pPr>
        <w:ind w:left="840" w:right="60" w:hanging="278"/>
        <w:spacing w:after="0" w:line="246" w:lineRule="auto"/>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construction – RNG facilities in which long term gas right contracts have been, or are in the process of being ratified and the construction of RNG generation facilities.</w:t>
      </w:r>
    </w:p>
    <w:p>
      <w:pPr>
        <w:ind w:left="840" w:hanging="278"/>
        <w:spacing w:after="0"/>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supply operating facilities – This includes the generation, extraction, and sale of RNG - plus associated RINs and LCFSs from landfills.</w:t>
      </w:r>
    </w:p>
    <w:p>
      <w:pPr>
        <w:spacing w:after="0" w:line="5" w:lineRule="exact"/>
        <w:rPr>
          <w:rFonts w:ascii="Times New Roman" w:cs="Times New Roman" w:eastAsia="Times New Roman" w:hAnsi="Times New Roman"/>
          <w:sz w:val="16"/>
          <w:szCs w:val="16"/>
          <w:color w:val="auto"/>
        </w:rPr>
      </w:pPr>
    </w:p>
    <w:p>
      <w:pPr>
        <w:ind w:left="840" w:right="20" w:hanging="278"/>
        <w:spacing w:after="0" w:line="253" w:lineRule="auto"/>
        <w:tabs>
          <w:tab w:leader="none" w:pos="8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162" w:lineRule="exact"/>
        <w:rPr>
          <w:sz w:val="20"/>
          <w:szCs w:val="20"/>
          <w:color w:val="auto"/>
        </w:rPr>
      </w:pPr>
    </w:p>
    <w:p>
      <w:pPr>
        <w:jc w:val="both"/>
        <w:ind w:left="560"/>
        <w:spacing w:after="0" w:line="251" w:lineRule="auto"/>
        <w:rPr>
          <w:sz w:val="20"/>
          <w:szCs w:val="20"/>
          <w:color w:val="auto"/>
        </w:rPr>
      </w:pPr>
      <w:r>
        <w:rPr>
          <w:rFonts w:ascii="Times New Roman" w:cs="Times New Roman" w:eastAsia="Times New Roman" w:hAnsi="Times New Roman"/>
          <w:sz w:val="16"/>
          <w:szCs w:val="16"/>
          <w:color w:val="auto"/>
        </w:rPr>
        <w:t>For the three and nine months ended September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period between January 1, 2021 and September 30, 2021 were consolidated in its condensed consolidated statement of operations. As of September 30, 2022, Central Valley, Emerald, and Sapphire are not operational. Sunoma became operational in December 2021, Noble Road in January 2022, Pine Bend in September 2022 and New River in April 2022.</w:t>
      </w:r>
    </w:p>
    <w:p>
      <w:pPr>
        <w:spacing w:after="0" w:line="163" w:lineRule="exact"/>
        <w:rPr>
          <w:sz w:val="20"/>
          <w:szCs w:val="20"/>
          <w:color w:val="auto"/>
        </w:rPr>
      </w:pPr>
    </w:p>
    <w:p>
      <w:pPr>
        <w:ind w:left="560" w:hanging="282"/>
        <w:spacing w:after="0" w:line="259" w:lineRule="auto"/>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Through its Fuel Station Services segment</w:t>
      </w:r>
      <w:r>
        <w:rPr>
          <w:rFonts w:ascii="Times New Roman" w:cs="Times New Roman" w:eastAsia="Times New Roman" w:hAnsi="Times New Roman"/>
          <w:sz w:val="16"/>
          <w:szCs w:val="16"/>
          <w:b w:val="1"/>
          <w:bCs w:val="1"/>
          <w:color w:val="auto"/>
        </w:rPr>
        <w:t>, t</w:t>
      </w:r>
      <w:r>
        <w:rPr>
          <w:rFonts w:ascii="Times New Roman" w:cs="Times New Roman" w:eastAsia="Times New Roman" w:hAnsi="Times New Roman"/>
          <w:sz w:val="16"/>
          <w:szCs w:val="16"/>
          <w:color w:val="auto"/>
        </w:rPr>
        <w:t>he Company provides construction and maintenance services to third-party owners of vehicle Fueling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Stations. This segment includes:</w:t>
      </w: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and maintenance contracts for RNG/CNG fueling sites. Includes a manufacturing division that builds Compact Fueling Systems and Defueling systems.</w:t>
      </w:r>
    </w:p>
    <w:p>
      <w:pPr>
        <w:spacing w:after="0" w:line="5" w:lineRule="exact"/>
        <w:rPr>
          <w:rFonts w:ascii="Times New Roman" w:cs="Times New Roman" w:eastAsia="Times New Roman" w:hAnsi="Times New Roman"/>
          <w:sz w:val="16"/>
          <w:szCs w:val="16"/>
          <w:color w:val="auto"/>
        </w:rPr>
      </w:pPr>
    </w:p>
    <w:p>
      <w:pPr>
        <w:ind w:left="840" w:right="20" w:hanging="278"/>
        <w:spacing w:after="0" w:line="253" w:lineRule="auto"/>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Party CNG Construction of Fueling Stations - Design/build and serve as general contractor for typically Guarantee Maximum Price or fixed priced contracts for customers typically lasting less than one year.</w:t>
      </w:r>
    </w:p>
    <w:p>
      <w:pPr>
        <w:spacing w:after="0" w:line="159" w:lineRule="exact"/>
        <w:rPr>
          <w:rFonts w:ascii="Times New Roman" w:cs="Times New Roman" w:eastAsia="Times New Roman" w:hAnsi="Times New Roman"/>
          <w:sz w:val="16"/>
          <w:szCs w:val="16"/>
          <w:color w:val="auto"/>
        </w:rPr>
      </w:pPr>
    </w:p>
    <w:p>
      <w:pPr>
        <w:ind w:left="560" w:hanging="282"/>
        <w:spacing w:after="0" w:line="278" w:lineRule="auto"/>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is then sold to public utilities throughout the United States. The Renewable Power portfolio operates primarily in Southern California.</w:t>
      </w:r>
    </w:p>
    <w:p>
      <w:pPr>
        <w:spacing w:after="0" w:line="1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Corporate. </w:t>
      </w:r>
      <w:r>
        <w:rPr>
          <w:rFonts w:ascii="Times New Roman" w:cs="Times New Roman" w:eastAsia="Times New Roman" w:hAnsi="Times New Roman"/>
          <w:sz w:val="16"/>
          <w:szCs w:val="16"/>
          <w:color w:val="auto"/>
        </w:rPr>
        <w:t>This segment consists of activities managed and maintained at the Company corporate level primarily including but not limited to:</w:t>
      </w:r>
    </w:p>
    <w:p>
      <w:pPr>
        <w:spacing w:after="0" w:line="24" w:lineRule="exact"/>
        <w:rPr>
          <w:rFonts w:ascii="Times New Roman" w:cs="Times New Roman" w:eastAsia="Times New Roman" w:hAnsi="Times New Roman"/>
          <w:sz w:val="16"/>
          <w:szCs w:val="16"/>
          <w:b w:val="1"/>
          <w:bCs w:val="1"/>
          <w:color w:val="auto"/>
        </w:rPr>
      </w:pP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accounting, finance, sales activities such as: payroll, stock compensation expense, travel and other related costs.</w:t>
      </w:r>
    </w:p>
    <w:p>
      <w:pPr>
        <w:spacing w:after="0" w:line="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professional fees (audit, tax, legal etc.).</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90" w:name="page191"/>
    <w:bookmarkEnd w:id="190"/>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9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49,247</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11,351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69,335</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33,672</w:t>
            </w: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38,682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98,157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55,009</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23,763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56,448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35,560</w:t>
            </w:r>
          </w:p>
        </w:tc>
      </w:tr>
      <w:tr>
        <w:trPr>
          <w:trHeight w:val="224"/>
        </w:trPr>
        <w:tc>
          <w:tcPr>
            <w:tcW w:w="59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(3,150)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(8,172)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(5,147)</w:t>
            </w: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(42,158)</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(47,247)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(14,181)</w:t>
            </w: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66,550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47,184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168,814</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1" w:lineRule="exact"/>
        <w:rPr>
          <w:sz w:val="20"/>
          <w:szCs w:val="20"/>
          <w:color w:val="auto"/>
        </w:rPr>
      </w:pPr>
    </w:p>
    <w:p>
      <w:pPr>
        <w:ind w:left="285" w:hanging="285"/>
        <w:spacing w:after="0"/>
        <w:tabs>
          <w:tab w:leader="none" w:pos="285"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1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08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Renewable Power</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4"/>
              </w:rPr>
              <w:t>(1,440)</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4"/>
              </w:rPr>
              <w:t>(1,043)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(3,559)</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189"/>
        </w:trPr>
        <w:tc>
          <w:tcPr>
            <w:tcW w:w="5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RNG Fuel</w:t>
            </w:r>
          </w:p>
        </w:tc>
        <w:tc>
          <w:tcPr>
            <w:tcW w:w="720" w:type="dxa"/>
            <w:vAlign w:val="bottom"/>
          </w:tcPr>
          <w:p>
            <w:pPr>
              <w:spacing w:after="0"/>
              <w:rPr>
                <w:sz w:val="16"/>
                <w:szCs w:val="16"/>
                <w:color w:val="auto"/>
              </w:rPr>
            </w:pPr>
          </w:p>
        </w:tc>
        <w:tc>
          <w:tcPr>
            <w:tcW w:w="6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(189)</w:t>
            </w:r>
          </w:p>
        </w:tc>
        <w:tc>
          <w:tcPr>
            <w:tcW w:w="720" w:type="dxa"/>
            <w:vAlign w:val="bottom"/>
          </w:tcPr>
          <w:p>
            <w:pPr>
              <w:spacing w:after="0"/>
              <w:rPr>
                <w:sz w:val="16"/>
                <w:szCs w:val="16"/>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(240)</w:t>
            </w:r>
          </w:p>
        </w:tc>
        <w:tc>
          <w:tcPr>
            <w:tcW w:w="3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Corporate</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853</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4"/>
              </w:rPr>
              <w:t>(1,311)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(3,385)</w:t>
            </w:r>
          </w:p>
        </w:tc>
        <w:tc>
          <w:tcPr>
            <w:tcW w:w="3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0"/>
        </w:trPr>
        <w:tc>
          <w:tcPr>
            <w:tcW w:w="5980" w:type="dxa"/>
            <w:vAlign w:val="bottom"/>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40" w:type="dxa"/>
            <w:vAlign w:val="bottom"/>
            <w:vMerge w:val="continue"/>
          </w:tcPr>
          <w:p>
            <w:pPr>
              <w:spacing w:after="0"/>
              <w:rPr>
                <w:sz w:val="17"/>
                <w:szCs w:val="17"/>
                <w:color w:val="auto"/>
              </w:rPr>
            </w:pP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(2,354</w:t>
            </w:r>
          </w:p>
        </w:tc>
        <w:tc>
          <w:tcPr>
            <w:tcW w:w="140" w:type="dxa"/>
            <w:vAlign w:val="bottom"/>
            <w:vMerge w:val="continue"/>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220" w:type="dxa"/>
            <w:vAlign w:val="bottom"/>
            <w:vMerge w:val="continue"/>
          </w:tcPr>
          <w:p>
            <w:pPr>
              <w:spacing w:after="0"/>
              <w:rPr>
                <w:sz w:val="17"/>
                <w:szCs w:val="17"/>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12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1,176</w:t>
            </w:r>
          </w:p>
        </w:tc>
        <w:tc>
          <w:tcPr>
            <w:tcW w:w="76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1,268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4,283</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2,621</w:t>
            </w:r>
          </w:p>
        </w:tc>
        <w:tc>
          <w:tcPr>
            <w:tcW w:w="7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6,379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w:t>
            </w:r>
          </w:p>
        </w:tc>
        <w:tc>
          <w:tcPr>
            <w:tcW w:w="7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6"/>
                <w:szCs w:val="16"/>
                <w:color w:val="auto"/>
              </w:rPr>
            </w:pPr>
          </w:p>
        </w:tc>
      </w:tr>
      <w:tr>
        <w:trPr>
          <w:trHeight w:val="224"/>
        </w:trPr>
        <w:tc>
          <w:tcPr>
            <w:tcW w:w="5980" w:type="dxa"/>
            <w:vAlign w:val="bottom"/>
          </w:tcPr>
          <w:p>
            <w:pPr>
              <w:ind w:left="140"/>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(699)</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(1,272)</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w:t>
            </w:r>
          </w:p>
        </w:tc>
      </w:tr>
      <w:tr>
        <w:trPr>
          <w:trHeight w:val="24"/>
        </w:trPr>
        <w:tc>
          <w:tcPr>
            <w:tcW w:w="59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3,258</w:t>
            </w:r>
          </w:p>
        </w:tc>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2,613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9,816</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(1) Other includes amortization of intangible assets and depreciation expense not allocated to any segment.</w:t>
      </w:r>
    </w:p>
    <w:p>
      <w:pPr>
        <w:spacing w:after="0" w:line="13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1,098</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(1,676)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(1,071)</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(6,526)</w:t>
            </w: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12,137</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25,779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2,109</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5,523</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12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(13,669)</w:t>
            </w:r>
          </w:p>
        </w:tc>
        <w:tc>
          <w:tcPr>
            <w:tcW w:w="7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(8,591)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(33,329)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20" w:type="dxa"/>
            <w:vAlign w:val="bottom"/>
          </w:tcPr>
          <w:p>
            <w:pPr>
              <w:spacing w:after="0"/>
              <w:rPr>
                <w:sz w:val="16"/>
                <w:szCs w:val="16"/>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3,694</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3,658</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7"/>
                <w:szCs w:val="17"/>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5,369</w:t>
            </w: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Purchases of Property, Plant, and Equipment: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1,800</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3,353</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6,653</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20" w:type="dxa"/>
            <w:vAlign w:val="bottom"/>
          </w:tcPr>
          <w:p>
            <w:pPr>
              <w:spacing w:after="0"/>
              <w:rPr>
                <w:sz w:val="16"/>
                <w:szCs w:val="16"/>
                <w:color w:val="auto"/>
              </w:rPr>
            </w:pPr>
          </w:p>
        </w:tc>
      </w:tr>
      <w:tr>
        <w:trPr>
          <w:trHeight w:val="20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25,937</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76,496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52,874</w:t>
            </w:r>
          </w:p>
        </w:tc>
        <w:tc>
          <w:tcPr>
            <w:tcW w:w="120" w:type="dxa"/>
            <w:vAlign w:val="bottom"/>
            <w:shd w:val="clear" w:color="auto" w:fill="CCEEFF"/>
          </w:tcPr>
          <w:p>
            <w:pPr>
              <w:spacing w:after="0"/>
              <w:rPr>
                <w:sz w:val="17"/>
                <w:szCs w:val="17"/>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29,790</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28,971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84,949</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63,393</w:t>
            </w:r>
          </w:p>
        </w:tc>
        <w:tc>
          <w:tcPr>
            <w:tcW w:w="1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Power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42,654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43,728</w:t>
            </w: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387,434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215,512</w:t>
            </w:r>
          </w:p>
        </w:tc>
        <w:tc>
          <w:tcPr>
            <w:tcW w:w="1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56,372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56,567</w:t>
            </w: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120,888</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17,887</w:t>
            </w:r>
          </w:p>
        </w:tc>
      </w:tr>
      <w:tr>
        <w:trPr>
          <w:trHeight w:val="20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r>
      <w:tr>
        <w:trPr>
          <w:trHeight w:val="216"/>
        </w:trPr>
        <w:tc>
          <w:tcPr>
            <w:tcW w:w="86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656,056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6"/>
          <w:szCs w:val="16"/>
          <w:color w:val="auto"/>
        </w:rPr>
        <w:t>Geographic Information: The Company’s assets and revenue generating activities are domiciled in the United States.</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998"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color w:val="auto"/>
        </w:rPr>
        <w:t>13. Variable Interest Entities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September 30,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the three months ended September 30,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condensed consolidated balance sheet as of September 30, 2022 and recorded $4,365 as Other income in its condensed consolidated statement of operations for the three and nine months ended September 30, 2022.</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2022 and December 31, 2021.</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145" w:lineRule="exact"/>
        <w:rPr>
          <w:sz w:val="20"/>
          <w:szCs w:val="20"/>
          <w:color w:val="auto"/>
        </w:rPr>
      </w:pPr>
    </w:p>
    <w:p>
      <w:pPr>
        <w:ind w:left="560" w:right="20" w:hanging="282"/>
        <w:spacing w:after="0" w:line="275" w:lineRule="auto"/>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 and</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obligation to absorb the potential losses for the right to receive potential benefits, which could be significant to the VIE;</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92" w:name="page193"/>
    <w:bookmarkEnd w:id="192"/>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5"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major condensed consolidated balance sheet items for consolidated VIEs as of September 30, 2022 and December 31, 2021. The information below is presented on an aggregate basis based on similar risk and reward characteristics and the nature of our involvement with the VIEs, such as:</w:t>
      </w:r>
    </w:p>
    <w:p>
      <w:pPr>
        <w:spacing w:after="0" w:line="145" w:lineRule="exact"/>
        <w:rPr>
          <w:sz w:val="20"/>
          <w:szCs w:val="20"/>
          <w:color w:val="auto"/>
        </w:rPr>
      </w:pPr>
    </w:p>
    <w:p>
      <w:pPr>
        <w:ind w:left="565" w:hanging="282"/>
        <w:spacing w:after="0"/>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VIEs are RNG facilities and they are reported under the RNG Fuel Supply segment;</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our interest in these entities is primarily equity based and therefore carry similar risk and reward characteristics;</w:t>
      </w:r>
    </w:p>
    <w:p>
      <w:pPr>
        <w:spacing w:after="0" w:line="194"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amount of assets that can only be used to settle obligations of the VIEs are parenthesized in the condensed consolidated balance sheets and are included in the asset totals listed in the table below.</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68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 current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7,623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investments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34,476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2,144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8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capital expenses</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current portion</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4,276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3,022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Borders>
              <w:bottom w:val="single" w:sz="8" w:color="CCEEFF"/>
            </w:tcBorders>
          </w:tcPr>
          <w:p>
            <w:pPr>
              <w:ind w:left="260"/>
              <w:spacing w:after="0" w:line="173" w:lineRule="exact"/>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26,356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19,221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10,692</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120"/>
              <w:spacing w:after="0" w:line="236" w:lineRule="exact"/>
              <w:rPr>
                <w:sz w:val="20"/>
                <w:szCs w:val="20"/>
                <w:color w:val="auto"/>
              </w:rPr>
            </w:pPr>
            <w:r>
              <w:rPr>
                <w:rFonts w:ascii="Times New Roman" w:cs="Times New Roman" w:eastAsia="Times New Roman" w:hAnsi="Times New Roman"/>
                <w:sz w:val="16"/>
                <w:szCs w:val="16"/>
                <w:color w:val="auto"/>
              </w:rPr>
              <w:t xml:space="preserve">Non-redeemable non-controlling interests </w:t>
            </w:r>
            <w:r>
              <w:rPr>
                <w:rFonts w:ascii="Times New Roman" w:cs="Times New Roman" w:eastAsia="Times New Roman" w:hAnsi="Times New Roman"/>
                <w:sz w:val="26"/>
                <w:szCs w:val="26"/>
                <w:color w:val="auto"/>
                <w:vertAlign w:val="superscript"/>
              </w:rPr>
              <w:t>(1)</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26,674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61,086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11,880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87,442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hanging="285"/>
        <w:spacing w:after="0" w:line="210" w:lineRule="auto"/>
        <w:tabs>
          <w:tab w:leader="none" w:pos="285"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August 2022, the Company paid $5,845 as prepayment of its share of equity contribution in a joint venture to meet the equity requirements. As of September 30, 2022, $2,922 of the payment has been reflected as part of non-redeemable non-controlling interest in the condensed consolidated statement of changes in Redeemable non-controlling interests, redeemable preferred non-controlling interests and stockholders’ equity.</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193" w:name="page194"/>
    <w:bookmarkEnd w:id="193"/>
    <w:p>
      <w:pPr>
        <w:ind w:left="5"/>
        <w:spacing w:after="0"/>
        <w:rPr>
          <w:sz w:val="20"/>
          <w:szCs w:val="20"/>
          <w:color w:val="auto"/>
        </w:rPr>
      </w:pPr>
      <w:r>
        <w:rPr>
          <w:rFonts w:ascii="Times New Roman" w:cs="Times New Roman" w:eastAsia="Times New Roman" w:hAnsi="Times New Roman"/>
          <w:sz w:val="16"/>
          <w:szCs w:val="16"/>
          <w:b w:val="1"/>
          <w:bCs w:val="1"/>
          <w:color w:val="auto"/>
        </w:rPr>
        <w:t>14. Redeemable non-controlling interests, Redeemable preferred non-controlling interests and Stockholders’ Equity</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The condensed consolidated statements of change in Redeemable non-controlling interests, Redeemable preferred non-controlling interests and stockholders’ equity reflect the reverse recapitalization and Business Combination as mentioned in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these condensed consolidated statements of change in redeemable preferred units and stockholders’ equity were retroactively adjusted.</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98"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5"/>
          <w:szCs w:val="15"/>
          <w:color w:val="auto"/>
        </w:rPr>
        <w:t>After giving effect to the Business Combination, there are currently (i) 25,671,390 shares of Class A common stock issued and outstanding, (ii) 144,399,037 shares of New OPAL Class D common stock issued and outstanding, (iii) no shares of Class B common stock, par value $0.0001 per share, of (“Class B common stock”) issued and outstanding</w:t>
      </w:r>
    </w:p>
    <w:p>
      <w:pPr>
        <w:ind w:left="5" w:right="20" w:hanging="5"/>
        <w:spacing w:after="0" w:line="253" w:lineRule="auto"/>
        <w:tabs>
          <w:tab w:leader="none" w:pos="10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16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As part of the Business Combination, $68,257 of Class A common stock and Additional paid-in capital was recorded, net of transaction costs of $6,569. Please see Note 3, </w:t>
      </w:r>
      <w:r>
        <w:rPr>
          <w:rFonts w:ascii="Times New Roman" w:cs="Times New Roman" w:eastAsia="Times New Roman" w:hAnsi="Times New Roman"/>
          <w:sz w:val="16"/>
          <w:szCs w:val="16"/>
          <w:i w:val="1"/>
          <w:iCs w:val="1"/>
          <w:color w:val="auto"/>
        </w:rPr>
        <w:t xml:space="preserve">Business Combination </w:t>
      </w:r>
      <w:r>
        <w:rPr>
          <w:rFonts w:ascii="Times New Roman" w:cs="Times New Roman" w:eastAsia="Times New Roman" w:hAnsi="Times New Roman"/>
          <w:sz w:val="16"/>
          <w:szCs w:val="16"/>
          <w:color w:val="auto"/>
        </w:rPr>
        <w:t>for additional information</w:t>
      </w:r>
      <w:r>
        <w:rPr>
          <w:rFonts w:ascii="Times New Roman" w:cs="Times New Roman" w:eastAsia="Times New Roman" w:hAnsi="Times New Roman"/>
          <w:sz w:val="16"/>
          <w:szCs w:val="16"/>
          <w:i w:val="1"/>
          <w:iCs w:val="1"/>
          <w:color w:val="auto"/>
        </w:rPr>
        <w:t>.</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Class A common stock</w:t>
      </w:r>
    </w:p>
    <w:p>
      <w:pPr>
        <w:spacing w:after="0" w:line="194" w:lineRule="exact"/>
        <w:rPr>
          <w:sz w:val="20"/>
          <w:szCs w:val="20"/>
          <w:color w:val="auto"/>
        </w:rPr>
      </w:pPr>
    </w:p>
    <w:p>
      <w:pPr>
        <w:jc w:val="both"/>
        <w:ind w:left="5"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A common stock is entitled to one vote for each share of Class A common stock held of record by such holder on all matters on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61" w:lineRule="exact"/>
        <w:rPr>
          <w:sz w:val="20"/>
          <w:szCs w:val="20"/>
          <w:color w:val="auto"/>
        </w:rPr>
      </w:pPr>
    </w:p>
    <w:p>
      <w:pPr>
        <w:jc w:val="both"/>
        <w:ind w:left="5"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and other distributions of cash, stock or property may be declared and paid on the shares of Class A common stock and the shares of Class C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out of the assets of the Company that are by law available therefor, at the times and in the amounts as our board in its discretion may determine.</w:t>
      </w:r>
    </w:p>
    <w:p>
      <w:pPr>
        <w:spacing w:after="0" w:line="141" w:lineRule="exact"/>
        <w:rPr>
          <w:sz w:val="20"/>
          <w:szCs w:val="20"/>
          <w:color w:val="auto"/>
        </w:rPr>
      </w:pPr>
    </w:p>
    <w:p>
      <w:pPr>
        <w:jc w:val="both"/>
        <w:ind w:left="5" w:right="20"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35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i w:val="1"/>
          <w:iCs w:val="1"/>
          <w:color w:val="auto"/>
        </w:rPr>
        <w:t>Class B common stock</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of Class B common stock may, together with the corresponding Class B Units, be exchanged for shares of Class A common stock.</w:t>
      </w:r>
    </w:p>
    <w:p>
      <w:pPr>
        <w:spacing w:after="0" w:line="192" w:lineRule="exact"/>
        <w:rPr>
          <w:sz w:val="20"/>
          <w:szCs w:val="20"/>
          <w:color w:val="auto"/>
        </w:rPr>
      </w:pPr>
    </w:p>
    <w:p>
      <w:pPr>
        <w:jc w:val="both"/>
        <w:ind w:right="20"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B common stock will be entitled to one vote for each share of Class B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of cash or property may not be declared or paid on shares of Class B common stock.</w:t>
      </w:r>
    </w:p>
    <w:p>
      <w:pPr>
        <w:spacing w:after="0" w:line="194"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C common stock</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of Class C common stock may be converted to shares of Class A common stock, as discussed further below</w:t>
      </w:r>
      <w:r>
        <w:rPr>
          <w:rFonts w:ascii="Times New Roman" w:cs="Times New Roman" w:eastAsia="Times New Roman" w:hAnsi="Times New Roman"/>
          <w:sz w:val="16"/>
          <w:szCs w:val="16"/>
          <w:i w:val="1"/>
          <w:iCs w:val="1"/>
          <w:color w:val="auto"/>
        </w:rPr>
        <w:t>.</w:t>
      </w:r>
    </w:p>
    <w:p>
      <w:pPr>
        <w:spacing w:after="0" w:line="194" w:lineRule="exact"/>
        <w:rPr>
          <w:sz w:val="20"/>
          <w:szCs w:val="20"/>
          <w:color w:val="auto"/>
        </w:rPr>
      </w:pPr>
    </w:p>
    <w:p>
      <w:pPr>
        <w:jc w:val="both"/>
        <w:ind w:left="560" w:hanging="282"/>
        <w:spacing w:after="0" w:line="262"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Voluntary Conversion. </w:t>
      </w:r>
      <w:r>
        <w:rPr>
          <w:rFonts w:ascii="Times New Roman" w:cs="Times New Roman" w:eastAsia="Times New Roman" w:hAnsi="Times New Roman"/>
          <w:sz w:val="16"/>
          <w:szCs w:val="16"/>
          <w:color w:val="auto"/>
        </w:rPr>
        <w:t>Each share of Class C common stock shall be convertible into one share of Class A common stock at the option of the holder thereof,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5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Automatic Conversion. </w:t>
      </w:r>
      <w:r>
        <w:rPr>
          <w:rFonts w:ascii="Times New Roman" w:cs="Times New Roman" w:eastAsia="Times New Roman" w:hAnsi="Times New Roman"/>
          <w:sz w:val="16"/>
          <w:szCs w:val="16"/>
          <w:color w:val="auto"/>
        </w:rPr>
        <w:t>Each share of Class C common stock shall automatically, without any further action, convert into one share of Class A common stock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other than a Transfer to a qualified stockholder (as defined in the Charter).</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C common stock will be entitled to five votes for each share of Class C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95" w:name="page196"/>
    <w:bookmarkEnd w:id="195"/>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Dividends and other distributions of cash, stock or property may be declared and paid on the shares of Class A common stock and the shares of Class C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out of the assets of the Company that are by law available therefor, at the times and in the amounts as our board in its discretion may determine.</w:t>
      </w:r>
    </w:p>
    <w:p>
      <w:pPr>
        <w:spacing w:after="0" w:line="141" w:lineRule="exact"/>
        <w:rPr>
          <w:sz w:val="20"/>
          <w:szCs w:val="20"/>
          <w:color w:val="auto"/>
        </w:rPr>
      </w:pPr>
    </w:p>
    <w:p>
      <w:pPr>
        <w:jc w:val="both"/>
        <w:ind w:right="20" w:firstLine="28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D common stock</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spacing w:after="0" w:line="143"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Each share of Class D common stock shall be convertible into one share of Class B common stock at the option of the holder thereof at any time upon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notice to the Company;</w:t>
      </w:r>
    </w:p>
    <w:p>
      <w:pPr>
        <w:spacing w:after="0" w:line="141" w:lineRule="exact"/>
        <w:rPr>
          <w:sz w:val="20"/>
          <w:szCs w:val="20"/>
          <w:color w:val="auto"/>
        </w:rPr>
      </w:pPr>
    </w:p>
    <w:p>
      <w:pPr>
        <w:jc w:val="both"/>
        <w:ind w:right="20" w:firstLine="283"/>
        <w:spacing w:after="0" w:line="278" w:lineRule="auto"/>
        <w:rPr>
          <w:sz w:val="20"/>
          <w:szCs w:val="20"/>
          <w:color w:val="auto"/>
        </w:rPr>
      </w:pP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Each share of Class D common stock shall automatically, without any further action, convert into one share of Class B common stock upon a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a transfer to a qualified stockholder.</w:t>
      </w:r>
    </w:p>
    <w:p>
      <w:pPr>
        <w:spacing w:after="0" w:line="141"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Each holder of Class D common stock will be entitled to five votes for each share of Class D common stock held of record by such holder on all matters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Dividends of cash or property may not be declared or paid on shares of Class D common stock.</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i w:val="1"/>
          <w:iCs w:val="1"/>
          <w:color w:val="auto"/>
        </w:rPr>
        <w:t>Redeemable preferred non-controlling interests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On November 29, 2021, as part of an exchange agreement (“Hillman exchange”), the Company issued 300,000 Series A-1 preferred units to Hillman in return for Hillman’s non-controlling interest in four RNG project subsidiaries.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During the nine months ended September 30, 2022, the Company had drawn $100,000 and issued 1,000,000 Series A preferred units.</w:t>
      </w:r>
    </w:p>
    <w:p>
      <w:pPr>
        <w:spacing w:after="0" w:line="15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September 30, 2022.</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the redeemable preferred non-controlling interests which represent Series A and Series A-1 preferred units outstanding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level from December 31, 2021 to September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Series A-1 preferred units</w:t>
            </w:r>
          </w:p>
        </w:tc>
        <w:tc>
          <w:tcPr>
            <w:tcW w:w="254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Series A preferred units</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136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30,210</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Series A units issued by OPAL Fuels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dividends attributable to OPAL Fuels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1,752</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Paid-in kind dividends attributable to Class A common stockholders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32,030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103,273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Terms of Redeemable preferred units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Series A and Series A-1 preferred units (together the “Preferred Units”) have substantially the same terms and features which are listed below:</w:t>
      </w:r>
    </w:p>
    <w:p>
      <w:pPr>
        <w:spacing w:after="0" w:line="19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5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197" w:name="page198"/>
    <w:bookmarkEnd w:id="197"/>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6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164" w:lineRule="exact"/>
        <w:rPr>
          <w:sz w:val="20"/>
          <w:szCs w:val="20"/>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volume-weighted average price (“VWAP”) of the Company’s common shares.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the estimated proceeds to be received by the holder of a common unit if the net assets of the Company were sold at fair market value and distributed.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Redeemable non-controlling interests</w:t>
      </w:r>
    </w:p>
    <w:p>
      <w:pPr>
        <w:spacing w:after="0" w:line="198"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September 30, 2022, the Company recorded $1,160,723 to adjust the carrying value to their redemption value based on a 5 day VWAP of $8.47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Net Income (loss) Per Share</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basic loss per share of Class A common stock is computed by dividing the net loss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unaudited condensed consolidated financial statements. Therefore net loss per share information has not been presented for periods prior to Business Combination on July 21, 2022. The basic and diluted net loss per share for the three and nine months ended September 30, 2022 represent only the period from July 21, 2022 to September 30, 2022.</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98" w:name="page199"/>
    <w:bookmarkEnd w:id="198"/>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diluted loss per share of Class A common stock for the three and nine months ended September 30, 2022 does not include Redeemable preferred non-controlling interests, Convertible Note Payable because the substantive contingency for conversion has not been met as of September 30, 2022. It does not include 9,223,261 Private Warrants and 6,223,261 Public Warrants as their strike price at $11.50 exceeded the average market price for the Company during the measurement period.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2022.</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calculation of basic and diluted net loss per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8680" w:type="dxa"/>
            <w:vAlign w:val="bottom"/>
          </w:tcPr>
          <w:p>
            <w:pPr>
              <w:spacing w:after="0"/>
              <w:rPr>
                <w:sz w:val="24"/>
                <w:szCs w:val="24"/>
                <w:color w:val="auto"/>
              </w:rPr>
            </w:pPr>
          </w:p>
        </w:tc>
        <w:tc>
          <w:tcPr>
            <w:tcW w:w="128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Nine Months</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70"/>
        </w:trPr>
        <w:tc>
          <w:tcPr>
            <w:tcW w:w="8680" w:type="dxa"/>
            <w:vAlign w:val="bottom"/>
          </w:tcPr>
          <w:p>
            <w:pPr>
              <w:spacing w:after="0"/>
              <w:rPr>
                <w:sz w:val="14"/>
                <w:szCs w:val="14"/>
                <w:color w:val="auto"/>
              </w:rPr>
            </w:pPr>
          </w:p>
        </w:tc>
        <w:tc>
          <w:tcPr>
            <w:tcW w:w="114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Class A common stockholders</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change in fair value of the put option on the forward purchase agreement</w:t>
            </w:r>
          </w:p>
        </w:tc>
        <w:tc>
          <w:tcPr>
            <w:tcW w:w="220" w:type="dxa"/>
            <w:vAlign w:val="bottom"/>
          </w:tcPr>
          <w:p>
            <w:pPr>
              <w:spacing w:after="0"/>
              <w:rPr>
                <w:sz w:val="17"/>
                <w:szCs w:val="17"/>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attributable to Class A common stockholders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 basic</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25,671,390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25,671,390</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Effect of the dilutive put option on a forward purchase agreement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152,382</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 diluted</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25,823,772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25,823,772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 per share of Class A common stock</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6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For the three and nine months ended September 30, 2022, the Company recorded zero income tax expense. The effective tax rate for the three months ended September 30, 2022 was 0%. The difference between the Company’s effective tax rate for the three and nine months ended September 30, 2022 and the U.S. statutory tax rate of 21% was primarily due to a full valuation allowance recorded on the Company’s net U.S. deferred tax assets. The Company did not record a tax provision for the three and nine months ended September 30, 2021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99" w:name="page200"/>
    <w:bookmarkEnd w:id="199"/>
    <w:p>
      <w:pPr>
        <w:ind w:left="5" w:right="8800" w:hanging="5"/>
        <w:spacing w:after="0" w:line="494" w:lineRule="auto"/>
        <w:tabs>
          <w:tab w:leader="none" w:pos="242"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Letters of Credit</w:t>
      </w:r>
    </w:p>
    <w:p>
      <w:pPr>
        <w:spacing w:after="0" w:line="1"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As of September 30, 2022 and December 31, 2021, the Company was required to maintain nine standby letters of credit totaling $9,348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Purchase Options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5"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18. Subsequent Events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On October 4, 2022, the Company granted 428,902 restricted stock units for certain eligible employees and board of directors under the OPAL Fuels Inc. 2022 Omnibus Equity Incentive Plan. The aggregate fair value of the grant was $3,405 based on the closing share price of $7.94 on October 3, 2022. The shares will vest in full on October 3, 2023. The amortization of the above grants will be included in the selling, general and administrative expenses in the condensed consolidated statement of operations beginning in the fourth quarter of 2022.</w:t>
      </w:r>
    </w:p>
    <w:p>
      <w:pPr>
        <w:spacing w:after="0" w:line="16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On October 12, 2022, the Company borrowed $12,500 under the OPAL Term Loan.</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OPAL Fuels Inc.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2020 and 2019 Consolidated Financial Statements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Parties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10 “Related Parties” to the consolidated financial statements, OPAL Fuels Inc. and its subsidiaries have entered into significant transactions with Fortistar, LLC, which is a related party. Our opinion is not modified with respect to this matter.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2022, except for the effects of the recapitalization described in Note 1, as to which the date is November 17, 2022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01" w:name="page202"/>
    <w:bookmarkEnd w:id="201"/>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28"/>
        </w:trPr>
        <w:tc>
          <w:tcPr>
            <w:tcW w:w="7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61"/>
              <w:spacing w:after="0" w:line="225" w:lineRule="exact"/>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6"/>
                <w:szCs w:val="26"/>
                <w:b w:val="1"/>
                <w:bCs w:val="1"/>
                <w:color w:val="auto"/>
                <w:vertAlign w:val="superscript"/>
              </w:rPr>
              <w:t>(1)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 xml:space="preserve">(Restated) </w:t>
            </w:r>
            <w:r>
              <w:rPr>
                <w:rFonts w:ascii="Times New Roman" w:cs="Times New Roman" w:eastAsia="Times New Roman" w:hAnsi="Times New Roman"/>
                <w:sz w:val="26"/>
                <w:szCs w:val="26"/>
                <w:b w:val="1"/>
                <w:bCs w:val="1"/>
                <w:color w:val="auto"/>
                <w:w w:val="90"/>
                <w:vertAlign w:val="superscript"/>
              </w:rPr>
              <w:t>(1)(2)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750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Cash and cash equivalents (includes $1,991 and $5,088 at December 31, 2021 and December 31, 2020, respectively, related 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39,314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12,823</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Accounts receivable, net (includes $40 and $— at December 31, 2021 and December 31, 2020, respectively, related to</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25,391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22,002</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2,276</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assets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Parts inventory</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4,244</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Prepaid expense and other current assets (includes $113 and $—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2,981</w:t>
            </w:r>
          </w:p>
        </w:tc>
        <w:tc>
          <w:tcPr>
            <w:tcW w:w="0" w:type="dxa"/>
            <w:vAlign w:val="bottom"/>
          </w:tcPr>
          <w:p>
            <w:pPr>
              <w:spacing w:after="0"/>
              <w:rPr>
                <w:sz w:val="1"/>
                <w:szCs w:val="1"/>
                <w:color w:val="auto"/>
              </w:rPr>
            </w:pPr>
          </w:p>
        </w:tc>
      </w:tr>
      <w:tr>
        <w:trPr>
          <w:trHeight w:val="204"/>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asset, current portion</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500" w:type="dxa"/>
            <w:vAlign w:val="bottom"/>
          </w:tcPr>
          <w:p>
            <w:pPr>
              <w:ind w:left="280"/>
              <w:spacing w:after="0" w:line="173" w:lineRule="exact"/>
              <w:rPr>
                <w:sz w:val="20"/>
                <w:szCs w:val="20"/>
                <w:color w:val="auto"/>
              </w:rPr>
            </w:pPr>
            <w:r>
              <w:rPr>
                <w:rFonts w:ascii="Times New Roman" w:cs="Times New Roman" w:eastAsia="Times New Roman" w:hAnsi="Times New Roman"/>
                <w:sz w:val="16"/>
                <w:szCs w:val="16"/>
                <w:color w:val="auto"/>
              </w:rPr>
              <w:t>Capital spares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Property, plant, and equipment, net (includes $27,359 and $18,834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169,770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79,492</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Note receivable</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asset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Intangible assets, net</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asset, non-current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Restricted cash (includes $1,163 and $2,199 at December 31, 2021 and December 31, 2020, respectively, related to consolidated</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01"/>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3,453</w:t>
            </w:r>
          </w:p>
        </w:tc>
        <w:tc>
          <w:tcPr>
            <w:tcW w:w="0" w:type="dxa"/>
            <w:vAlign w:val="bottom"/>
          </w:tcPr>
          <w:p>
            <w:pPr>
              <w:spacing w:after="0"/>
              <w:rPr>
                <w:sz w:val="1"/>
                <w:szCs w:val="1"/>
                <w:color w:val="auto"/>
              </w:rPr>
            </w:pPr>
          </w:p>
        </w:tc>
      </w:tr>
      <w:tr>
        <w:trPr>
          <w:trHeight w:val="24"/>
        </w:trPr>
        <w:tc>
          <w:tcPr>
            <w:tcW w:w="75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380,844</w:t>
            </w: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169,458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Preferred Units, and Members’ Equity</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Accounts payable (includes $544 and $864 at December 31, 2021 and December 31, 2020, respectively, related to consolidated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VIEs)</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12,581</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8,683</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Fuel tax credits payable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payroll</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Accrued capital expenses (includes $1,722$— and $3,300 at December 31, 2021 and December 31, 2020, respectively, related to</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Accrued expenses and other current liabilities (includes $0 and $776 at December 31, 2021 and December 31, 2020, respectively</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7,323</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liabilities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4,678</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Liability under power sales agreement,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term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73,145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5,182</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8880" w:type="dxa"/>
            <w:vAlign w:val="bottom"/>
            <w:gridSpan w:val="3"/>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Sunoma loan, current portion (includes $756 and $— at December 31, 2021 and December 31, 2020, respectively, related 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consolidated VIEs)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Municipality loan, current portion</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76"/>
        </w:trPr>
        <w:tc>
          <w:tcPr>
            <w:tcW w:w="7500" w:type="dxa"/>
            <w:vAlign w:val="bottom"/>
            <w:tcBorders>
              <w:top w:val="single" w:sz="8" w:color="CCEEFF"/>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11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142,116</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42,862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term loan, net of debt issuance costs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72,256</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OPAL term loan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59,090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Convertible note payable</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Municipality loan</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172"/>
        </w:trPr>
        <w:tc>
          <w:tcPr>
            <w:tcW w:w="8880" w:type="dxa"/>
            <w:vAlign w:val="bottom"/>
            <w:gridSpan w:val="3"/>
          </w:tcPr>
          <w:p>
            <w:pPr>
              <w:ind w:left="280"/>
              <w:spacing w:after="0" w:line="172" w:lineRule="exact"/>
              <w:rPr>
                <w:sz w:val="20"/>
                <w:szCs w:val="20"/>
                <w:color w:val="auto"/>
              </w:rPr>
            </w:pPr>
            <w:r>
              <w:rPr>
                <w:rFonts w:ascii="Times New Roman" w:cs="Times New Roman" w:eastAsia="Times New Roman" w:hAnsi="Times New Roman"/>
                <w:sz w:val="16"/>
                <w:szCs w:val="16"/>
                <w:color w:val="auto"/>
              </w:rPr>
              <w:t>Sunoma loan, net of debt issuance costs (includes $16,199 and $470 at December 31, 2021 and December 31, 2020, respectively,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Derivative financial liability, non-current portion</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5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Commitments and contingencies (Note 20)</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30,210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23,760</w:t>
            </w: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 xml:space="preserve">Stockholders’ equity </w:t>
            </w:r>
            <w:r>
              <w:rPr>
                <w:rFonts w:ascii="Times New Roman" w:cs="Times New Roman" w:eastAsia="Times New Roman" w:hAnsi="Times New Roman"/>
                <w:sz w:val="26"/>
                <w:szCs w:val="26"/>
                <w:color w:val="auto"/>
                <w:vertAlign w:val="superscript"/>
              </w:rPr>
              <w:t>(1)</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80"/>
              <w:spacing w:after="0" w:line="172" w:lineRule="exact"/>
              <w:rPr>
                <w:sz w:val="20"/>
                <w:szCs w:val="20"/>
                <w:color w:val="auto"/>
              </w:rPr>
            </w:pPr>
            <w:r>
              <w:rPr>
                <w:rFonts w:ascii="Times New Roman" w:cs="Times New Roman" w:eastAsia="Times New Roman" w:hAnsi="Times New Roman"/>
                <w:sz w:val="16"/>
                <w:szCs w:val="16"/>
                <w:color w:val="auto"/>
                <w:w w:val="98"/>
              </w:rPr>
              <w:t>Class D common stock, $0.0001 par value, 154,309,729 shares authorized as of September 30, 2022; 144,399,037</w:t>
            </w:r>
          </w:p>
        </w:tc>
        <w:tc>
          <w:tcPr>
            <w:tcW w:w="1380" w:type="dxa"/>
            <w:vAlign w:val="bottom"/>
            <w:gridSpan w:val="2"/>
          </w:tcPr>
          <w:p>
            <w:pPr>
              <w:jc w:val="right"/>
              <w:ind w:right="601"/>
              <w:spacing w:after="0" w:line="172" w:lineRule="exact"/>
              <w:rPr>
                <w:sz w:val="20"/>
                <w:szCs w:val="20"/>
                <w:color w:val="auto"/>
              </w:rPr>
            </w:pPr>
            <w:r>
              <w:rPr>
                <w:rFonts w:ascii="Times New Roman" w:cs="Times New Roman" w:eastAsia="Times New Roman" w:hAnsi="Times New Roman"/>
                <w:sz w:val="16"/>
                <w:szCs w:val="16"/>
                <w:color w:val="auto"/>
              </w:rPr>
              <w:t>issued and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outstanding at December 31, 2021 and 2020</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1"/>
        </w:trPr>
        <w:tc>
          <w:tcPr>
            <w:tcW w:w="7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7500" w:type="dxa"/>
            <w:vAlign w:val="bottom"/>
            <w:tcBorders>
              <w:top w:val="single" w:sz="8" w:color="CCEEFF"/>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Stockholders’ equity attributable to the Company</w:t>
            </w:r>
          </w:p>
        </w:tc>
        <w:tc>
          <w:tcPr>
            <w:tcW w:w="11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 in subsidiaries</w:t>
            </w: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00" w:type="dxa"/>
            <w:vAlign w:val="bottom"/>
            <w:tcBorders>
              <w:bottom w:val="single" w:sz="8" w:color="CCEEFF"/>
            </w:tcBorders>
          </w:tcPr>
          <w:p>
            <w:pPr>
              <w:ind w:left="420"/>
              <w:spacing w:after="0" w:line="173" w:lineRule="exact"/>
              <w:rPr>
                <w:sz w:val="20"/>
                <w:szCs w:val="20"/>
                <w:color w:val="auto"/>
              </w:rPr>
            </w:pPr>
            <w:r>
              <w:rPr>
                <w:rFonts w:ascii="Times New Roman" w:cs="Times New Roman" w:eastAsia="Times New Roman" w:hAnsi="Times New Roman"/>
                <w:sz w:val="16"/>
                <w:szCs w:val="16"/>
                <w:color w:val="auto"/>
              </w:rPr>
              <w:t>Total stockholders’ equity</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6,699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equity</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60"/>
          </w:cols>
          <w:pgMar w:left="320" w:top="783" w:right="319" w:bottom="0" w:gutter="0" w:footer="0" w:header="0"/>
        </w:sectPr>
      </w:pPr>
    </w:p>
    <w:bookmarkStart w:id="202" w:name="page203"/>
    <w:bookmarkEnd w:id="202"/>
    <w:p>
      <w:pPr>
        <w:ind w:left="285" w:hanging="285"/>
        <w:spacing w:after="0"/>
        <w:tabs>
          <w:tab w:leader="none" w:pos="285"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9845"/>
                    </a:xfrm>
                    <a:prstGeom prst="rect">
                      <a:avLst/>
                    </a:prstGeom>
                    <a:noFill/>
                  </pic:spPr>
                </pic:pic>
              </a:graphicData>
            </a:graphic>
          </wp:anchor>
        </w:drawing>
        <w:t>Retroactively restated for the reverse recapitalization upon completion of Business Combination as described in Note 1.</w:t>
      </w:r>
    </w:p>
    <w:p>
      <w:pPr>
        <w:ind w:left="285" w:hanging="285"/>
        <w:spacing w:after="0" w:line="187" w:lineRule="auto"/>
        <w:tabs>
          <w:tab w:leader="none" w:pos="285"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spacing w:after="0" w:line="17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267" w:right="339" w:bottom="1440" w:gutter="0" w:footer="0" w:header="0"/>
        </w:sectPr>
      </w:pPr>
    </w:p>
    <w:bookmarkStart w:id="203" w:name="page204"/>
    <w:bookmarkEnd w:id="203"/>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70,360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11,545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45,324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51,250</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station service</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50,440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54,911</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 net</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166,124</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2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119,702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41,075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37,755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Fuel station service</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42,838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45,037</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29,380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20,474</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8,338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17,689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(2,051)</w:t>
            </w: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155,098</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135,542</w:t>
            </w:r>
          </w:p>
        </w:tc>
        <w:tc>
          <w:tcPr>
            <w:tcW w:w="2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114,747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Other income (expenses):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(6,655)</w:t>
            </w: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(8,026)</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gain (loss) on derivative financial instruments, net</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tcPr>
          <w:p>
            <w:pPr>
              <w:spacing w:after="0"/>
              <w:rPr>
                <w:sz w:val="16"/>
                <w:szCs w:val="16"/>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7"/>
                <w:szCs w:val="17"/>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Paid-in-kind preferred dividends</w:t>
            </w:r>
          </w:p>
        </w:tc>
        <w:tc>
          <w:tcPr>
            <w:tcW w:w="24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3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1"/>
                <w:szCs w:val="11"/>
                <w:color w:val="auto"/>
              </w:rPr>
              <w:t xml:space="preserve">Net income (loss) attributable to Redeemable non-controlling interests </w:t>
            </w:r>
            <w:r>
              <w:rPr>
                <w:rFonts w:ascii="Times New Roman" w:cs="Times New Roman" w:eastAsia="Times New Roman" w:hAnsi="Times New Roman"/>
                <w:sz w:val="17"/>
                <w:szCs w:val="17"/>
                <w:color w:val="auto"/>
                <w:vertAlign w:val="superscript"/>
              </w:rPr>
              <w:t>(2)</w:t>
            </w:r>
          </w:p>
        </w:tc>
        <w:tc>
          <w:tcPr>
            <w:tcW w:w="240" w:type="dxa"/>
            <w:vAlign w:val="bottom"/>
            <w:tcBorders>
              <w:top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41,363</w:t>
            </w:r>
          </w:p>
        </w:tc>
        <w:tc>
          <w:tcPr>
            <w:tcW w:w="80" w:type="dxa"/>
            <w:vAlign w:val="bottom"/>
            <w:tcBorders>
              <w:top w:val="single" w:sz="8" w:color="CCEEFF"/>
            </w:tcBorders>
            <w:vMerge w:val="restart"/>
          </w:tcPr>
          <w:p>
            <w:pPr>
              <w:spacing w:after="0"/>
              <w:rPr>
                <w:sz w:val="12"/>
                <w:szCs w:val="12"/>
                <w:color w:val="auto"/>
              </w:rPr>
            </w:pPr>
          </w:p>
        </w:tc>
        <w:tc>
          <w:tcPr>
            <w:tcW w:w="140" w:type="dxa"/>
            <w:vAlign w:val="bottom"/>
            <w:tcBorders>
              <w:top w:val="single" w:sz="8" w:color="CCEEFF"/>
            </w:tcBorders>
            <w:vMerge w:val="restart"/>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jc w:val="right"/>
              <w:ind w:right="81"/>
              <w:spacing w:after="0" w:line="149"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6"/>
        </w:trPr>
        <w:tc>
          <w:tcPr>
            <w:tcW w:w="73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60" w:type="dxa"/>
            <w:vAlign w:val="bottom"/>
            <w:gridSpan w:val="2"/>
          </w:tcPr>
          <w:p>
            <w:pPr>
              <w:jc w:val="right"/>
              <w:ind w:right="141"/>
              <w:spacing w:after="0" w:line="83" w:lineRule="exact"/>
              <w:rPr>
                <w:sz w:val="20"/>
                <w:szCs w:val="20"/>
                <w:color w:val="auto"/>
              </w:rPr>
            </w:pPr>
            <w:r>
              <w:rPr>
                <w:rFonts w:ascii="Times New Roman" w:cs="Times New Roman" w:eastAsia="Times New Roman" w:hAnsi="Times New Roman"/>
                <w:sz w:val="9"/>
                <w:szCs w:val="9"/>
                <w:color w:val="auto"/>
              </w:rPr>
              <w:t>(25,358</w:t>
            </w:r>
          </w:p>
        </w:tc>
        <w:tc>
          <w:tcPr>
            <w:tcW w:w="1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jc w:val="both"/>
        <w:ind w:left="285" w:hanging="285"/>
        <w:spacing w:after="0" w:line="204" w:lineRule="auto"/>
        <w:tabs>
          <w:tab w:leader="none" w:pos="285" w:val="left"/>
        </w:tabs>
        <w:numPr>
          <w:ilvl w:val="0"/>
          <w:numId w:val="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Retroactively restated for the reverse recapitalization upon completion of Business Combination as described in Note 1. Net income (loss) per share information has not been presented for the years ended December 31, 2021, 2020 and 2019 as there are no common shares outstanding upon retroactive restatement resulting from Business Combination as described in Note 1.</w:t>
      </w:r>
    </w:p>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04" w:name="page205"/>
    <w:bookmarkEnd w:id="20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REDEEMABLE NON-CONTROLLING INTEREST, REDEEMABLE PREFERRED NON-</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CONTROLLING INTEREST AND STOCKHOLDERS’ (DEFICIT) EQUITY</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unit data)</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preferred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780" w:type="dxa"/>
            <w:vAlign w:val="bottom"/>
            <w:gridSpan w:val="4"/>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Legacy Common Units</w:t>
            </w:r>
          </w:p>
        </w:tc>
        <w:tc>
          <w:tcPr>
            <w:tcW w:w="100" w:type="dxa"/>
            <w:vAlign w:val="bottom"/>
            <w:vMerge w:val="restart"/>
          </w:tcPr>
          <w:p>
            <w:pPr>
              <w:spacing w:after="0"/>
              <w:rPr>
                <w:sz w:val="16"/>
                <w:szCs w:val="16"/>
                <w:color w:val="auto"/>
              </w:rPr>
            </w:pPr>
          </w:p>
        </w:tc>
        <w:tc>
          <w:tcPr>
            <w:tcW w:w="1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D common stock</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non-</w:t>
            </w: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80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178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controlling</w:t>
            </w:r>
          </w:p>
        </w:tc>
        <w:tc>
          <w:tcPr>
            <w:tcW w:w="9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interests</w:t>
            </w: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01"/>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Equity </w:t>
            </w:r>
            <w:r>
              <w:rPr>
                <w:rFonts w:ascii="Times New Roman" w:cs="Times New Roman" w:eastAsia="Times New Roman" w:hAnsi="Times New Roman"/>
                <w:sz w:val="24"/>
                <w:szCs w:val="24"/>
                <w:b w:val="1"/>
                <w:bCs w:val="1"/>
                <w:color w:val="auto"/>
                <w:vertAlign w:val="superscript"/>
              </w:rPr>
              <w:t>(1)</w:t>
            </w:r>
          </w:p>
        </w:tc>
        <w:tc>
          <w:tcPr>
            <w:tcW w:w="960" w:type="dxa"/>
            <w:vAlign w:val="bottom"/>
            <w:gridSpan w:val="3"/>
          </w:tcPr>
          <w:p>
            <w:pPr>
              <w:jc w:val="center"/>
              <w:ind w:right="80"/>
              <w:spacing w:after="0" w:line="212" w:lineRule="exact"/>
              <w:rPr>
                <w:sz w:val="20"/>
                <w:szCs w:val="20"/>
                <w:color w:val="auto"/>
              </w:rPr>
            </w:pPr>
            <w:r>
              <w:rPr>
                <w:rFonts w:ascii="Times New Roman" w:cs="Times New Roman" w:eastAsia="Times New Roman" w:hAnsi="Times New Roman"/>
                <w:sz w:val="15"/>
                <w:szCs w:val="15"/>
                <w:b w:val="1"/>
                <w:bCs w:val="1"/>
                <w:color w:val="auto"/>
                <w:w w:val="99"/>
              </w:rPr>
              <w:t xml:space="preserve">interests </w:t>
            </w:r>
            <w:r>
              <w:rPr>
                <w:rFonts w:ascii="Times New Roman" w:cs="Times New Roman" w:eastAsia="Times New Roman" w:hAnsi="Times New Roman"/>
                <w:sz w:val="24"/>
                <w:szCs w:val="24"/>
                <w:b w:val="1"/>
                <w:bCs w:val="1"/>
                <w:color w:val="auto"/>
                <w:w w:val="99"/>
                <w:vertAlign w:val="superscript"/>
              </w:rPr>
              <w:t>(1)</w:t>
            </w:r>
          </w:p>
        </w:tc>
        <w:tc>
          <w:tcPr>
            <w:tcW w:w="980" w:type="dxa"/>
            <w:vAlign w:val="bottom"/>
            <w:gridSpan w:val="3"/>
          </w:tcPr>
          <w:p>
            <w:pPr>
              <w:ind w:left="60"/>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interests </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159"/>
        </w:trPr>
        <w:tc>
          <w:tcPr>
            <w:tcW w:w="256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2018, as previously</w:t>
            </w: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(7,418)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56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6"/>
                <w:szCs w:val="26"/>
                <w:color w:val="auto"/>
                <w:vertAlign w:val="superscript"/>
              </w:rPr>
              <w:t>(1)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restated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Retroactive application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560" w:type="dxa"/>
            <w:vAlign w:val="bottom"/>
          </w:tcPr>
          <w:p>
            <w:pPr>
              <w:ind w:left="140"/>
              <w:spacing w:after="0" w:line="248" w:lineRule="exact"/>
              <w:rPr>
                <w:sz w:val="20"/>
                <w:szCs w:val="20"/>
                <w:color w:val="auto"/>
              </w:rPr>
            </w:pPr>
            <w:r>
              <w:rPr>
                <w:rFonts w:ascii="Times New Roman" w:cs="Times New Roman" w:eastAsia="Times New Roman" w:hAnsi="Times New Roman"/>
                <w:sz w:val="16"/>
                <w:szCs w:val="16"/>
                <w:color w:val="auto"/>
              </w:rPr>
              <w:t xml:space="preserve">recapitalization </w:t>
            </w:r>
            <w:r>
              <w:rPr>
                <w:rFonts w:ascii="Times New Roman" w:cs="Times New Roman" w:eastAsia="Times New Roman" w:hAnsi="Times New Roman"/>
                <w:sz w:val="26"/>
                <w:szCs w:val="26"/>
                <w:color w:val="auto"/>
                <w:vertAlign w:val="superscript"/>
              </w:rPr>
              <w:t>(2)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7,418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(5,211)</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2018, as adjusted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25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(5,249)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30,057</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76"/>
        </w:trPr>
        <w:tc>
          <w:tcPr>
            <w:tcW w:w="256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December 31, 2019</w:t>
            </w: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bottom w:val="single" w:sz="8" w:color="CCEEFF"/>
              <w:right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22,498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Issuance of non-redeemable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6,698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1,834</w:t>
            </w: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15,128</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Assignment of related party loan and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line of credit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8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41,573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Issuance of non-redeemable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56,231</w:t>
            </w: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56,231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3,158</w:t>
            </w: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Issuance to Redeemable preferred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Acquisition of non-controlling interest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Contributions from redeemable non-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7,531</w:t>
            </w:r>
          </w:p>
        </w:tc>
        <w:tc>
          <w:tcPr>
            <w:tcW w:w="0" w:type="dxa"/>
            <w:vAlign w:val="bottom"/>
          </w:tcPr>
          <w:p>
            <w:pPr>
              <w:spacing w:after="0"/>
              <w:rPr>
                <w:sz w:val="1"/>
                <w:szCs w:val="1"/>
                <w:color w:val="auto"/>
              </w:rPr>
            </w:pPr>
          </w:p>
        </w:tc>
      </w:tr>
      <w:tr>
        <w:trPr>
          <w:trHeight w:val="172"/>
        </w:trPr>
        <w:tc>
          <w:tcPr>
            <w:tcW w:w="2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Distributions to redeemable non-</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224"/>
        </w:trPr>
        <w:tc>
          <w:tcPr>
            <w:tcW w:w="256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 xml:space="preserve">Deconsolidation of entities </w:t>
            </w:r>
            <w:r>
              <w:rPr>
                <w:rFonts w:ascii="Times New Roman" w:cs="Times New Roman" w:eastAsia="Times New Roman" w:hAnsi="Times New Roman"/>
                <w:sz w:val="26"/>
                <w:szCs w:val="26"/>
                <w:color w:val="auto"/>
                <w:vertAlign w:val="superscript"/>
              </w:rPr>
              <w:t>(4)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Paid-in-kind preferred dividends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4"/>
        </w:trPr>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142,377,450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63,545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196"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Note 2, Restatement of financial statements to these consolidated financial statements, we have restated the consolidated financial statements for the years ended December 31, 2020 and 2019.</w:t>
      </w:r>
    </w:p>
    <w:p>
      <w:pPr>
        <w:ind w:left="285" w:hanging="285"/>
        <w:spacing w:after="0" w:line="187" w:lineRule="auto"/>
        <w:tabs>
          <w:tab w:leader="none" w:pos="285" w:val="left"/>
        </w:tabs>
        <w:numPr>
          <w:ilvl w:val="0"/>
          <w:numId w:val="9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Retroactively restated for the reverse recapitalization upon completion of Business Combination as described in Note 1.</w:t>
      </w:r>
    </w:p>
    <w:p>
      <w:pPr>
        <w:spacing w:after="0" w:line="1" w:lineRule="exact"/>
        <w:rPr>
          <w:rFonts w:ascii="Times New Roman" w:cs="Times New Roman" w:eastAsia="Times New Roman" w:hAnsi="Times New Roman"/>
          <w:sz w:val="21"/>
          <w:szCs w:val="21"/>
          <w:color w:val="auto"/>
          <w:vertAlign w:val="superscript"/>
        </w:rPr>
      </w:pPr>
    </w:p>
    <w:p>
      <w:pPr>
        <w:ind w:left="285" w:right="20" w:hanging="285"/>
        <w:spacing w:after="0" w:line="187"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As of December 31, 2021, two of our RNG facilities, Pine Bend and Noble Road ( defined below) were deconsolidated and accounted for under equity method as per ASC 323. Please refer to Note 6,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and Note 17, </w:t>
      </w:r>
      <w:r>
        <w:rPr>
          <w:rFonts w:ascii="Times New Roman" w:cs="Times New Roman" w:eastAsia="Times New Roman" w:hAnsi="Times New Roman"/>
          <w:sz w:val="16"/>
          <w:szCs w:val="16"/>
          <w:i w:val="1"/>
          <w:iCs w:val="1"/>
          <w:color w:val="auto"/>
        </w:rPr>
        <w:t>Variable Interest Entities</w:t>
      </w:r>
      <w:r>
        <w:rPr>
          <w:rFonts w:ascii="Times New Roman" w:cs="Times New Roman" w:eastAsia="Times New Roman" w:hAnsi="Times New Roman"/>
          <w:sz w:val="16"/>
          <w:szCs w:val="16"/>
          <w:color w:val="auto"/>
        </w:rPr>
        <w:t xml:space="preserve"> for additional information.</w:t>
      </w:r>
    </w:p>
    <w:p>
      <w:pPr>
        <w:spacing w:after="0" w:line="172" w:lineRule="exact"/>
        <w:rPr>
          <w:rFonts w:ascii="Times New Roman" w:cs="Times New Roman" w:eastAsia="Times New Roman" w:hAnsi="Times New Roman"/>
          <w:sz w:val="26"/>
          <w:szCs w:val="26"/>
          <w:color w:val="auto"/>
          <w:vertAlign w:val="superscript"/>
        </w:rPr>
      </w:pPr>
    </w:p>
    <w:p>
      <w:pPr>
        <w:ind w:left="285" w:right="20" w:hanging="285"/>
        <w:spacing w:after="0" w:line="196" w:lineRule="auto"/>
        <w:tabs>
          <w:tab w:leader="none" w:pos="285"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for additional information.</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05" w:name="page206"/>
    <w:bookmarkEnd w:id="20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(Recovery) provision for bad debts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10,078</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7,854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PPA liability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Paid-in-kind interest expense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loss on derivative financial instruments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acquisition of equity method investment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(19,818)</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(15,025)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Write-off of capitalized development costs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sale/disposal of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Gain on termination of PPA</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PPP loan forgiveness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17,689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transfer of equipment to construction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10,651</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(4,917)</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Parts inventory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(6,160)</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tax credits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 current and non-current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 and other current liabilities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(89,646)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(24,940)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intellectual property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capital spares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investment in other entity</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(27,791)</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note receivable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(10,450)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71"/>
        </w:trPr>
        <w:tc>
          <w:tcPr>
            <w:tcW w:w="732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6"/>
                <w:szCs w:val="16"/>
                <w:color w:val="auto"/>
              </w:rPr>
              <w:t>F-50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2" w:right="319" w:bottom="1440" w:gutter="0" w:footer="0" w:header="0"/>
        </w:sectPr>
      </w:pPr>
    </w:p>
    <w:bookmarkStart w:id="206" w:name="page207"/>
    <w:bookmarkEnd w:id="20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r>
      <w:tr>
        <w:trPr>
          <w:trHeight w:val="224"/>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1"/>
              <w:spacing w:after="0" w:line="225" w:lineRule="exact"/>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41"/>
              <w:spacing w:after="0" w:line="225" w:lineRule="exact"/>
              <w:rPr>
                <w:sz w:val="20"/>
                <w:szCs w:val="20"/>
                <w:color w:val="auto"/>
              </w:rPr>
            </w:pPr>
            <w:r>
              <w:rPr>
                <w:rFonts w:ascii="Times New Roman" w:cs="Times New Roman" w:eastAsia="Times New Roman" w:hAnsi="Times New Roman"/>
                <w:sz w:val="16"/>
                <w:szCs w:val="16"/>
                <w:b w:val="1"/>
                <w:bCs w:val="1"/>
                <w:color w:val="auto"/>
                <w:w w:val="95"/>
              </w:rPr>
              <w:t>(Restated)</w:t>
            </w:r>
            <w:r>
              <w:rPr>
                <w:rFonts w:ascii="Times New Roman" w:cs="Times New Roman" w:eastAsia="Times New Roman" w:hAnsi="Times New Roman"/>
                <w:sz w:val="26"/>
                <w:szCs w:val="26"/>
                <w:b w:val="1"/>
                <w:bCs w:val="1"/>
                <w:color w:val="auto"/>
                <w:w w:val="95"/>
                <w:vertAlign w:val="superscript"/>
              </w:rPr>
              <w:t>(1)</w:t>
            </w:r>
          </w:p>
        </w:tc>
        <w:tc>
          <w:tcPr>
            <w:tcW w:w="120" w:type="dxa"/>
            <w:vAlign w:val="bottom"/>
          </w:tcPr>
          <w:p>
            <w:pPr>
              <w:spacing w:after="0"/>
              <w:rPr>
                <w:sz w:val="19"/>
                <w:szCs w:val="19"/>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 from business acquisition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Deconsolidation of VIEs, net of cash</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(21,208)</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termination of PPA</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disposal of plant and equipment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3,179</w:t>
            </w: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404</w:t>
            </w: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(117,204</w:t>
            </w:r>
          </w:p>
        </w:tc>
        <w:tc>
          <w:tcPr>
            <w:tcW w:w="22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(22,179</w:t>
            </w:r>
          </w:p>
        </w:tc>
        <w:tc>
          <w:tcPr>
            <w:tcW w:w="140" w:type="dxa"/>
            <w:vAlign w:val="bottom"/>
            <w:tcBorders>
              <w:top w:val="single" w:sz="8" w:color="CCEEFF"/>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(29,848</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line of credit – affiliate</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1,300</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Sunoma loan</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15,679</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notes payable and long-term debt,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16"/>
                <w:szCs w:val="16"/>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Senior secured facility – term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Senior secured facility – working capital facility</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(5,182)</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Trustar revolver facility</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PPP loan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21,579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7,804</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non-controlling interest, related party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16,639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 related party</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13,361</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member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member</w:t>
            </w:r>
          </w:p>
        </w:tc>
        <w:tc>
          <w:tcPr>
            <w:tcW w:w="240" w:type="dxa"/>
            <w:vAlign w:val="bottom"/>
          </w:tcPr>
          <w:p>
            <w:pPr>
              <w:spacing w:after="0"/>
              <w:rPr>
                <w:sz w:val="17"/>
                <w:szCs w:val="17"/>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7,531</w:t>
            </w: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30,057</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73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26,666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(857)</w:t>
            </w:r>
          </w:p>
        </w:tc>
        <w:tc>
          <w:tcPr>
            <w:tcW w:w="120" w:type="dxa"/>
            <w:vAlign w:val="bottom"/>
          </w:tcPr>
          <w:p>
            <w:pPr>
              <w:spacing w:after="0"/>
              <w:rPr>
                <w:sz w:val="15"/>
                <w:szCs w:val="15"/>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15,388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13,827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14,684</w:t>
            </w: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42,054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15,388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13,827</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 net of $756 and $0 capitalized, respectively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6,243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4,622</w:t>
            </w:r>
          </w:p>
        </w:tc>
      </w:tr>
      <w:tr>
        <w:trPr>
          <w:trHeight w:val="19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2"/>
        </w:trPr>
        <w:tc>
          <w:tcPr>
            <w:tcW w:w="73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Fair value of contingent consideration to redeem the non- controlling interest included in other long-term</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 on redeemable preferred units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notes payable related to business acquisition, excluding paid-in-kind interest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55,410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7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Accrual for purchase of Property, plant and equipment included in Accrued capital expenses and Accounts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9"/>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w:t>
            </w:r>
          </w:p>
        </w:tc>
        <w:tc>
          <w:tcPr>
            <w:tcW w:w="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6,205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Accrual for deferred financing costs included in Accrued expenses and other current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Assignment of debt to Parent Company</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bl>
    <w:p>
      <w:pPr>
        <w:spacing w:after="0" w:line="170" w:lineRule="exact"/>
        <w:rPr>
          <w:sz w:val="20"/>
          <w:szCs w:val="20"/>
          <w:color w:val="auto"/>
        </w:rPr>
      </w:pPr>
    </w:p>
    <w:p>
      <w:pPr>
        <w:ind w:left="285" w:hanging="285"/>
        <w:spacing w:after="0" w:line="278" w:lineRule="auto"/>
        <w:tabs>
          <w:tab w:leader="none" w:pos="28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spacing w:after="0" w:line="1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Description of Business</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OPAL Fuels Inc. (including its subsidiaries,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engaged in the business of producing and distributing renewable natural gas (</w:t>
      </w:r>
      <w:r>
        <w:rPr>
          <w:rFonts w:ascii="Times New Roman" w:cs="Times New Roman" w:eastAsia="Times New Roman" w:hAnsi="Times New Roman"/>
          <w:sz w:val="16"/>
          <w:szCs w:val="16"/>
          <w:b w:val="1"/>
          <w:bCs w:val="1"/>
          <w:color w:val="auto"/>
        </w:rPr>
        <w:t>“RNG”</w:t>
      </w:r>
      <w:r>
        <w:rPr>
          <w:rFonts w:ascii="Times New Roman" w:cs="Times New Roman" w:eastAsia="Times New Roman" w:hAnsi="Times New Roman"/>
          <w:sz w:val="16"/>
          <w:szCs w:val="16"/>
          <w:color w:val="auto"/>
        </w:rPr>
        <w:t>) to power transportation throughout the United States. The Company owns RNG production facilities that are in operation, under construction, and in late-stage development. OPAL Fuels Inc. also constructs, owns and services fueling stations that dispense RNG and compressed natural gas (</w:t>
      </w:r>
      <w:r>
        <w:rPr>
          <w:rFonts w:ascii="Times New Roman" w:cs="Times New Roman" w:eastAsia="Times New Roman" w:hAnsi="Times New Roman"/>
          <w:sz w:val="16"/>
          <w:szCs w:val="16"/>
          <w:b w:val="1"/>
          <w:bCs w:val="1"/>
          <w:color w:val="auto"/>
        </w:rPr>
        <w:t>“CNG”</w:t>
      </w:r>
      <w:r>
        <w:rPr>
          <w:rFonts w:ascii="Times New Roman" w:cs="Times New Roman" w:eastAsia="Times New Roman" w:hAnsi="Times New Roman"/>
          <w:sz w:val="16"/>
          <w:szCs w:val="16"/>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 xml:space="preserve">) which, in turn, is an indirect subsidiary of Fortistar LLC (the </w:t>
      </w:r>
      <w:r>
        <w:rPr>
          <w:rFonts w:ascii="Times New Roman" w:cs="Times New Roman" w:eastAsia="Times New Roman" w:hAnsi="Times New Roman"/>
          <w:sz w:val="16"/>
          <w:szCs w:val="16"/>
          <w:b w:val="1"/>
          <w:bCs w:val="1"/>
          <w:color w:val="auto"/>
        </w:rPr>
        <w:t>“Ultimate Parent”</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On November 29, 2021, the Company amended its limited liability agreement (“LLCA”) which converted the outstanding membership interests into 986 common units. Therefore, the earnings per unit has been presented retrospectively for all periods presented in the consolidated financial statements. See Note 3, </w:t>
      </w:r>
      <w:r>
        <w:rPr>
          <w:rFonts w:ascii="Times New Roman" w:cs="Times New Roman" w:eastAsia="Times New Roman" w:hAnsi="Times New Roman"/>
          <w:sz w:val="16"/>
          <w:szCs w:val="16"/>
          <w:i w:val="1"/>
          <w:iCs w:val="1"/>
          <w:color w:val="auto"/>
        </w:rPr>
        <w:t>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for additional information.</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for additional information.</w:t>
      </w:r>
    </w:p>
    <w:p>
      <w:pPr>
        <w:spacing w:after="0" w:line="160"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160"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COVID-19 Impact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March 2020, the World Health Organization categorized the Coronavirus Disease 2019 (</w:t>
      </w:r>
      <w:r>
        <w:rPr>
          <w:rFonts w:ascii="Times New Roman" w:cs="Times New Roman" w:eastAsia="Times New Roman" w:hAnsi="Times New Roman"/>
          <w:sz w:val="16"/>
          <w:szCs w:val="16"/>
          <w:b w:val="1"/>
          <w:bCs w:val="1"/>
          <w:color w:val="auto"/>
        </w:rPr>
        <w:t>“COVID-19”</w:t>
      </w:r>
      <w:r>
        <w:rPr>
          <w:rFonts w:ascii="Times New Roman" w:cs="Times New Roman" w:eastAsia="Times New Roman" w:hAnsi="Times New Roman"/>
          <w:sz w:val="16"/>
          <w:szCs w:val="16"/>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59"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6"/>
          <w:szCs w:val="16"/>
          <w:b w:val="1"/>
          <w:bCs w:val="1"/>
          <w:color w:val="auto"/>
        </w:rPr>
        <w:t>“PPP”</w:t>
      </w:r>
      <w:r>
        <w:rPr>
          <w:rFonts w:ascii="Times New Roman" w:cs="Times New Roman" w:eastAsia="Times New Roman" w:hAnsi="Times New Roman"/>
          <w:sz w:val="16"/>
          <w:szCs w:val="16"/>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45" w:lineRule="exact"/>
        <w:rPr>
          <w:sz w:val="20"/>
          <w:szCs w:val="20"/>
          <w:color w:val="auto"/>
        </w:rPr>
      </w:pPr>
    </w:p>
    <w:p>
      <w:pPr>
        <w:ind w:left="560" w:right="20" w:hanging="282"/>
        <w:spacing w:after="0" w:line="275"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cash balance as of December 31, 2021 was $42,054, out of which $2,740 is restricted.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$94,988 of our outstanding debt excluding interest repayment due on Sunoma loan coming due in 2022 which is reflected in our working capital deficit of $55,141.</w:t>
      </w:r>
    </w:p>
    <w:p>
      <w:pPr>
        <w:spacing w:after="0" w:line="14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also considered our projected capital expenditures to fund our growth plans.</w:t>
      </w:r>
    </w:p>
    <w:p>
      <w:pPr>
        <w:spacing w:after="0" w:line="194" w:lineRule="exact"/>
        <w:rPr>
          <w:sz w:val="20"/>
          <w:szCs w:val="20"/>
          <w:color w:val="auto"/>
        </w:rPr>
      </w:pPr>
    </w:p>
    <w:p>
      <w:pPr>
        <w:ind w:right="20" w:firstLine="283"/>
        <w:spacing w:after="0" w:line="275" w:lineRule="auto"/>
        <w:rPr>
          <w:sz w:val="20"/>
          <w:szCs w:val="20"/>
          <w:color w:val="auto"/>
        </w:rPr>
      </w:pPr>
      <w:r>
        <w:rPr>
          <w:rFonts w:ascii="Times New Roman" w:cs="Times New Roman" w:eastAsia="Times New Roman" w:hAnsi="Times New Roman"/>
          <w:sz w:val="16"/>
          <w:szCs w:val="16"/>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45" w:lineRule="exact"/>
        <w:rPr>
          <w:sz w:val="20"/>
          <w:szCs w:val="20"/>
          <w:color w:val="auto"/>
        </w:rPr>
      </w:pPr>
    </w:p>
    <w:p>
      <w:pPr>
        <w:jc w:val="both"/>
        <w:ind w:left="560" w:hanging="282"/>
        <w:spacing w:after="0" w:line="261"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56" w:lineRule="exact"/>
        <w:rPr>
          <w:sz w:val="20"/>
          <w:szCs w:val="20"/>
          <w:color w:val="auto"/>
        </w:rPr>
      </w:pPr>
    </w:p>
    <w:p>
      <w:pPr>
        <w:jc w:val="both"/>
        <w:ind w:left="560" w:hanging="282"/>
        <w:spacing w:after="0" w:line="256"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60" w:lineRule="exact"/>
        <w:rPr>
          <w:sz w:val="20"/>
          <w:szCs w:val="20"/>
          <w:color w:val="auto"/>
        </w:rPr>
      </w:pPr>
    </w:p>
    <w:p>
      <w:pPr>
        <w:ind w:left="560" w:right="2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45" w:lineRule="exact"/>
        <w:rPr>
          <w:rFonts w:ascii="Times New Roman" w:cs="Times New Roman" w:eastAsia="Times New Roman" w:hAnsi="Times New Roman"/>
          <w:sz w:val="16"/>
          <w:szCs w:val="16"/>
          <w:color w:val="auto"/>
        </w:rPr>
      </w:pPr>
    </w:p>
    <w:p>
      <w:pPr>
        <w:jc w:val="both"/>
        <w:ind w:left="560" w:right="20" w:hanging="282"/>
        <w:spacing w:after="0" w:line="256"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6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projected revenues for 2022 are already under existing fixed contract arrangements.</w:t>
      </w:r>
    </w:p>
    <w:p>
      <w:pPr>
        <w:spacing w:after="0" w:line="194" w:lineRule="exact"/>
        <w:rPr>
          <w:rFonts w:ascii="Times New Roman" w:cs="Times New Roman" w:eastAsia="Times New Roman" w:hAnsi="Times New Roman"/>
          <w:sz w:val="16"/>
          <w:szCs w:val="16"/>
          <w:color w:val="auto"/>
        </w:rPr>
      </w:pPr>
    </w:p>
    <w:p>
      <w:pPr>
        <w:ind w:left="56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ability to postpone our uncommitted capital expenditures without significantly impacting our revenue generation capabilities for the upcoming 12 months from the date of the financial statements are issued.</w:t>
      </w:r>
    </w:p>
    <w:p>
      <w:pPr>
        <w:spacing w:after="0" w:line="145"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that we would be able to pay the debt coming due in 2022 with the availability under the existing facilities together with the cash on hand and cash flows from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 Description of Business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consummation of the Business Combination, the events summarized below, among others, occurred:</w:t>
      </w:r>
    </w:p>
    <w:p>
      <w:pPr>
        <w:spacing w:after="0" w:line="194" w:lineRule="exact"/>
        <w:rPr>
          <w:sz w:val="20"/>
          <w:szCs w:val="20"/>
          <w:color w:val="auto"/>
        </w:rPr>
      </w:pPr>
    </w:p>
    <w:p>
      <w:pPr>
        <w:jc w:val="both"/>
        <w:ind w:left="560" w:hanging="282"/>
        <w:spacing w:after="0" w:line="256" w:lineRule="auto"/>
        <w:tabs>
          <w:tab w:leader="none" w:pos="5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spacing w:after="0" w:line="160" w:lineRule="exact"/>
        <w:rPr>
          <w:rFonts w:ascii="Times New Roman" w:cs="Times New Roman" w:eastAsia="Times New Roman" w:hAnsi="Times New Roman"/>
          <w:sz w:val="16"/>
          <w:szCs w:val="16"/>
          <w:color w:val="auto"/>
        </w:rPr>
      </w:pPr>
    </w:p>
    <w:p>
      <w:pPr>
        <w:jc w:val="both"/>
        <w:ind w:left="560" w:hanging="282"/>
        <w:spacing w:after="0" w:line="278" w:lineRule="auto"/>
        <w:tabs>
          <w:tab w:leader="none" w:pos="5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7" w:lineRule="exact"/>
        <w:rPr>
          <w:sz w:val="20"/>
          <w:szCs w:val="20"/>
          <w:color w:val="auto"/>
        </w:rPr>
      </w:pPr>
    </w:p>
    <w:p>
      <w:pPr>
        <w:ind w:left="560" w:hanging="282"/>
        <w:spacing w:after="0"/>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OPAL Fuels issued 25,671,390 Class A Units of OPAL Fuels to the Company; and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45"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components of Stockholders’ equity have been retroactively restated reflecting the reverse recapitalization. The name of the Company was retroactively changed from OPAL Fuels LLC to OPAL Fuels Inc.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Restatements of Financial Statements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Our consolidated balance sheet as of December 31, 2020, consolidated statements of operations for the years ended December 31, 2020 and 2019, consolidated statements of changes in stockholders’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commodity swap contracts</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right="20" w:firstLine="283"/>
        <w:spacing w:after="0" w:line="262" w:lineRule="auto"/>
        <w:rPr>
          <w:sz w:val="20"/>
          <w:szCs w:val="20"/>
          <w:color w:val="auto"/>
        </w:rPr>
      </w:pPr>
      <w:r>
        <w:rPr>
          <w:rFonts w:ascii="Times New Roman" w:cs="Times New Roman" w:eastAsia="Times New Roman" w:hAnsi="Times New Roman"/>
          <w:sz w:val="16"/>
          <w:szCs w:val="16"/>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Hedging, </w:t>
      </w:r>
      <w:r>
        <w:rPr>
          <w:rFonts w:ascii="Times New Roman" w:cs="Times New Roman" w:eastAsia="Times New Roman" w:hAnsi="Times New Roman"/>
          <w:sz w:val="16"/>
          <w:szCs w:val="16"/>
          <w:color w:val="auto"/>
        </w:rPr>
        <w:t>which required the Company to record mark to market unrealized gain (loss) in its consolidated statements of operations and a corresponding asset or liability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remaining contract period on the consolidated balance sheets as of and for the years ended December 31, 2020, 2019 and 2018.</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taxes collected on behalf of customers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relating to recording of invoices in the wrong period</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information in the following tables shows the effect of the restatement on each affected financial statement line item: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3"/>
        </w:trPr>
        <w:tc>
          <w:tcPr>
            <w:tcW w:w="4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460"/>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c>
          <w:tcPr>
            <w:tcW w:w="3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810</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50,395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51,205</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non-current portion</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76,192</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79,492</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164,629</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169,458</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Accrued capital expenses</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3,300</w:t>
            </w:r>
          </w:p>
        </w:tc>
      </w:tr>
      <w:tr>
        <w:trPr>
          <w:trHeight w:val="173"/>
        </w:trPr>
        <w:tc>
          <w:tcPr>
            <w:tcW w:w="42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Retained deficit</w:t>
            </w:r>
          </w:p>
        </w:tc>
        <w:tc>
          <w:tcPr>
            <w:tcW w:w="3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(26,925)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1,529</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(25,396)</w:t>
            </w:r>
          </w:p>
        </w:tc>
        <w:tc>
          <w:tcPr>
            <w:tcW w:w="120" w:type="dxa"/>
            <w:vAlign w:val="bottom"/>
            <w:tcBorders>
              <w:top w:val="single" w:sz="8" w:color="CCEEFF"/>
            </w:tcBorders>
          </w:tcPr>
          <w:p>
            <w:pPr>
              <w:spacing w:after="0"/>
              <w:rPr>
                <w:sz w:val="15"/>
                <w:szCs w:val="15"/>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28,930</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30,459</w:t>
            </w:r>
          </w:p>
        </w:tc>
      </w:tr>
      <w:tr>
        <w:trPr>
          <w:trHeight w:val="190"/>
        </w:trPr>
        <w:tc>
          <w:tcPr>
            <w:tcW w:w="4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164,629</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120" w:type="dxa"/>
            <w:vAlign w:val="bottom"/>
            <w:tcBorders>
              <w:top w:val="single" w:sz="8" w:color="CCEEFF"/>
            </w:tcBorders>
          </w:tcPr>
          <w:p>
            <w:pPr>
              <w:spacing w:after="0"/>
              <w:rPr>
                <w:sz w:val="16"/>
                <w:szCs w:val="16"/>
                <w:color w:val="auto"/>
              </w:rPr>
            </w:pPr>
          </w:p>
        </w:tc>
      </w:tr>
      <w:tr>
        <w:trPr>
          <w:trHeight w:val="553"/>
        </w:trPr>
        <w:tc>
          <w:tcPr>
            <w:tcW w:w="4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right"/>
              <w:ind w:right="1640"/>
              <w:spacing w:after="0"/>
              <w:rPr>
                <w:sz w:val="20"/>
                <w:szCs w:val="20"/>
                <w:color w:val="auto"/>
              </w:rPr>
            </w:pPr>
            <w:r>
              <w:rPr>
                <w:rFonts w:ascii="Times New Roman" w:cs="Times New Roman" w:eastAsia="Times New Roman" w:hAnsi="Times New Roman"/>
                <w:sz w:val="16"/>
                <w:szCs w:val="16"/>
                <w:color w:val="auto"/>
              </w:rPr>
              <w:t>F-57</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2" w:right="319" w:bottom="1440" w:gutter="0" w:footer="0" w:header="0"/>
        </w:sectPr>
      </w:pPr>
    </w:p>
    <w:bookmarkStart w:id="213" w:name="page214"/>
    <w:bookmarkEnd w:id="21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8"/>
              </w:rPr>
              <w:t>As of December 31, 2019</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5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45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47,951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48,952</w:t>
            </w:r>
          </w:p>
        </w:tc>
        <w:tc>
          <w:tcPr>
            <w:tcW w:w="120" w:type="dxa"/>
            <w:vAlign w:val="bottom"/>
          </w:tcPr>
          <w:p>
            <w:pPr>
              <w:spacing w:after="0"/>
              <w:rPr>
                <w:sz w:val="15"/>
                <w:szCs w:val="15"/>
                <w:color w:val="auto"/>
              </w:rPr>
            </w:pPr>
          </w:p>
        </w:tc>
      </w:tr>
      <w:tr>
        <w:trPr>
          <w:trHeight w:val="189"/>
        </w:trPr>
        <w:tc>
          <w:tcPr>
            <w:tcW w:w="4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asset – non-current portion</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1,704</w:t>
            </w:r>
          </w:p>
        </w:tc>
      </w:tr>
      <w:tr>
        <w:trPr>
          <w:trHeight w:val="18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165,713</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(2,743)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73"/>
        </w:trPr>
        <w:tc>
          <w:tcPr>
            <w:tcW w:w="454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stockholders’ equity</w:t>
            </w:r>
          </w:p>
        </w:tc>
        <w:tc>
          <w:tcPr>
            <w:tcW w:w="27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19,807</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2,705</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22,512</w:t>
            </w:r>
          </w:p>
        </w:tc>
        <w:tc>
          <w:tcPr>
            <w:tcW w:w="120" w:type="dxa"/>
            <w:vAlign w:val="bottom"/>
            <w:tcBorders>
              <w:top w:val="single" w:sz="8" w:color="CCEEFF"/>
            </w:tcBorders>
          </w:tcPr>
          <w:p>
            <w:pPr>
              <w:spacing w:after="0"/>
              <w:rPr>
                <w:sz w:val="15"/>
                <w:szCs w:val="15"/>
                <w:color w:val="auto"/>
              </w:rPr>
            </w:pPr>
          </w:p>
        </w:tc>
      </w:tr>
      <w:tr>
        <w:trPr>
          <w:trHeight w:val="189"/>
        </w:trPr>
        <w:tc>
          <w:tcPr>
            <w:tcW w:w="4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165,713</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168,418</w:t>
            </w:r>
          </w:p>
        </w:tc>
      </w:tr>
      <w:tr>
        <w:trPr>
          <w:trHeight w:val="379"/>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tc>
        <w:tc>
          <w:tcPr>
            <w:tcW w:w="27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Fiscal Year Ended December 31, 2020</w:t>
            </w:r>
          </w:p>
        </w:tc>
      </w:tr>
      <w:tr>
        <w:trPr>
          <w:trHeight w:val="182"/>
        </w:trPr>
        <w:tc>
          <w:tcPr>
            <w:tcW w:w="45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52,426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51,250</w:t>
            </w:r>
          </w:p>
        </w:tc>
      </w:tr>
      <w:tr>
        <w:trPr>
          <w:trHeight w:val="189"/>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12,717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11,545</w:t>
            </w:r>
          </w:p>
        </w:tc>
      </w:tr>
      <w:tr>
        <w:trPr>
          <w:trHeight w:val="173"/>
        </w:trPr>
        <w:tc>
          <w:tcPr>
            <w:tcW w:w="454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7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120,054</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(2,348)</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117,706</w:t>
            </w:r>
          </w:p>
        </w:tc>
        <w:tc>
          <w:tcPr>
            <w:tcW w:w="120" w:type="dxa"/>
            <w:vAlign w:val="bottom"/>
            <w:tcBorders>
              <w:top w:val="single" w:sz="8" w:color="CCEEFF"/>
            </w:tcBorders>
          </w:tcPr>
          <w:p>
            <w:pPr>
              <w:spacing w:after="0"/>
              <w:rPr>
                <w:sz w:val="15"/>
                <w:szCs w:val="15"/>
                <w:color w:val="auto"/>
              </w:rPr>
            </w:pPr>
          </w:p>
        </w:tc>
      </w:tr>
      <w:tr>
        <w:trPr>
          <w:trHeight w:val="189"/>
        </w:trPr>
        <w:tc>
          <w:tcPr>
            <w:tcW w:w="4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8,548</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7,376</w:t>
            </w:r>
          </w:p>
        </w:tc>
      </w:tr>
      <w:tr>
        <w:trPr>
          <w:trHeight w:val="18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(16,660)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r>
      <w:tr>
        <w:trPr>
          <w:trHeight w:val="190"/>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7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20" w:type="dxa"/>
            <w:vAlign w:val="bottom"/>
            <w:tcBorders>
              <w:top w:val="single" w:sz="8" w:color="CCEEFF"/>
            </w:tcBorders>
          </w:tcPr>
          <w:p>
            <w:pPr>
              <w:spacing w:after="0"/>
              <w:rPr>
                <w:sz w:val="16"/>
                <w:szCs w:val="16"/>
                <w:color w:val="auto"/>
              </w:rPr>
            </w:pPr>
          </w:p>
        </w:tc>
      </w:tr>
      <w:tr>
        <w:trPr>
          <w:trHeight w:val="362"/>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Fiscal Year Ended December 31, 2019</w:t>
            </w:r>
          </w:p>
        </w:tc>
      </w:tr>
      <w:tr>
        <w:trPr>
          <w:trHeight w:val="182"/>
        </w:trPr>
        <w:tc>
          <w:tcPr>
            <w:tcW w:w="45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56,055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55,682</w:t>
            </w:r>
          </w:p>
        </w:tc>
      </w:tr>
      <w:tr>
        <w:trPr>
          <w:trHeight w:val="189"/>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9,437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(460)</w:t>
            </w:r>
          </w:p>
        </w:tc>
        <w:tc>
          <w:tcPr>
            <w:tcW w:w="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8,977</w:t>
            </w:r>
          </w:p>
        </w:tc>
      </w:tr>
      <w:tr>
        <w:trPr>
          <w:trHeight w:val="173"/>
        </w:trPr>
        <w:tc>
          <w:tcPr>
            <w:tcW w:w="454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revenues</w:t>
            </w:r>
          </w:p>
        </w:tc>
        <w:tc>
          <w:tcPr>
            <w:tcW w:w="27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120,535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(833)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119,702</w:t>
            </w:r>
          </w:p>
        </w:tc>
        <w:tc>
          <w:tcPr>
            <w:tcW w:w="120" w:type="dxa"/>
            <w:vAlign w:val="bottom"/>
            <w:tcBorders>
              <w:top w:val="single" w:sz="8" w:color="CCEEFF"/>
            </w:tcBorders>
          </w:tcPr>
          <w:p>
            <w:pPr>
              <w:spacing w:after="0"/>
              <w:rPr>
                <w:sz w:val="15"/>
                <w:szCs w:val="15"/>
                <w:color w:val="auto"/>
              </w:rPr>
            </w:pPr>
          </w:p>
        </w:tc>
      </w:tr>
      <w:tr>
        <w:trPr>
          <w:trHeight w:val="189"/>
        </w:trPr>
        <w:tc>
          <w:tcPr>
            <w:tcW w:w="4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 RNG fuel</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5,616</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5,156</w:t>
            </w:r>
          </w:p>
        </w:tc>
      </w:tr>
      <w:tr>
        <w:trPr>
          <w:trHeight w:val="18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115,207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114,747</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5,328</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4,955</w:t>
            </w:r>
          </w:p>
        </w:tc>
      </w:tr>
      <w:tr>
        <w:trPr>
          <w:trHeight w:val="190"/>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7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tcBorders>
          </w:tcPr>
          <w:p>
            <w:pPr>
              <w:spacing w:after="0"/>
              <w:rPr>
                <w:sz w:val="16"/>
                <w:szCs w:val="16"/>
                <w:color w:val="auto"/>
              </w:rPr>
            </w:pPr>
          </w:p>
        </w:tc>
      </w:tr>
      <w:tr>
        <w:trPr>
          <w:trHeight w:val="362"/>
        </w:trPr>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REDEEMABLE PREFERRED UNITS AND STOCKHOLDERS’ EQUITY (DEFICIT)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8"/>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5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(26,925</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3"/>
        </w:trPr>
        <w:tc>
          <w:tcPr>
            <w:tcW w:w="45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Non-controlling interest</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6,342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343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6,685</w:t>
            </w:r>
          </w:p>
        </w:tc>
        <w:tc>
          <w:tcPr>
            <w:tcW w:w="120" w:type="dxa"/>
            <w:vAlign w:val="bottom"/>
          </w:tcPr>
          <w:p>
            <w:pPr>
              <w:spacing w:after="0"/>
              <w:rPr>
                <w:sz w:val="15"/>
                <w:szCs w:val="15"/>
                <w:color w:val="auto"/>
              </w:rPr>
            </w:pPr>
          </w:p>
        </w:tc>
      </w:tr>
      <w:tr>
        <w:trPr>
          <w:trHeight w:val="189"/>
        </w:trPr>
        <w:tc>
          <w:tcPr>
            <w:tcW w:w="4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30,459</w:t>
            </w:r>
          </w:p>
        </w:tc>
      </w:tr>
      <w:tr>
        <w:trPr>
          <w:trHeight w:val="571"/>
        </w:trPr>
        <w:tc>
          <w:tcPr>
            <w:tcW w:w="4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F-58</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 Restatements of Financial Statements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REDEEMABLE PREFERRED UNITS AND STOCKHOLDERS’ EQUITY (DEFICIT)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6"/>
                <w:szCs w:val="26"/>
                <w:b w:val="1"/>
                <w:bCs w:val="1"/>
                <w:color w:val="auto"/>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$3,078 adjustment to opening retained earnings as of December 31, 2018.</w:t>
      </w:r>
    </w:p>
    <w:p>
      <w:pPr>
        <w:sectPr>
          <w:pgSz w:w="11900" w:h="16838" w:orient="portrait"/>
          <w:cols w:equalWidth="0" w:num="1">
            <w:col w:w="11260"/>
          </w:cols>
          <w:pgMar w:left="320" w:top="783" w:right="31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35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43078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30780" cy="1524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As previously</w:t>
      </w:r>
    </w:p>
    <w:tbl>
      <w:tblPr>
        <w:tblLayout w:type="fixed"/>
        <w:tblInd w:w="0" w:type="dxa"/>
        <w:tblCellMar>
          <w:top w:w="0" w:type="dxa"/>
          <w:left w:w="0" w:type="dxa"/>
          <w:bottom w:w="0" w:type="dxa"/>
          <w:right w:w="0" w:type="dxa"/>
        </w:tblCellMar>
      </w:tblPr>
      <w:tr>
        <w:trPr>
          <w:trHeight w:val="252"/>
        </w:trPr>
        <w:tc>
          <w:tcPr>
            <w:tcW w:w="180" w:type="dxa"/>
            <w:vAlign w:val="bottom"/>
          </w:tcPr>
          <w:p>
            <w:pPr>
              <w:spacing w:after="0"/>
              <w:rPr>
                <w:sz w:val="21"/>
                <w:szCs w:val="21"/>
                <w:color w:val="auto"/>
              </w:rPr>
            </w:pPr>
          </w:p>
        </w:tc>
        <w:tc>
          <w:tcPr>
            <w:tcW w:w="1320" w:type="dxa"/>
            <w:vAlign w:val="bottom"/>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340" w:type="dxa"/>
            <w:vAlign w:val="bottom"/>
            <w:gridSpan w:val="3"/>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040" w:type="dxa"/>
            <w:vAlign w:val="bottom"/>
            <w:gridSpan w:val="2"/>
          </w:tcPr>
          <w:p>
            <w:pPr>
              <w:jc w:val="right"/>
              <w:ind w:right="201"/>
              <w:spacing w:after="0" w:line="248" w:lineRule="exact"/>
              <w:rPr>
                <w:sz w:val="20"/>
                <w:szCs w:val="20"/>
                <w:color w:val="auto"/>
              </w:rPr>
            </w:pPr>
            <w:r>
              <w:rPr>
                <w:rFonts w:ascii="Times New Roman" w:cs="Times New Roman" w:eastAsia="Times New Roman" w:hAnsi="Times New Roman"/>
                <w:sz w:val="16"/>
                <w:szCs w:val="16"/>
                <w:b w:val="1"/>
                <w:bCs w:val="1"/>
                <w:color w:val="auto"/>
                <w:w w:val="97"/>
              </w:rPr>
              <w:t>Restated</w:t>
            </w:r>
            <w:r>
              <w:rPr>
                <w:rFonts w:ascii="Times New Roman" w:cs="Times New Roman" w:eastAsia="Times New Roman" w:hAnsi="Times New Roman"/>
                <w:sz w:val="26"/>
                <w:szCs w:val="26"/>
                <w:b w:val="1"/>
                <w:bCs w:val="1"/>
                <w:color w:val="auto"/>
                <w:w w:val="97"/>
                <w:vertAlign w:val="superscript"/>
              </w:rPr>
              <w:t>(1)</w:t>
            </w:r>
          </w:p>
        </w:tc>
      </w:tr>
      <w:tr>
        <w:trPr>
          <w:trHeight w:val="189"/>
        </w:trPr>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tcPr>
          <w:p>
            <w:pPr>
              <w:jc w:val="right"/>
              <w:ind w:right="101"/>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4"/>
        </w:trPr>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8" w:lineRule="exact"/>
        <w:rPr>
          <w:sz w:val="20"/>
          <w:szCs w:val="20"/>
          <w:color w:val="auto"/>
        </w:rPr>
      </w:pPr>
    </w:p>
    <w:p>
      <w:pPr>
        <w:sectPr>
          <w:pgSz w:w="11900" w:h="16838" w:orient="portrait"/>
          <w:cols w:equalWidth="0" w:num="2">
            <w:col w:w="6600" w:space="720"/>
            <w:col w:w="3940"/>
          </w:cols>
          <w:pgMar w:left="320" w:top="783"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2,226</w:t>
            </w:r>
          </w:p>
        </w:tc>
      </w:tr>
      <w:tr>
        <w:trPr>
          <w:trHeight w:val="362"/>
        </w:trPr>
        <w:tc>
          <w:tcPr>
            <w:tcW w:w="102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(1) Restatement also includes $3,300 included in the Supplementary cash flow information as accrued expenses for purchase of Plant, property and equipment.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Fiscal Year Ended December 31, 2019</w:t>
            </w:r>
          </w:p>
        </w:tc>
      </w:tr>
      <w:tr>
        <w:trPr>
          <w:trHeight w:val="182"/>
        </w:trPr>
        <w:tc>
          <w:tcPr>
            <w:tcW w:w="5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3"/>
        </w:trPr>
        <w:tc>
          <w:tcPr>
            <w:tcW w:w="51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2,249</w:t>
            </w:r>
          </w:p>
        </w:tc>
      </w:tr>
      <w:tr>
        <w:trPr>
          <w:trHeight w:val="362"/>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VIE DISCLOSURE ON THE BALANCE SHEET (in parenthesis)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81"/>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5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7"/>
              </w:rPr>
              <w:t>reported</w:t>
            </w: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Restated</w:t>
            </w:r>
          </w:p>
        </w:tc>
      </w:tr>
      <w:tr>
        <w:trPr>
          <w:trHeight w:val="209"/>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51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15,534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18,834</w:t>
            </w:r>
          </w:p>
        </w:tc>
        <w:tc>
          <w:tcPr>
            <w:tcW w:w="120" w:type="dxa"/>
            <w:vAlign w:val="bottom"/>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2,199</w:t>
            </w:r>
          </w:p>
        </w:tc>
        <w:tc>
          <w:tcPr>
            <w:tcW w:w="14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2,199</w:t>
            </w:r>
          </w:p>
        </w:tc>
      </w:tr>
      <w:tr>
        <w:trPr>
          <w:trHeight w:val="18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22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776</w:t>
            </w:r>
          </w:p>
        </w:tc>
      </w:tr>
      <w:tr>
        <w:trPr>
          <w:trHeight w:val="173"/>
        </w:trPr>
        <w:tc>
          <w:tcPr>
            <w:tcW w:w="516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Accrued capital expenses</w:t>
            </w:r>
          </w:p>
        </w:tc>
        <w:tc>
          <w:tcPr>
            <w:tcW w:w="2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3,300</w:t>
            </w:r>
          </w:p>
        </w:tc>
        <w:tc>
          <w:tcPr>
            <w:tcW w:w="120" w:type="dxa"/>
            <w:vAlign w:val="bottom"/>
            <w:tcBorders>
              <w:top w:val="single" w:sz="8" w:color="CCEEFF"/>
            </w:tcBorders>
          </w:tcPr>
          <w:p>
            <w:pPr>
              <w:spacing w:after="0"/>
              <w:rPr>
                <w:sz w:val="15"/>
                <w:szCs w:val="15"/>
                <w:color w:val="auto"/>
              </w:rPr>
            </w:pPr>
          </w:p>
        </w:tc>
      </w:tr>
      <w:tr>
        <w:trPr>
          <w:trHeight w:val="189"/>
        </w:trPr>
        <w:tc>
          <w:tcPr>
            <w:tcW w:w="516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Sunoma loan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470</w:t>
            </w:r>
          </w:p>
        </w:tc>
      </w:tr>
      <w:tr>
        <w:trPr>
          <w:trHeight w:val="571"/>
        </w:trPr>
        <w:tc>
          <w:tcPr>
            <w:tcW w:w="5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F-59</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65"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Inc. stockholders’ equity in the consolidated balance sheets and as a non-controlling interest in the consolidated statements changes in stockholders’ equity. The Company’s consolidated financial statements reflect the activities of the Company, its subsidiaries, and its equity method investments for the years ended December 31, 2021 and December 31,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96"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6" w:name="page217"/>
    <w:bookmarkEnd w:id="21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Pronouncements</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In August 2020, the Financial Accounting Standards Board (</w:t>
      </w:r>
      <w:r>
        <w:rPr>
          <w:rFonts w:ascii="Times New Roman" w:cs="Times New Roman" w:eastAsia="Times New Roman" w:hAnsi="Times New Roman"/>
          <w:sz w:val="16"/>
          <w:szCs w:val="16"/>
          <w:b w:val="1"/>
          <w:bCs w:val="1"/>
          <w:color w:val="auto"/>
        </w:rPr>
        <w:t>“FASB”</w:t>
      </w:r>
      <w:r>
        <w:rPr>
          <w:rFonts w:ascii="Times New Roman" w:cs="Times New Roman" w:eastAsia="Times New Roman" w:hAnsi="Times New Roman"/>
          <w:sz w:val="16"/>
          <w:szCs w:val="16"/>
          <w:color w:val="auto"/>
        </w:rPr>
        <w:t>) issued Accounting Standards Update (</w:t>
      </w:r>
      <w:r>
        <w:rPr>
          <w:rFonts w:ascii="Times New Roman" w:cs="Times New Roman" w:eastAsia="Times New Roman" w:hAnsi="Times New Roman"/>
          <w:sz w:val="16"/>
          <w:szCs w:val="16"/>
          <w:b w:val="1"/>
          <w:bCs w:val="1"/>
          <w:color w:val="auto"/>
        </w:rPr>
        <w:t>“ASU”</w:t>
      </w:r>
      <w:r>
        <w:rPr>
          <w:rFonts w:ascii="Times New Roman" w:cs="Times New Roman" w:eastAsia="Times New Roman" w:hAnsi="Times New Roman"/>
          <w:sz w:val="16"/>
          <w:szCs w:val="16"/>
          <w:color w:val="auto"/>
        </w:rPr>
        <w:t xml:space="preserve">) 2020-06, </w:t>
      </w:r>
      <w:r>
        <w:rPr>
          <w:rFonts w:ascii="Times New Roman" w:cs="Times New Roman" w:eastAsia="Times New Roman" w:hAnsi="Times New Roman"/>
          <w:sz w:val="16"/>
          <w:szCs w:val="16"/>
          <w:i w:val="1"/>
          <w:iCs w:val="1"/>
          <w:color w:val="auto"/>
        </w:rPr>
        <w:t>Debt with Conversion and Other Options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Derivatives and Hedging — Contracts in Entity’s Own Equity </w:t>
      </w:r>
      <w:r>
        <w:rPr>
          <w:rFonts w:ascii="Times New Roman" w:cs="Times New Roman" w:eastAsia="Times New Roman" w:hAnsi="Times New Roman"/>
          <w:sz w:val="16"/>
          <w:szCs w:val="16"/>
          <w:color w:val="auto"/>
        </w:rPr>
        <w:t>which simplified the accounting for convertible instruments. ASU 2020-06 was effective January 1, 2020 for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57"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 xml:space="preserve">In August 2018, the FASB issued ASU 2018-13,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which modified the disclosure requirements on fair value measurements. In January 2017, the FASB issued ASU 2017-04,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which simplified the test for goodwill impairment. Neither of these standards have a significant impact on the Company.</w:t>
      </w:r>
    </w:p>
    <w:p>
      <w:pPr>
        <w:spacing w:after="0" w:line="15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In June 2018, the FASB issued ASU 2018-07, </w:t>
      </w:r>
      <w:r>
        <w:rPr>
          <w:rFonts w:ascii="Times New Roman" w:cs="Times New Roman" w:eastAsia="Times New Roman" w:hAnsi="Times New Roman"/>
          <w:sz w:val="16"/>
          <w:szCs w:val="16"/>
          <w:i w:val="1"/>
          <w:iCs w:val="1"/>
          <w:color w:val="auto"/>
        </w:rPr>
        <w:t>Compensation — Stock Compensation (Topic 718): Improvements to Nonemployee Share-Based Payment Accounting</w:t>
      </w:r>
      <w:r>
        <w:rPr>
          <w:rFonts w:ascii="Times New Roman" w:cs="Times New Roman" w:eastAsia="Times New Roman" w:hAnsi="Times New Roman"/>
          <w:sz w:val="16"/>
          <w:szCs w:val="16"/>
          <w:color w:val="auto"/>
        </w:rPr>
        <w:t>, which simplifies the accounting for share-based payments to non-employees by aligning it with the accounting for share-based payments to employees subject to certain exceptions. ASU 2018-07 expands the scope of ASC Topic 718, Compensation-Stock Compensation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ASC 718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164"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5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In February 2016, the FASB issued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39,314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12,823</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 held as collateral</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2,565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top w:val="single" w:sz="8" w:color="auto"/>
              <w:bottom w:val="single" w:sz="8" w:color="auto"/>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42,054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15,388</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13,827</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Fuel Tax Credit Receivable/Payable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Parts Inventory</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Plant and equipment</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30 years</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20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10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Shorter of lease term or useful life</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4"/>
              </w:rPr>
              <w:t>5 – 7 years</w:t>
            </w:r>
          </w:p>
        </w:tc>
      </w:tr>
      <w:tr>
        <w:trPr>
          <w:trHeight w:val="18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4980" w:type="dxa"/>
            <w:vAlign w:val="bottom"/>
          </w:tcPr>
          <w:p>
            <w:pPr>
              <w:spacing w:after="0"/>
              <w:rPr>
                <w:sz w:val="16"/>
                <w:szCs w:val="16"/>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 years</w:t>
            </w:r>
          </w:p>
        </w:tc>
      </w:tr>
      <w:tr>
        <w:trPr>
          <w:trHeight w:val="18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9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 years</w:t>
            </w: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When plant and equipment are retired or otherwise disposed of, the related cost and accumulated depreciation or amortization is removed, and a gain or loss is recognized in the consolidated statements of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Equity-Based Compensation Awards</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The Ultimate Parent granted equity-based awards to employees in 2020 and 2019 in the form of residual equity interests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Profits Interests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69"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new awards granted during the year ended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 Maintenance</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Combinations</w:t>
      </w:r>
      <w:r>
        <w:rPr>
          <w:rFonts w:ascii="Times New Roman" w:cs="Times New Roman" w:eastAsia="Times New Roman" w:hAnsi="Times New Roman"/>
          <w:sz w:val="16"/>
          <w:szCs w:val="16"/>
          <w:color w:val="auto"/>
        </w:rPr>
        <w:t>. Goodwill is not amortized, but the potential impairment of goodwill is assessed at least annually and on an interim basis whenever events or changes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6"/>
          <w:szCs w:val="16"/>
          <w:i w:val="1"/>
          <w:iCs w:val="1"/>
          <w:color w:val="auto"/>
        </w:rPr>
        <w:t>Intangibles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Goodwill and Other (Topic 350): Testing Goodwill for Impairment. </w:t>
      </w:r>
      <w:r>
        <w:rPr>
          <w:rFonts w:ascii="Times New Roman" w:cs="Times New Roman" w:eastAsia="Times New Roman" w:hAnsi="Times New Roman"/>
          <w:sz w:val="16"/>
          <w:szCs w:val="16"/>
          <w:color w:val="auto"/>
        </w:rPr>
        <w:t>Under this guidance, the Company performed qualitative test for goodwill on Beacon and Trustar for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 and Liabilities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Financing Costs</w:t>
      </w:r>
    </w:p>
    <w:p>
      <w:pPr>
        <w:spacing w:after="0" w:line="19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Shipping and Handling Costs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Shipping and handling costs are expensed as incurred. Shipping and handling costs are included in cost of sales and were $1,431, $1,001, and $1,005 for the years ended December 31, 2021, 2020, and 2019,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 Costs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Advertising costs are expensed as incurred. Advertising costs are accounted for in selling, general and administrative expense and were $455, $528, and $281 for the years ended December 31, 2021, 2020, and 2019,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60" w:lineRule="exact"/>
        <w:rPr>
          <w:sz w:val="20"/>
          <w:szCs w:val="20"/>
          <w:color w:val="auto"/>
        </w:rPr>
      </w:pPr>
    </w:p>
    <w:p>
      <w:pPr>
        <w:jc w:val="both"/>
        <w:ind w:firstLine="283"/>
        <w:spacing w:after="0" w:line="274" w:lineRule="auto"/>
        <w:rPr>
          <w:sz w:val="20"/>
          <w:szCs w:val="20"/>
          <w:color w:val="auto"/>
        </w:rPr>
      </w:pPr>
      <w:r>
        <w:rPr>
          <w:rFonts w:ascii="Times New Roman" w:cs="Times New Roman" w:eastAsia="Times New Roman" w:hAnsi="Times New Roman"/>
          <w:sz w:val="15"/>
          <w:szCs w:val="15"/>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5"/>
          <w:szCs w:val="15"/>
          <w:i w:val="1"/>
          <w:iCs w:val="1"/>
          <w:color w:val="auto"/>
        </w:rPr>
        <w:t>Restatement of Financial Statements</w:t>
      </w:r>
      <w:r>
        <w:rPr>
          <w:rFonts w:ascii="Times New Roman" w:cs="Times New Roman" w:eastAsia="Times New Roman" w:hAnsi="Times New Roman"/>
          <w:sz w:val="15"/>
          <w:szCs w:val="15"/>
          <w:color w:val="auto"/>
        </w:rPr>
        <w:t>, and Note 12, Derivative Financial Instruments for additional information.</w:t>
      </w:r>
    </w:p>
    <w:p>
      <w:pPr>
        <w:spacing w:after="0" w:line="15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Redeemable Preferred Units</w:t>
      </w:r>
    </w:p>
    <w:p>
      <w:pPr>
        <w:spacing w:after="0" w:line="194"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4" w:lineRule="exact"/>
        <w:rPr>
          <w:sz w:val="20"/>
          <w:szCs w:val="20"/>
          <w:color w:val="auto"/>
        </w:rPr>
      </w:pPr>
    </w:p>
    <w:p>
      <w:pPr>
        <w:jc w:val="both"/>
        <w:ind w:right="20" w:firstLine="283"/>
        <w:spacing w:after="0" w:line="251" w:lineRule="auto"/>
        <w:rPr>
          <w:sz w:val="20"/>
          <w:szCs w:val="20"/>
          <w:color w:val="auto"/>
        </w:rPr>
      </w:pPr>
      <w:r>
        <w:rPr>
          <w:rFonts w:ascii="Times New Roman" w:cs="Times New Roman" w:eastAsia="Times New Roman" w:hAnsi="Times New Roman"/>
          <w:sz w:val="16"/>
          <w:szCs w:val="16"/>
          <w:color w:val="auto"/>
        </w:rPr>
        <w:t>The Company accounts for asset retirement obligations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ARO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summarizes the changes in the asset retirement obligations were as follows for the years ended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Additions</w:t>
            </w:r>
          </w:p>
        </w:tc>
        <w:tc>
          <w:tcPr>
            <w:tcW w:w="74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 retirement obligation</w:t>
            </w: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(831)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asset retirement obligation, net of current portion</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7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22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Effective January 1, 2019, the Company adopted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that allows for the recognition of revenue from performance obligations in the amount of consideration to which there is a right to invoice the customer and when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6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to transport Producers’ natural gas using the Company’s RNG gathering system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System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5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6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6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MMBtu</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of LFG collected and the megawatt hours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MWhs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produced at that site. This revenue is recognized when LFG is collected, and electricity is delivered.</w:t>
      </w:r>
    </w:p>
    <w:p>
      <w:pPr>
        <w:spacing w:after="0" w:line="15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4" w:name="page225"/>
    <w:bookmarkEnd w:id="22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60"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disaggregation of revenue according to product line and segment: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w w:val="96"/>
              </w:rPr>
              <w:t>Fiscal 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41"/>
              <w:spacing w:after="0" w:line="225" w:lineRule="exact"/>
              <w:rPr>
                <w:sz w:val="20"/>
                <w:szCs w:val="20"/>
                <w:color w:val="auto"/>
              </w:rPr>
            </w:pPr>
            <w:r>
              <w:rPr>
                <w:rFonts w:ascii="Times New Roman" w:cs="Times New Roman" w:eastAsia="Times New Roman" w:hAnsi="Times New Roman"/>
                <w:sz w:val="16"/>
                <w:szCs w:val="16"/>
                <w:b w:val="1"/>
                <w:bCs w:val="1"/>
                <w:color w:val="auto"/>
              </w:rPr>
              <w:t>2020</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line="225" w:lineRule="exact"/>
              <w:rPr>
                <w:sz w:val="20"/>
                <w:szCs w:val="20"/>
                <w:color w:val="auto"/>
              </w:rPr>
            </w:pPr>
            <w:r>
              <w:rPr>
                <w:rFonts w:ascii="Times New Roman" w:cs="Times New Roman" w:eastAsia="Times New Roman" w:hAnsi="Times New Roman"/>
                <w:sz w:val="16"/>
                <w:szCs w:val="16"/>
                <w:b w:val="1"/>
                <w:bCs w:val="1"/>
                <w:color w:val="auto"/>
                <w:w w:val="84"/>
              </w:rPr>
              <w:t>2019</w:t>
            </w:r>
            <w:r>
              <w:rPr>
                <w:rFonts w:ascii="Times New Roman" w:cs="Times New Roman" w:eastAsia="Times New Roman" w:hAnsi="Times New Roman"/>
                <w:sz w:val="26"/>
                <w:szCs w:val="26"/>
                <w:b w:val="1"/>
                <w:bCs w:val="1"/>
                <w:color w:val="auto"/>
                <w:w w:val="84"/>
                <w:vertAlign w:val="superscript"/>
              </w:rPr>
              <w:t>(1)</w:t>
            </w:r>
          </w:p>
        </w:tc>
        <w:tc>
          <w:tcPr>
            <w:tcW w:w="100" w:type="dxa"/>
            <w:vAlign w:val="bottom"/>
          </w:tcPr>
          <w:p>
            <w:pPr>
              <w:spacing w:after="0"/>
              <w:rPr>
                <w:sz w:val="19"/>
                <w:szCs w:val="19"/>
                <w:color w:val="auto"/>
              </w:rPr>
            </w:pPr>
          </w:p>
        </w:tc>
      </w:tr>
      <w:tr>
        <w:trPr>
          <w:trHeight w:val="189"/>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(Restated)</w:t>
            </w:r>
          </w:p>
        </w:tc>
        <w:tc>
          <w:tcPr>
            <w:tcW w:w="2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(Restated)</w:t>
            </w:r>
          </w:p>
        </w:tc>
        <w:tc>
          <w:tcPr>
            <w:tcW w:w="100" w:type="dxa"/>
            <w:vAlign w:val="bottom"/>
          </w:tcPr>
          <w:p>
            <w:pPr>
              <w:spacing w:after="0"/>
              <w:rPr>
                <w:sz w:val="16"/>
                <w:szCs w:val="16"/>
                <w:color w:val="auto"/>
              </w:rPr>
            </w:pPr>
          </w:p>
        </w:tc>
      </w:tr>
      <w:tr>
        <w:trPr>
          <w:trHeight w:val="224"/>
        </w:trPr>
        <w:tc>
          <w:tcPr>
            <w:tcW w:w="7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Electricity sales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40,259</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42,186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46,380</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Third Party Construction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32,630</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40,443</w:t>
            </w:r>
          </w:p>
        </w:tc>
        <w:tc>
          <w:tcPr>
            <w:tcW w:w="3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43,094</w:t>
            </w:r>
          </w:p>
        </w:tc>
      </w:tr>
      <w:tr>
        <w:trPr>
          <w:trHeight w:val="189"/>
        </w:trPr>
        <w:tc>
          <w:tcPr>
            <w:tcW w:w="7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17,056</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10,582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Pr>
          <w:p>
            <w:pPr>
              <w:spacing w:after="0"/>
              <w:rPr>
                <w:sz w:val="18"/>
                <w:szCs w:val="18"/>
                <w:color w:val="auto"/>
              </w:rPr>
            </w:pPr>
          </w:p>
        </w:tc>
      </w:tr>
      <w:tr>
        <w:trPr>
          <w:trHeight w:val="19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Brown Gas Sales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12,257</w:t>
            </w:r>
          </w:p>
        </w:tc>
        <w:tc>
          <w:tcPr>
            <w:tcW w:w="22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4,591</w:t>
            </w:r>
          </w:p>
        </w:tc>
        <w:tc>
          <w:tcPr>
            <w:tcW w:w="3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Credits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55,863</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5,505</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Parts Sales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755</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3,872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Agreements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3,172</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3,400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1,515</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 from Contracts with Customer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162,048</w:t>
            </w:r>
          </w:p>
        </w:tc>
        <w:tc>
          <w:tcPr>
            <w:tcW w:w="2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112,094</w:t>
            </w:r>
          </w:p>
        </w:tc>
        <w:tc>
          <w:tcPr>
            <w:tcW w:w="3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114,182</w:t>
            </w:r>
          </w:p>
        </w:tc>
        <w:tc>
          <w:tcPr>
            <w:tcW w:w="100" w:type="dxa"/>
            <w:vAlign w:val="bottom"/>
            <w:shd w:val="clear" w:color="auto" w:fill="CCEEFF"/>
          </w:tcPr>
          <w:p>
            <w:pPr>
              <w:spacing w:after="0"/>
              <w:rPr>
                <w:sz w:val="19"/>
                <w:szCs w:val="19"/>
                <w:color w:val="auto"/>
              </w:rPr>
            </w:pP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Lease revenue</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4,076</w:t>
            </w:r>
          </w:p>
        </w:tc>
        <w:tc>
          <w:tcPr>
            <w:tcW w:w="22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5,612</w:t>
            </w:r>
          </w:p>
        </w:tc>
        <w:tc>
          <w:tcPr>
            <w:tcW w:w="24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5,520</w:t>
            </w:r>
          </w:p>
        </w:tc>
        <w:tc>
          <w:tcPr>
            <w:tcW w:w="100" w:type="dxa"/>
            <w:vAlign w:val="bottom"/>
            <w:tcBorders>
              <w:top w:val="single" w:sz="8" w:color="CCEEFF"/>
              <w:bottom w:val="single" w:sz="8" w:color="CCEEFF"/>
            </w:tcBorders>
          </w:tcPr>
          <w:p>
            <w:pPr>
              <w:spacing w:after="0"/>
              <w:rPr>
                <w:sz w:val="15"/>
                <w:szCs w:val="15"/>
                <w:color w:val="auto"/>
              </w:rPr>
            </w:pPr>
          </w:p>
        </w:tc>
      </w:tr>
      <w:tr>
        <w:trPr>
          <w:trHeight w:val="213"/>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line="236" w:lineRule="exact"/>
              <w:rPr>
                <w:sz w:val="20"/>
                <w:szCs w:val="20"/>
                <w:color w:val="auto"/>
              </w:rPr>
            </w:pPr>
            <w:r>
              <w:rPr>
                <w:rFonts w:ascii="Times New Roman" w:cs="Times New Roman" w:eastAsia="Times New Roman" w:hAnsi="Times New Roman"/>
                <w:sz w:val="16"/>
                <w:szCs w:val="16"/>
                <w:b w:val="1"/>
                <w:bCs w:val="1"/>
                <w:color w:val="auto"/>
              </w:rPr>
              <w:t>Total Revenue</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166,124</w:t>
            </w:r>
          </w:p>
        </w:tc>
        <w:tc>
          <w:tcPr>
            <w:tcW w:w="2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117,706</w:t>
            </w:r>
          </w:p>
        </w:tc>
        <w:tc>
          <w:tcPr>
            <w:tcW w:w="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119,702</w:t>
            </w:r>
          </w:p>
        </w:tc>
        <w:tc>
          <w:tcPr>
            <w:tcW w:w="100" w:type="dxa"/>
            <w:vAlign w:val="bottom"/>
          </w:tcPr>
          <w:p>
            <w:pPr>
              <w:spacing w:after="0"/>
              <w:rPr>
                <w:sz w:val="20"/>
                <w:szCs w:val="20"/>
                <w:color w:val="auto"/>
              </w:rPr>
            </w:pPr>
          </w:p>
        </w:tc>
      </w:tr>
      <w:tr>
        <w:trPr>
          <w:trHeight w:val="24"/>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for additional information.</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years ended December 31, 2021, 2020, and 2019, approximately 28.9%, 42.5% and 43.6%, respectively, of revenue was recognized over time, and the remainder was for products and services transferred at a point in time.</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receivables, contract assets and contract liabilities from contracts with customers: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Fiscal Years Ended</w:t>
            </w:r>
          </w:p>
        </w:tc>
      </w:t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0"/>
              </w:rPr>
              <w:t>22,002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Contract 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estimated earnings in excess of billings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2,903</w:t>
            </w:r>
          </w:p>
        </w:tc>
      </w:tr>
      <w:tr>
        <w:trPr>
          <w:trHeight w:val="19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retainage, net</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2,621</w:t>
            </w:r>
          </w:p>
        </w:tc>
      </w:tr>
      <w:tr>
        <w:trPr>
          <w:trHeight w:val="209"/>
        </w:trPr>
        <w:tc>
          <w:tcPr>
            <w:tcW w:w="8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88"/>
              </w:rPr>
              <w:t>5,524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Contract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Billings in excess of cost and estimated earnings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9,785</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4,678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The Company’s remaining performance obligations (</w:t>
      </w:r>
      <w:r>
        <w:rPr>
          <w:rFonts w:ascii="Times New Roman" w:cs="Times New Roman" w:eastAsia="Times New Roman" w:hAnsi="Times New Roman"/>
          <w:sz w:val="16"/>
          <w:szCs w:val="16"/>
          <w:b w:val="1"/>
          <w:bCs w:val="1"/>
          <w:color w:val="auto"/>
        </w:rPr>
        <w:t>“backlog”</w:t>
      </w:r>
      <w:r>
        <w:rPr>
          <w:rFonts w:ascii="Times New Roman" w:cs="Times New Roman" w:eastAsia="Times New Roman" w:hAnsi="Times New Roman"/>
          <w:sz w:val="16"/>
          <w:szCs w:val="16"/>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Intersegment Sales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accounts for intersegment sales and transfers as if these sales and transfers were to third parties at current market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Income (Loss) Per Unit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for additional information.</w:t>
      </w:r>
    </w:p>
    <w:p>
      <w:pPr>
        <w:spacing w:after="0" w:line="160"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The basic income (loss) per unit attributable to members of OPAL Fuels Inc. is computed by dividing the net income (loss) attributable to OPAL Fuels Inc.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Customers and Concentration of Credit Risk</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Suppliers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in other entities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receivable</w:t>
      </w:r>
    </w:p>
    <w:p>
      <w:pPr>
        <w:spacing w:after="0" w:line="196" w:lineRule="exact"/>
        <w:rPr>
          <w:sz w:val="20"/>
          <w:szCs w:val="20"/>
          <w:color w:val="auto"/>
        </w:rPr>
      </w:pPr>
    </w:p>
    <w:p>
      <w:pPr>
        <w:jc w:val="both"/>
        <w:ind w:right="20" w:firstLine="283"/>
        <w:spacing w:after="0" w:line="252" w:lineRule="auto"/>
        <w:rPr>
          <w:sz w:val="20"/>
          <w:szCs w:val="20"/>
          <w:color w:val="auto"/>
        </w:rPr>
      </w:pPr>
      <w:r>
        <w:rPr>
          <w:rFonts w:ascii="Times New Roman" w:cs="Times New Roman" w:eastAsia="Times New Roman" w:hAnsi="Times New Roman"/>
          <w:sz w:val="16"/>
          <w:szCs w:val="16"/>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follows ASC 820 regarding fair value measurements which establishes a three-tier fair value hierarchy and prioritizes the inputs used in valuation techniques that measure fair value. These tiers include: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defined as observable inputs such as quoted prices for identical instruments in active markets.</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defined as unobservable inputs in which little or no market data exists, therefore requiring an entity to develop its own assumptions.</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6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transfers of assets between Level 1, Level 2, or Level 3 of the fair value hierarchy as of December 31, 2021 or December 31, 2020.</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assets and liabilities that are measured at fair value on a recurring basis include the following as of December 31, 2021 and December 31, 2020, set forth by level, within the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4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2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5,738</w:t>
            </w: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on acquisition of non-controlling interest</w:t>
            </w: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4,456</w:t>
            </w: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Commodity swap contracts</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r>
      <w:tr>
        <w:trPr>
          <w:trHeight w:val="553"/>
        </w:trPr>
        <w:tc>
          <w:tcPr>
            <w:tcW w:w="48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001"/>
              <w:spacing w:after="0"/>
              <w:rPr>
                <w:sz w:val="20"/>
                <w:szCs w:val="20"/>
                <w:color w:val="auto"/>
              </w:rPr>
            </w:pPr>
            <w:r>
              <w:rPr>
                <w:rFonts w:ascii="Times New Roman" w:cs="Times New Roman" w:eastAsia="Times New Roman" w:hAnsi="Times New Roman"/>
                <w:sz w:val="16"/>
                <w:szCs w:val="16"/>
                <w:color w:val="auto"/>
              </w:rPr>
              <w:t>F-73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229" w:name="page230"/>
    <w:bookmarkEnd w:id="229"/>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3. Summary of Significant Accounting Policies </w:t>
            </w:r>
            <w:r>
              <w:rPr>
                <w:rFonts w:ascii="Times New Roman" w:cs="Times New Roman" w:eastAsia="Times New Roman" w:hAnsi="Times New Roman"/>
                <w:sz w:val="16"/>
                <w:szCs w:val="16"/>
                <w:color w:val="auto"/>
              </w:rPr>
              <w:t>(cont.)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0"/>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8"/>
              </w:rPr>
              <w:t>Fair value as of December 31, 2020 (Restated)</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7"/>
                <w:szCs w:val="17"/>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09"/>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gridSpan w:val="3"/>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4,885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4,885</w:t>
            </w:r>
          </w:p>
        </w:tc>
      </w:tr>
      <w:tr>
        <w:trPr>
          <w:trHeight w:val="189"/>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Pr>
          <w:p>
            <w:pPr>
              <w:spacing w:after="0"/>
              <w:rPr>
                <w:sz w:val="16"/>
                <w:szCs w:val="16"/>
                <w:color w:val="auto"/>
              </w:rPr>
            </w:pP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2,785</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2,785</w:t>
            </w:r>
          </w:p>
        </w:tc>
      </w:tr>
      <w:tr>
        <w:trPr>
          <w:trHeight w:val="224"/>
        </w:trPr>
        <w:tc>
          <w:tcPr>
            <w:tcW w:w="598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Commodity swap contracts</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1,529</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1,529</w:t>
            </w:r>
          </w:p>
        </w:tc>
      </w:tr>
    </w:tbl>
    <w:p>
      <w:pPr>
        <w:spacing w:after="0" w:line="172" w:lineRule="exact"/>
        <w:rPr>
          <w:sz w:val="20"/>
          <w:szCs w:val="20"/>
          <w:color w:val="auto"/>
        </w:rPr>
      </w:pPr>
    </w:p>
    <w:p>
      <w:pPr>
        <w:ind w:left="285" w:hanging="285"/>
        <w:spacing w:after="0" w:line="275" w:lineRule="auto"/>
        <w:tabs>
          <w:tab w:leader="none" w:pos="28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5" w:right="9340" w:hanging="5"/>
        <w:spacing w:after="0" w:line="526" w:lineRule="auto"/>
        <w:tabs>
          <w:tab w:leader="none" w:pos="163"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Power Purchase Agreements</w:t>
      </w: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The Company has PPAs with utilities to sell electricity and receive capacity and energy payments. The PPAs expire from 2022 to 2036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59"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Renewable Energy Credits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Purchase Agreements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4. Company Operations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and Maintenance Agreements</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Acquisition</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56" w:lineRule="exact"/>
        <w:rPr>
          <w:sz w:val="20"/>
          <w:szCs w:val="20"/>
          <w:color w:val="auto"/>
        </w:rPr>
      </w:pPr>
    </w:p>
    <w:p>
      <w:pPr>
        <w:jc w:val="both"/>
        <w:ind w:right="20" w:firstLine="283"/>
        <w:spacing w:after="0" w:line="286" w:lineRule="auto"/>
        <w:rPr>
          <w:sz w:val="20"/>
          <w:szCs w:val="20"/>
          <w:color w:val="auto"/>
        </w:rPr>
      </w:pPr>
      <w:r>
        <w:rPr>
          <w:rFonts w:ascii="Times New Roman" w:cs="Times New Roman" w:eastAsia="Times New Roman" w:hAnsi="Times New Roman"/>
          <w:sz w:val="15"/>
          <w:szCs w:val="15"/>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39"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6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31" w:name="page232"/>
    <w:bookmarkEnd w:id="23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5. Acquisition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consideration transferred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40"/>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55,410</w:t>
            </w:r>
          </w:p>
        </w:tc>
        <w:tc>
          <w:tcPr>
            <w:tcW w:w="100" w:type="dxa"/>
            <w:vAlign w:val="bottom"/>
          </w:tcPr>
          <w:p>
            <w:pPr>
              <w:spacing w:after="0"/>
              <w:rPr>
                <w:sz w:val="20"/>
                <w:szCs w:val="20"/>
                <w:color w:val="auto"/>
              </w:rPr>
            </w:pPr>
          </w:p>
        </w:tc>
      </w:tr>
      <w:tr>
        <w:trPr>
          <w:trHeight w:val="208"/>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previously held equity interest</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44,069</w:t>
            </w:r>
          </w:p>
        </w:tc>
        <w:tc>
          <w:tcPr>
            <w:tcW w:w="100" w:type="dxa"/>
            <w:vAlign w:val="bottom"/>
          </w:tcPr>
          <w:p>
            <w:pPr>
              <w:spacing w:after="0"/>
              <w:rPr>
                <w:sz w:val="18"/>
                <w:szCs w:val="18"/>
                <w:color w:val="auto"/>
              </w:rPr>
            </w:pPr>
          </w:p>
        </w:tc>
      </w:tr>
      <w:tr>
        <w:trPr>
          <w:trHeight w:val="191"/>
        </w:trPr>
        <w:tc>
          <w:tcPr>
            <w:tcW w:w="10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of net identifiable assets acquired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Parts inventory</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6"/>
                <w:szCs w:val="16"/>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50,726</w:t>
            </w:r>
          </w:p>
        </w:tc>
        <w:tc>
          <w:tcPr>
            <w:tcW w:w="100" w:type="dxa"/>
            <w:vAlign w:val="bottom"/>
          </w:tcPr>
          <w:p>
            <w:pPr>
              <w:spacing w:after="0"/>
              <w:rPr>
                <w:sz w:val="18"/>
                <w:szCs w:val="18"/>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(690)</w:t>
            </w: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r>
      <w:tr>
        <w:trPr>
          <w:trHeight w:val="22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royalties</w:t>
            </w:r>
          </w:p>
        </w:tc>
        <w:tc>
          <w:tcPr>
            <w:tcW w:w="3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(4,196)</w:t>
            </w:r>
          </w:p>
        </w:tc>
      </w:tr>
      <w:tr>
        <w:trPr>
          <w:trHeight w:val="176"/>
        </w:trPr>
        <w:tc>
          <w:tcPr>
            <w:tcW w:w="10020" w:type="dxa"/>
            <w:vAlign w:val="bottom"/>
            <w:tcBorders>
              <w:top w:val="single" w:sz="8" w:color="CCEEFF"/>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Total identifiable net assets</w:t>
            </w: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48,324</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0"/>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99,479</w:t>
            </w:r>
          </w:p>
        </w:tc>
        <w:tc>
          <w:tcPr>
            <w:tcW w:w="10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tabs>
          <w:tab w:leader="none" w:pos="28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the note as of December 31, 2021 is $58,710. Refer to Note 10, Borrowings, for additional information.</w:t>
      </w:r>
    </w:p>
    <w:p>
      <w:pPr>
        <w:spacing w:after="0" w:line="19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Proforma Financial Information</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Fiscal Years Ended</w:t>
            </w:r>
          </w:p>
        </w:tc>
      </w:tr>
      <w:tr>
        <w:trPr>
          <w:trHeight w:val="211"/>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8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7"/>
                <w:szCs w:val="17"/>
                <w:color w:val="auto"/>
              </w:rPr>
            </w:pPr>
          </w:p>
        </w:tc>
      </w:tr>
      <w:tr>
        <w:trPr>
          <w:trHeight w:val="224"/>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21"/>
              <w:spacing w:after="0" w:line="225" w:lineRule="exact"/>
              <w:rPr>
                <w:sz w:val="20"/>
                <w:szCs w:val="20"/>
                <w:color w:val="auto"/>
              </w:rPr>
            </w:pPr>
            <w:r>
              <w:rPr>
                <w:rFonts w:ascii="Times New Roman" w:cs="Times New Roman" w:eastAsia="Times New Roman" w:hAnsi="Times New Roman"/>
                <w:sz w:val="16"/>
                <w:szCs w:val="16"/>
                <w:color w:val="auto"/>
                <w:w w:val="98"/>
              </w:rPr>
              <w:t>Restated</w:t>
            </w:r>
            <w:r>
              <w:rPr>
                <w:rFonts w:ascii="Times New Roman" w:cs="Times New Roman" w:eastAsia="Times New Roman" w:hAnsi="Times New Roman"/>
                <w:sz w:val="26"/>
                <w:szCs w:val="26"/>
                <w:color w:val="auto"/>
                <w:w w:val="98"/>
                <w:vertAlign w:val="superscript"/>
              </w:rPr>
              <w:t>(1)</w:t>
            </w:r>
          </w:p>
        </w:tc>
        <w:tc>
          <w:tcPr>
            <w:tcW w:w="120" w:type="dxa"/>
            <w:vAlign w:val="bottom"/>
          </w:tcPr>
          <w:p>
            <w:pPr>
              <w:spacing w:after="0"/>
              <w:rPr>
                <w:sz w:val="19"/>
                <w:szCs w:val="19"/>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179,436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132,745</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(25,968)</w:t>
            </w:r>
          </w:p>
        </w:tc>
      </w:tr>
    </w:tbl>
    <w:p>
      <w:pPr>
        <w:spacing w:after="0" w:line="155" w:lineRule="exact"/>
        <w:rPr>
          <w:sz w:val="20"/>
          <w:szCs w:val="20"/>
          <w:color w:val="auto"/>
        </w:rPr>
      </w:pPr>
    </w:p>
    <w:p>
      <w:pPr>
        <w:ind w:left="285" w:right="20" w:hanging="285"/>
        <w:spacing w:after="0" w:line="275" w:lineRule="auto"/>
        <w:tabs>
          <w:tab w:leader="none" w:pos="28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Investments in Other Entities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our equity method investments as of December 31, 2021 and 2020:</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Beacon</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Pine Bend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Noble Road</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GREP</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 in other entities</w:t>
            </w: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47,150</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Income on equity method investments, net reported in the Company’s consolidated statements of operations consisted of the following for the years ended December 31, 2021, 2020 and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gridSpan w:val="2"/>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equity method investments, net, before amortization of basis difference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r>
      <w:tr>
        <w:trPr>
          <w:trHeight w:val="20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on equity method investments,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Beacon Step Acquisition</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detailed in Note 5, </w:t>
      </w:r>
      <w:r>
        <w:rPr>
          <w:rFonts w:ascii="Times New Roman" w:cs="Times New Roman" w:eastAsia="Times New Roman" w:hAnsi="Times New Roman"/>
          <w:sz w:val="16"/>
          <w:szCs w:val="16"/>
          <w:i w:val="1"/>
          <w:iCs w:val="1"/>
          <w:color w:val="auto"/>
        </w:rPr>
        <w:t>Acquisition</w:t>
      </w:r>
      <w:r>
        <w:rPr>
          <w:rFonts w:ascii="Times New Roman" w:cs="Times New Roman" w:eastAsia="Times New Roman" w:hAnsi="Times New Roman"/>
          <w:sz w:val="16"/>
          <w:szCs w:val="16"/>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Deconsolidation of Pine Bend and Noble Road</w:t>
      </w:r>
    </w:p>
    <w:p>
      <w:pPr>
        <w:spacing w:after="0" w:line="194"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of December 31, 2021, the Company re-assessed its equity interests in Pine Bend and Noble Road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6"/>
          <w:szCs w:val="16"/>
          <w:i w:val="1"/>
          <w:iCs w:val="1"/>
          <w:color w:val="auto"/>
        </w:rPr>
        <w:t>Investments Equity Method and 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Ventures</w:t>
      </w:r>
      <w:r>
        <w:rPr>
          <w:rFonts w:ascii="Times New Roman" w:cs="Times New Roman" w:eastAsia="Times New Roman" w:hAnsi="Times New Roman"/>
          <w:sz w:val="16"/>
          <w:szCs w:val="16"/>
          <w:color w:val="auto"/>
        </w:rPr>
        <w:t>, prospectively, as the Company has the ability to exercise significant influence, but not control, over both entities.</w:t>
      </w:r>
    </w:p>
    <w:p>
      <w:pPr>
        <w:spacing w:after="0" w:line="157"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6"/>
          <w:szCs w:val="16"/>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Upon deconsolidation, the Company remeasured the fair value of the retained investment and recognized a gain of $3,145 on Pine Bend and $11,880 on Noble Road in its consolidated statement of operations for the year ended December 31, 2021 and a corresponding increase in its basis in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189"/>
        </w:trPr>
        <w:tc>
          <w:tcPr>
            <w:tcW w:w="8840" w:type="dxa"/>
            <w:vAlign w:val="bottom"/>
          </w:tcPr>
          <w:p>
            <w:pPr>
              <w:jc w:val="center"/>
              <w:ind w:left="2341"/>
              <w:spacing w:after="0"/>
              <w:rPr>
                <w:sz w:val="20"/>
                <w:szCs w:val="20"/>
                <w:color w:val="auto"/>
              </w:rPr>
            </w:pPr>
            <w:r>
              <w:rPr>
                <w:rFonts w:ascii="Times New Roman" w:cs="Times New Roman" w:eastAsia="Times New Roman" w:hAnsi="Times New Roman"/>
                <w:sz w:val="16"/>
                <w:szCs w:val="16"/>
                <w:b w:val="1"/>
                <w:bCs w:val="1"/>
                <w:color w:val="auto"/>
                <w:w w:val="97"/>
              </w:rPr>
              <w:t>OPAL FUELS INC.</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40" w:type="dxa"/>
            <w:vAlign w:val="bottom"/>
          </w:tcPr>
          <w:p>
            <w:pPr>
              <w:jc w:val="center"/>
              <w:ind w:left="2281"/>
              <w:spacing w:after="0"/>
              <w:rPr>
                <w:sz w:val="20"/>
                <w:szCs w:val="20"/>
                <w:color w:val="auto"/>
              </w:rPr>
            </w:pPr>
            <w:r>
              <w:rPr>
                <w:rFonts w:ascii="Times New Roman" w:cs="Times New Roman" w:eastAsia="Times New Roman" w:hAnsi="Times New Roman"/>
                <w:sz w:val="16"/>
                <w:szCs w:val="16"/>
                <w:b w:val="1"/>
                <w:bCs w:val="1"/>
                <w:color w:val="auto"/>
                <w:w w:val="97"/>
              </w:rPr>
              <w:t>NOTES TO CONSOLIDATED FINANCIAL STATEMENTS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840" w:type="dxa"/>
            <w:vAlign w:val="bottom"/>
          </w:tcPr>
          <w:p>
            <w:pPr>
              <w:jc w:val="center"/>
              <w:ind w:left="2321"/>
              <w:spacing w:after="0"/>
              <w:rPr>
                <w:sz w:val="20"/>
                <w:szCs w:val="20"/>
                <w:color w:val="auto"/>
              </w:rPr>
            </w:pPr>
            <w:r>
              <w:rPr>
                <w:rFonts w:ascii="Times New Roman" w:cs="Times New Roman" w:eastAsia="Times New Roman" w:hAnsi="Times New Roman"/>
                <w:sz w:val="16"/>
                <w:szCs w:val="16"/>
                <w:b w:val="1"/>
                <w:bCs w:val="1"/>
                <w:color w:val="auto"/>
                <w:w w:val="98"/>
              </w:rPr>
              <w:t>(In thousands of dollars except per unit data)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6. Investments in Other Entities </w:t>
            </w:r>
            <w:r>
              <w:rPr>
                <w:rFonts w:ascii="Times New Roman" w:cs="Times New Roman" w:eastAsia="Times New Roman" w:hAnsi="Times New Roman"/>
                <w:sz w:val="16"/>
                <w:szCs w:val="16"/>
                <w:color w:val="auto"/>
              </w:rPr>
              <w:t>(cont.)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carrying value of assets and liabilities of the two entities at the time of their deconsolidation was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8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21,208</w:t>
            </w:r>
          </w:p>
        </w:tc>
        <w:tc>
          <w:tcPr>
            <w:tcW w:w="0" w:type="dxa"/>
            <w:vAlign w:val="bottom"/>
          </w:tcPr>
          <w:p>
            <w:pPr>
              <w:spacing w:after="0"/>
              <w:rPr>
                <w:sz w:val="1"/>
                <w:szCs w:val="1"/>
                <w:color w:val="auto"/>
              </w:rPr>
            </w:pPr>
          </w:p>
        </w:tc>
      </w:tr>
      <w:tr>
        <w:trPr>
          <w:trHeight w:val="189"/>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44,250</w:t>
            </w:r>
          </w:p>
        </w:tc>
        <w:tc>
          <w:tcPr>
            <w:tcW w:w="0" w:type="dxa"/>
            <w:vAlign w:val="bottom"/>
          </w:tcPr>
          <w:p>
            <w:pPr>
              <w:spacing w:after="0"/>
              <w:rPr>
                <w:sz w:val="1"/>
                <w:szCs w:val="1"/>
                <w:color w:val="auto"/>
              </w:rPr>
            </w:pPr>
          </w:p>
        </w:tc>
      </w:tr>
      <w:tr>
        <w:trPr>
          <w:trHeight w:val="201"/>
        </w:trPr>
        <w:tc>
          <w:tcPr>
            <w:tcW w:w="8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(4,235)</w:t>
            </w:r>
          </w:p>
        </w:tc>
        <w:tc>
          <w:tcPr>
            <w:tcW w:w="0" w:type="dxa"/>
            <w:vAlign w:val="bottom"/>
          </w:tcPr>
          <w:p>
            <w:pPr>
              <w:spacing w:after="0"/>
              <w:rPr>
                <w:sz w:val="1"/>
                <w:szCs w:val="1"/>
                <w:color w:val="auto"/>
              </w:rPr>
            </w:pPr>
          </w:p>
        </w:tc>
      </w:tr>
      <w:tr>
        <w:trPr>
          <w:trHeight w:val="24"/>
        </w:trPr>
        <w:tc>
          <w:tcPr>
            <w:tcW w:w="8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deconsolidated</w:t>
            </w:r>
          </w:p>
        </w:tc>
        <w:tc>
          <w:tcPr>
            <w:tcW w:w="1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61,357</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Reynold RNG LLC</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64" w:lineRule="exact"/>
        <w:rPr>
          <w:sz w:val="20"/>
          <w:szCs w:val="20"/>
          <w:color w:val="auto"/>
        </w:rPr>
      </w:pPr>
    </w:p>
    <w:p>
      <w:pPr>
        <w:jc w:val="both"/>
        <w:ind w:right="20" w:firstLine="283"/>
        <w:spacing w:after="0" w:line="270" w:lineRule="auto"/>
        <w:rPr>
          <w:sz w:val="20"/>
          <w:szCs w:val="20"/>
          <w:color w:val="auto"/>
        </w:rPr>
      </w:pPr>
      <w:r>
        <w:rPr>
          <w:rFonts w:ascii="Times New Roman" w:cs="Times New Roman" w:eastAsia="Times New Roman" w:hAnsi="Times New Roman"/>
          <w:sz w:val="15"/>
          <w:szCs w:val="15"/>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5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note receivable of $9,200 and Note receivable — variable fee component of $1,656 have been recorded as a long term assets on its consolidated balance sheet as of December 31, 2021.</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financial information of the unconsolidated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44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Borders>
              <w:bottom w:val="single" w:sz="8" w:color="CCEEFF"/>
            </w:tcBorders>
          </w:tcPr>
          <w:p>
            <w:pPr>
              <w:spacing w:after="0"/>
              <w:rPr>
                <w:sz w:val="17"/>
                <w:szCs w:val="17"/>
                <w:color w:val="auto"/>
              </w:rPr>
            </w:pP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CEEFF"/>
          </w:tcPr>
          <w:p>
            <w:pPr>
              <w:spacing w:after="0"/>
              <w:rPr>
                <w:sz w:val="18"/>
                <w:szCs w:val="18"/>
                <w:color w:val="auto"/>
              </w:rPr>
            </w:pP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44,250</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58,232</w:t>
            </w: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1,131</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1,536</w:t>
            </w:r>
          </w:p>
        </w:tc>
      </w:tr>
      <w:tr>
        <w:trPr>
          <w:trHeight w:val="21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61,358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57,781</w:t>
            </w:r>
          </w:p>
        </w:tc>
      </w:tr>
      <w:tr>
        <w:trPr>
          <w:trHeight w:val="571"/>
        </w:trPr>
        <w:tc>
          <w:tcPr>
            <w:tcW w:w="3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right"/>
              <w:ind w:right="3061"/>
              <w:spacing w:after="0"/>
              <w:rPr>
                <w:sz w:val="20"/>
                <w:szCs w:val="20"/>
                <w:color w:val="auto"/>
              </w:rPr>
            </w:pPr>
            <w:r>
              <w:rPr>
                <w:rFonts w:ascii="Times New Roman" w:cs="Times New Roman" w:eastAsia="Times New Roman" w:hAnsi="Times New Roman"/>
                <w:sz w:val="16"/>
                <w:szCs w:val="16"/>
                <w:color w:val="auto"/>
              </w:rPr>
              <w:t>F-78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3" w:right="319" w:bottom="1440" w:gutter="0" w:footer="0" w:header="0"/>
        </w:sectPr>
      </w:pPr>
    </w:p>
    <w:bookmarkStart w:id="234" w:name="page235"/>
    <w:bookmarkEnd w:id="23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6. Investments in Other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net income (loss) attributable to the Company from the unconsolidated entities:</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 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CCEEFF"/>
            </w:tcBorders>
          </w:tcPr>
          <w:p>
            <w:pPr>
              <w:spacing w:after="0"/>
              <w:rPr>
                <w:sz w:val="17"/>
                <w:szCs w:val="17"/>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120" w:type="dxa"/>
            <w:vAlign w:val="bottom"/>
            <w:shd w:val="clear" w:color="auto" w:fill="CCEEFF"/>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6,915</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3,331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3,255</w:t>
            </w: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5,276</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(1,072)</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2,268</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r>
      <w:tr>
        <w:trPr>
          <w:trHeight w:val="37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3"/>
        </w:trPr>
        <w:tc>
          <w:tcPr>
            <w:tcW w:w="86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Plant and equipment</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161,387</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98,881</w:t>
            </w:r>
          </w:p>
        </w:tc>
        <w:tc>
          <w:tcPr>
            <w:tcW w:w="100" w:type="dxa"/>
            <w:vAlign w:val="bottom"/>
            <w:shd w:val="clear" w:color="auto" w:fill="CCEEFF"/>
          </w:tcPr>
          <w:p>
            <w:pPr>
              <w:spacing w:after="0"/>
              <w:rPr>
                <w:sz w:val="18"/>
                <w:szCs w:val="18"/>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CNG/RNG Fueling stations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27,892</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25,430</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62,616</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20,424</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Buildings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2,544</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1,303</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Service equipment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1,521</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815</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407</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6"/>
                <w:szCs w:val="16"/>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302</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6"/>
                <w:szCs w:val="16"/>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277</w:t>
            </w:r>
          </w:p>
        </w:tc>
        <w:tc>
          <w:tcPr>
            <w:tcW w:w="3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6"/>
                <w:szCs w:val="16"/>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416</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r>
      <w:tr>
        <w:trPr>
          <w:trHeight w:val="176"/>
        </w:trPr>
        <w:tc>
          <w:tcPr>
            <w:tcW w:w="86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259,480</w:t>
            </w:r>
          </w:p>
        </w:tc>
        <w:tc>
          <w:tcPr>
            <w:tcW w:w="2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150,559</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(89,710</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169,770</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76,192</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285" w:hanging="285"/>
        <w:spacing w:after="0" w:line="256" w:lineRule="auto"/>
        <w:tabs>
          <w:tab w:leader="none" w:pos="28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60"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5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35" w:name="page236"/>
    <w:bookmarkEnd w:id="235"/>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thousands of dollars except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8. Intangible Assets, Net</w:t>
      </w:r>
    </w:p>
    <w:p>
      <w:pPr>
        <w:sectPr>
          <w:pgSz w:w="11900" w:h="16838" w:orient="portrait"/>
          <w:cols w:equalWidth="0" w:num="1">
            <w:col w:w="11265"/>
          </w:cols>
          <w:pgMar w:left="315" w:top="783" w:right="319" w:bottom="1440" w:gutter="0" w:footer="0" w:header="0"/>
        </w:sectPr>
      </w:pP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Intangible assets, net, consisted of the following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Power purchase agreements</w:t>
      </w:r>
      <w:r>
        <w:rPr>
          <w:rFonts w:ascii="Times New Roman" w:cs="Times New Roman" w:eastAsia="Times New Roman" w:hAnsi="Times New Roman"/>
          <w:sz w:val="26"/>
          <w:szCs w:val="26"/>
          <w:color w:val="auto"/>
          <w:vertAlign w:val="superscript"/>
        </w:rPr>
        <w:t>(1)</w:t>
      </w:r>
    </w:p>
    <w:p>
      <w:pPr>
        <w:ind w:left="5"/>
        <w:spacing w:after="0" w:line="180" w:lineRule="auto"/>
        <w:rPr>
          <w:sz w:val="20"/>
          <w:szCs w:val="20"/>
          <w:color w:val="auto"/>
        </w:rPr>
      </w:pPr>
      <w:r>
        <w:rPr>
          <w:rFonts w:ascii="Times New Roman" w:cs="Times New Roman" w:eastAsia="Times New Roman" w:hAnsi="Times New Roman"/>
          <w:sz w:val="16"/>
          <w:szCs w:val="16"/>
          <w:color w:val="auto"/>
        </w:rPr>
        <w:t>Transmission/distribution interconnection</w:t>
      </w:r>
      <w:r>
        <w:rPr>
          <w:rFonts w:ascii="Times New Roman" w:cs="Times New Roman" w:eastAsia="Times New Roman" w:hAnsi="Times New Roman"/>
          <w:sz w:val="26"/>
          <w:szCs w:val="26"/>
          <w:color w:val="auto"/>
          <w:vertAlign w:val="superscript"/>
        </w:rPr>
        <w:t>(2)</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CNG sales contract</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Intellectual property</w:t>
      </w:r>
    </w:p>
    <w:p>
      <w:pPr>
        <w:spacing w:after="0" w:line="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1"/>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(Months)</w:t>
            </w:r>
          </w:p>
        </w:tc>
        <w:tc>
          <w:tcPr>
            <w:tcW w:w="0" w:type="dxa"/>
            <w:vAlign w:val="bottom"/>
          </w:tcPr>
          <w:p>
            <w:pPr>
              <w:spacing w:after="0"/>
              <w:rPr>
                <w:sz w:val="1"/>
                <w:szCs w:val="1"/>
                <w:color w:val="auto"/>
              </w:rPr>
            </w:pPr>
          </w:p>
        </w:tc>
      </w:tr>
      <w:tr>
        <w:trPr>
          <w:trHeight w:val="213"/>
        </w:trPr>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(6,986)</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207"/>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(865)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181</w:t>
            </w: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(719)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120</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4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4"/>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tcPr>
          <w:p>
            <w:pPr>
              <w:jc w:val="right"/>
              <w:ind w:right="1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11,449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(8,588</w:t>
            </w:r>
          </w:p>
        </w:tc>
        <w:tc>
          <w:tcPr>
            <w:tcW w:w="220" w:type="dxa"/>
            <w:vAlign w:val="bottom"/>
            <w:vMerge w:val="continue"/>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2,861</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-734695</wp:posOffset>
            </wp:positionV>
            <wp:extent cx="7149465" cy="142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42240"/>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-449580</wp:posOffset>
            </wp:positionV>
            <wp:extent cx="7149465" cy="135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-179705</wp:posOffset>
            </wp:positionV>
            <wp:extent cx="7149465" cy="157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5265" w:space="720"/>
            <w:col w:w="5280"/>
          </w:cols>
          <w:pgMar w:left="315" w:top="783" w:right="319" w:bottom="1440" w:gutter="0" w:footer="0" w:header="0"/>
          <w:type w:val="continuous"/>
        </w:sectPr>
      </w:pPr>
    </w:p>
    <w:p>
      <w:pPr>
        <w:ind w:left="285" w:hanging="285"/>
        <w:spacing w:after="0"/>
        <w:tabs>
          <w:tab w:leader="none" w:pos="28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$114 of accelerated amortization of the power purchase agreement associated with the renewable power generating facility to be abandoned in June 2023.</w:t>
      </w:r>
    </w:p>
    <w:p>
      <w:pPr>
        <w:spacing w:after="0" w:line="22"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(Months)</w:t>
            </w: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purchase agreements</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(760)</w:t>
            </w:r>
          </w:p>
        </w:tc>
        <w:tc>
          <w:tcPr>
            <w:tcW w:w="80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181</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CNG sales contract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(639)</w:t>
            </w:r>
          </w:p>
        </w:tc>
        <w:tc>
          <w:tcPr>
            <w:tcW w:w="80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(11)</w:t>
            </w:r>
          </w:p>
        </w:tc>
        <w:tc>
          <w:tcPr>
            <w:tcW w:w="80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1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3,437</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Amortization expense for 2021, 2020 and 2019 was $577, $555, and $613, respectively. At December 31, 2021, estimated future amortization expense for intangible assets is as follows: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9. Goodwill</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900" w:type="dxa"/>
            <w:vAlign w:val="bottom"/>
            <w:gridSpan w:val="7"/>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goodwill by reporting segment from the beginning of the period to the end of the period: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RNG Fuel</w:t>
            </w:r>
          </w:p>
        </w:tc>
        <w:tc>
          <w:tcPr>
            <w:tcW w:w="1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Fuel station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Supply</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Net additions during the year</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3,453</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485" w:right="4540" w:hanging="5485"/>
        <w:spacing w:after="0" w:line="768" w:lineRule="auto"/>
        <w:tabs>
          <w:tab w:leader="none" w:pos="28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 relates to the step acquisition of Beacon. See Note 5, Acquisition, for additional information. 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4946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type w:val="continuous"/>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Borrowings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borrowings under the various debt facilities as of December 31, 2021 and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(73,145)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Senior secured credit facility, term loan, net of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72,256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(5,182)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Sunoma loan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Sunoma loan, net of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16,199</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discount and debt issuance costs</w:t>
            </w: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OPAL term loan, net of debt discount and debt issuance costs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59,090</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borrowings total</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134,083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90,504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Senior secured</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OPAL term</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Municipality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credit facility</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loan</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note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9"/>
        </w:trPr>
        <w:tc>
          <w:tcPr>
            <w:tcW w:w="2460" w:type="dxa"/>
            <w:vAlign w:val="bottom"/>
            <w:tcBorders>
              <w:top w:val="single" w:sz="8" w:color="CCEEFF"/>
            </w:tcBorders>
            <w:shd w:val="clear" w:color="auto" w:fill="CCEEFF"/>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2022</w:t>
            </w:r>
          </w:p>
        </w:tc>
        <w:tc>
          <w:tcPr>
            <w:tcW w:w="2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81,369</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2460" w:type="dxa"/>
            <w:vAlign w:val="bottom"/>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2023</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16,110</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16,194</w:t>
            </w:r>
          </w:p>
        </w:tc>
      </w:tr>
      <w:tr>
        <w:trPr>
          <w:trHeight w:val="189"/>
        </w:trPr>
        <w:tc>
          <w:tcPr>
            <w:tcW w:w="2460" w:type="dxa"/>
            <w:vAlign w:val="bottom"/>
            <w:shd w:val="clear" w:color="auto" w:fill="CCEEFF"/>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2024</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16,110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16,110</w:t>
            </w:r>
          </w:p>
        </w:tc>
      </w:tr>
      <w:tr>
        <w:trPr>
          <w:trHeight w:val="201"/>
        </w:trPr>
        <w:tc>
          <w:tcPr>
            <w:tcW w:w="2460" w:type="dxa"/>
            <w:vAlign w:val="bottom"/>
          </w:tcPr>
          <w:p>
            <w:pPr>
              <w:jc w:val="right"/>
              <w:ind w:right="2081"/>
              <w:spacing w:after="0"/>
              <w:rPr>
                <w:sz w:val="20"/>
                <w:szCs w:val="20"/>
                <w:color w:val="auto"/>
              </w:rPr>
            </w:pPr>
            <w:r>
              <w:rPr>
                <w:rFonts w:ascii="Times New Roman" w:cs="Times New Roman" w:eastAsia="Times New Roman" w:hAnsi="Times New Roman"/>
                <w:sz w:val="16"/>
                <w:szCs w:val="16"/>
                <w:color w:val="auto"/>
                <w:w w:val="87"/>
              </w:rPr>
              <w:t>2025</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88,065</w:t>
            </w:r>
          </w:p>
        </w:tc>
      </w:tr>
      <w:tr>
        <w:trPr>
          <w:trHeight w:val="24"/>
        </w:trPr>
        <w:tc>
          <w:tcPr>
            <w:tcW w:w="2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81,369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58,710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278</w:t>
            </w:r>
          </w:p>
        </w:tc>
        <w:tc>
          <w:tcPr>
            <w:tcW w:w="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215,357</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secured credit facility</w:t>
      </w:r>
    </w:p>
    <w:p>
      <w:pPr>
        <w:spacing w:after="0" w:line="196" w:lineRule="exact"/>
        <w:rPr>
          <w:sz w:val="20"/>
          <w:szCs w:val="20"/>
          <w:color w:val="auto"/>
        </w:rPr>
      </w:pPr>
    </w:p>
    <w:p>
      <w:pPr>
        <w:jc w:val="both"/>
        <w:ind w:right="20" w:firstLine="283"/>
        <w:spacing w:after="0" w:line="253" w:lineRule="auto"/>
        <w:rPr>
          <w:sz w:val="20"/>
          <w:szCs w:val="20"/>
          <w:color w:val="auto"/>
        </w:rPr>
      </w:pPr>
      <w:r>
        <w:rPr>
          <w:rFonts w:ascii="Times New Roman" w:cs="Times New Roman" w:eastAsia="Times New Roman" w:hAnsi="Times New Roman"/>
          <w:sz w:val="16"/>
          <w:szCs w:val="16"/>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6"/>
          <w:szCs w:val="16"/>
          <w:b w:val="1"/>
          <w:bCs w:val="1"/>
          <w:color w:val="auto"/>
        </w:rPr>
        <w:t>.</w:t>
      </w:r>
    </w:p>
    <w:p>
      <w:pPr>
        <w:spacing w:after="0" w:line="16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Patronage dividends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TruStar revolver credit facility</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amounts outstanding under this credit facility had an interest rate of 1.0% plus one month LIBOR.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Sunoma loan</w:t>
      </w:r>
    </w:p>
    <w:p>
      <w:pPr>
        <w:spacing w:after="0" w:line="196"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amounts outstanding under the Sunoma loan agreement are secured by the assets of Sunoma.</w:t>
      </w:r>
    </w:p>
    <w:p>
      <w:pPr>
        <w:spacing w:after="0" w:line="194"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significant assets of Sunoma are parenthesized in the consolidated balance sheets as December 31, 2021 and December 31, 2020. Refer to Note 16 Variable Interest Entities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term loan</w:t>
      </w:r>
    </w:p>
    <w:p>
      <w:pPr>
        <w:spacing w:after="0" w:line="196"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54"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5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Municipality loan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from Affiliate and Line of Credit from Affiliate</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56" w:lineRule="exact"/>
        <w:rPr>
          <w:sz w:val="20"/>
          <w:szCs w:val="20"/>
          <w:color w:val="auto"/>
        </w:rPr>
      </w:pPr>
    </w:p>
    <w:p>
      <w:pPr>
        <w:jc w:val="both"/>
        <w:ind w:right="20" w:firstLine="283"/>
        <w:spacing w:after="0" w:line="274" w:lineRule="auto"/>
        <w:rPr>
          <w:sz w:val="20"/>
          <w:szCs w:val="20"/>
          <w:color w:val="auto"/>
        </w:rPr>
      </w:pPr>
      <w:r>
        <w:rPr>
          <w:rFonts w:ascii="Times New Roman" w:cs="Times New Roman" w:eastAsia="Times New Roman" w:hAnsi="Times New Roman"/>
          <w:sz w:val="15"/>
          <w:szCs w:val="15"/>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2021</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interest rate on TruStar Revolver Credit Facility including a margin plus LIBOR was 1.52%.</w:t>
      </w:r>
    </w:p>
    <w:p>
      <w:pPr>
        <w:spacing w:after="0" w:line="19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2021, the paid-in-kind interest rate on Convertible note payable was 8%. The change in fair value of the Note recorded as interest expense between May 1, 2021 and December 31, 2021 was $3,300.</w:t>
      </w:r>
    </w:p>
    <w:p>
      <w:pPr>
        <w:spacing w:after="0" w:line="145"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weighted average effective interest rate on the Sunoma Credit Facility was 7.75%.</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2021, the weighted average interest rate on Municipality Loan was 3.0%.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2020</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interest rate on TruStar Revolver Credit Facility including a margin plus LIBOR was 2.1%.</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effective interest rate on the Sunoma Credit Facility was 7.75%.</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interest rate on Municipality Loan was 3.0%.</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40" w:name="page241"/>
    <w:bookmarkEnd w:id="24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10. Borrowings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2020, the weighted average interest rate on Line of Credit and Loan from Affiliate was 10%.</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2019</w:t>
      </w:r>
    </w:p>
    <w:p>
      <w:pPr>
        <w:spacing w:after="0" w:line="196"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interest rate on TruStar Revolver Credit Facility including a margin plus LIBOR was 2.1%.</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weighted average interest rate on Municipality Loan was 3.0%.</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year ended December 31, 2019, the weighted average interest rate on Line of Credit and Loan from Affiliate was 10%.</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Company’s total interest and financing expense, net for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2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Municipality loan</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Trustar revolver credit facility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 payable</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term loan</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Line of credit/Loan from Affiliate</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fees and other finance fees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6,655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hanging="285"/>
        <w:spacing w:after="0" w:line="275" w:lineRule="auto"/>
        <w:tabs>
          <w:tab w:leader="none" w:pos="28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Senior secured facility is presented net of patronage dividends received of $628, $136 and $131 for the years ended December 31, 2021, 2020 and 2019, respectively.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11. Leases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60"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9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Future minimum lease payments are as follows: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3"/>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8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690</w:t>
            </w:r>
          </w:p>
        </w:tc>
      </w:tr>
      <w:tr>
        <w:trPr>
          <w:trHeight w:val="189"/>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283</w:t>
            </w:r>
          </w:p>
        </w:tc>
      </w:tr>
      <w:tr>
        <w:trPr>
          <w:trHeight w:val="18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r>
      <w:tr>
        <w:trPr>
          <w:trHeight w:val="201"/>
        </w:trPr>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r>
      <w:tr>
        <w:trPr>
          <w:trHeight w:val="24"/>
        </w:trPr>
        <w:tc>
          <w:tcPr>
            <w:tcW w:w="9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incurred rent expense of $1,098, $1,242 and $1,464, in 2021, 2020 and 2019, respectively.</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location and amounts of derivatives fair values in the balance sheet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Recognized</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Balance Sheet</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interest rate swaps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(1,689)</w:t>
            </w:r>
          </w:p>
        </w:tc>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 net of current portion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(1,096)</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Derivative financial liability, non-current  portion</w:t>
            </w:r>
          </w:p>
        </w:tc>
        <w:tc>
          <w:tcPr>
            <w:tcW w:w="0" w:type="dxa"/>
            <w:vAlign w:val="bottom"/>
          </w:tcPr>
          <w:p>
            <w:pPr>
              <w:spacing w:after="0"/>
              <w:rPr>
                <w:sz w:val="1"/>
                <w:szCs w:val="1"/>
                <w:color w:val="auto"/>
              </w:rPr>
            </w:pPr>
          </w:p>
        </w:tc>
      </w:tr>
      <w:tr>
        <w:trPr>
          <w:trHeight w:val="24"/>
        </w:trPr>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4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 of interest rate swaps on our consolidated statement of operations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8"/>
          </w:tcPr>
          <w:p>
            <w:pPr>
              <w:ind w:left="960"/>
              <w:spacing w:after="0"/>
              <w:rPr>
                <w:sz w:val="20"/>
                <w:szCs w:val="20"/>
                <w:color w:val="auto"/>
              </w:rPr>
            </w:pPr>
            <w:r>
              <w:rPr>
                <w:rFonts w:ascii="Times New Roman" w:cs="Times New Roman" w:eastAsia="Times New Roman" w:hAnsi="Times New Roman"/>
                <w:sz w:val="16"/>
                <w:szCs w:val="16"/>
                <w:b w:val="1"/>
                <w:bCs w:val="1"/>
                <w:color w:val="auto"/>
              </w:rPr>
              <w:t>(Loss) Gain Recognized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(Loss)</w:t>
            </w:r>
          </w:p>
        </w:tc>
      </w:tr>
      <w:tr>
        <w:trPr>
          <w:trHeight w:val="223"/>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10"/>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Operations from interest rate swaps</w:t>
            </w:r>
          </w:p>
        </w:tc>
        <w:tc>
          <w:tcPr>
            <w:tcW w:w="8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Gain Recognized in Operations</w:t>
            </w:r>
          </w:p>
        </w:tc>
      </w:tr>
      <w:tr>
        <w:trPr>
          <w:trHeight w:val="20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 Derivatives</w:t>
            </w:r>
          </w:p>
        </w:tc>
      </w:tr>
      <w:tr>
        <w:trPr>
          <w:trHeight w:val="221"/>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value of derivative financial instruments</w:t>
            </w:r>
          </w:p>
        </w:tc>
      </w:tr>
      <w:tr>
        <w:trPr>
          <w:trHeight w:val="176"/>
        </w:trPr>
        <w:tc>
          <w:tcPr>
            <w:tcW w:w="3840" w:type="dxa"/>
            <w:vAlign w:val="bottom"/>
            <w:tcBorders>
              <w:top w:val="single" w:sz="8" w:color="CCEEFF"/>
              <w:bottom w:val="single" w:sz="8" w:color="CCEEFF"/>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rPr>
              <w:t>Net periodic settlements</w:t>
            </w: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(1,694</w:t>
            </w:r>
          </w:p>
        </w:tc>
        <w:tc>
          <w:tcPr>
            <w:tcW w:w="240" w:type="dxa"/>
            <w:vAlign w:val="bottom"/>
            <w:tcBorders>
              <w:top w:val="single" w:sz="8" w:color="CCEEFF"/>
              <w:bottom w:val="single" w:sz="8" w:color="CCEEFF"/>
            </w:tcBorders>
          </w:tcPr>
          <w:p>
            <w:pPr>
              <w:jc w:val="right"/>
              <w:ind w:right="10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(1,147</w:t>
            </w:r>
          </w:p>
        </w:tc>
        <w:tc>
          <w:tcPr>
            <w:tcW w:w="140" w:type="dxa"/>
            <w:vAlign w:val="bottom"/>
            <w:tcBorders>
              <w:top w:val="single" w:sz="8" w:color="CCEEFF"/>
              <w:bottom w:val="single" w:sz="8" w:color="CCEEFF"/>
            </w:tcBorders>
          </w:tcPr>
          <w:p>
            <w:pPr>
              <w:jc w:val="right"/>
              <w:ind w:right="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bottom w:val="single" w:sz="8" w:color="CCEEFF"/>
            </w:tcBorders>
          </w:tcPr>
          <w:p>
            <w:pPr>
              <w:spacing w:after="0"/>
              <w:rPr>
                <w:sz w:val="15"/>
                <w:szCs w:val="15"/>
                <w:color w:val="auto"/>
              </w:rPr>
            </w:pPr>
          </w:p>
        </w:tc>
        <w:tc>
          <w:tcPr>
            <w:tcW w:w="3460" w:type="dxa"/>
            <w:vAlign w:val="bottom"/>
            <w:tcBorders>
              <w:top w:val="single" w:sz="8" w:color="CCEEFF"/>
              <w:bottom w:val="single" w:sz="8" w:color="CCEEFF"/>
            </w:tcBorders>
            <w:gridSpan w:val="2"/>
          </w:tcPr>
          <w:p>
            <w:pPr>
              <w:ind w:left="80"/>
              <w:spacing w:after="0" w:line="173" w:lineRule="exact"/>
              <w:rPr>
                <w:sz w:val="20"/>
                <w:szCs w:val="20"/>
                <w:color w:val="auto"/>
              </w:rPr>
            </w:pPr>
            <w:r>
              <w:rPr>
                <w:rFonts w:ascii="Times New Roman" w:cs="Times New Roman" w:eastAsia="Times New Roman" w:hAnsi="Times New Roman"/>
                <w:sz w:val="16"/>
                <w:szCs w:val="16"/>
                <w:color w:val="auto"/>
              </w:rPr>
              <w:t>Change in value of derivative financial instruments</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Assets/(Liabilities)</w:t>
            </w:r>
          </w:p>
        </w:tc>
      </w:tr>
      <w:tr>
        <w:trPr>
          <w:trHeight w:val="359"/>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Net Amounts of</w:t>
            </w:r>
          </w:p>
        </w:tc>
      </w:tr>
      <w:tr>
        <w:trPr>
          <w:trHeight w:val="189"/>
        </w:trPr>
        <w:tc>
          <w:tcPr>
            <w:tcW w:w="6640" w:type="dxa"/>
            <w:vAlign w:val="bottom"/>
          </w:tcPr>
          <w:p>
            <w:pPr>
              <w:spacing w:after="0"/>
              <w:rPr>
                <w:sz w:val="16"/>
                <w:szCs w:val="16"/>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8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Amounts</w:t>
            </w:r>
          </w:p>
        </w:tc>
        <w:tc>
          <w:tcPr>
            <w:tcW w:w="222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Assets/(Liabilities)Presented</w:t>
            </w:r>
          </w:p>
        </w:tc>
      </w:tr>
      <w:tr>
        <w:trPr>
          <w:trHeight w:val="189"/>
        </w:trPr>
        <w:tc>
          <w:tcPr>
            <w:tcW w:w="6640" w:type="dxa"/>
            <w:vAlign w:val="bottom"/>
          </w:tcPr>
          <w:p>
            <w:pPr>
              <w:spacing w:after="0"/>
              <w:rPr>
                <w:sz w:val="16"/>
                <w:szCs w:val="16"/>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of 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in the</w:t>
            </w:r>
          </w:p>
        </w:tc>
      </w:tr>
      <w:tr>
        <w:trPr>
          <w:trHeight w:val="201"/>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11"/>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(992)</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(2,785)</w:t>
            </w:r>
          </w:p>
        </w:tc>
      </w:tr>
    </w:tbl>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no collateral balances with counterparties outstanding as of the period-end dates.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42" w:name="page243"/>
    <w:bookmarkEnd w:id="24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12. Derivative Financial Instruments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Commodity swap contracts</w:t>
      </w:r>
    </w:p>
    <w:p>
      <w:pPr>
        <w:spacing w:after="0" w:line="196"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68" w:lineRule="exact"/>
        <w:rPr>
          <w:sz w:val="20"/>
          <w:szCs w:val="20"/>
          <w:color w:val="auto"/>
        </w:rPr>
      </w:pPr>
    </w:p>
    <w:p>
      <w:pPr>
        <w:jc w:val="both"/>
        <w:ind w:left="5" w:firstLine="283"/>
        <w:spacing w:after="0" w:line="278" w:lineRule="auto"/>
        <w:rPr>
          <w:sz w:val="20"/>
          <w:szCs w:val="20"/>
          <w:color w:val="auto"/>
        </w:rPr>
      </w:pPr>
      <w:r>
        <w:rPr>
          <w:rFonts w:ascii="Times New Roman" w:cs="Times New Roman" w:eastAsia="Times New Roman" w:hAnsi="Times New Roman"/>
          <w:sz w:val="15"/>
          <w:szCs w:val="15"/>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4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summarizes the commodity swaps in place as of December 31, 2021 and 2020:</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Contract</w:t>
            </w:r>
          </w:p>
        </w:tc>
      </w:tr>
      <w:tr>
        <w:trPr>
          <w:trHeight w:val="201"/>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per year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price</w:t>
            </w:r>
          </w:p>
        </w:tc>
      </w:tr>
      <w:tr>
        <w:trPr>
          <w:trHeight w:val="211"/>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Period to</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(“Mwh”)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 Mwh)</w:t>
            </w:r>
          </w:p>
        </w:tc>
      </w:tr>
      <w:tr>
        <w:trPr>
          <w:trHeight w:val="189"/>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14, 2018</w:t>
            </w: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2019</w:t>
            </w: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30, 2022</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8"/>
              </w:rPr>
              <w:t>66.12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22, 2019</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January 1, 2020</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35.75</w:t>
            </w:r>
          </w:p>
        </w:tc>
      </w:tr>
      <w:tr>
        <w:trPr>
          <w:trHeight w:val="18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28, 2021</w:t>
            </w:r>
          </w:p>
        </w:tc>
        <w:tc>
          <w:tcPr>
            <w:tcW w:w="2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November 1, 2021</w:t>
            </w: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30,660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48.75</w:t>
            </w:r>
          </w:p>
        </w:tc>
      </w:tr>
      <w:tr>
        <w:trPr>
          <w:trHeight w:val="206"/>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27, 2021</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January 1, 2022</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31, 2022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50.75</w:t>
            </w:r>
          </w:p>
        </w:tc>
      </w:tr>
    </w:tbl>
    <w:p>
      <w:pPr>
        <w:spacing w:after="0" w:line="15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effect of commodity swaps on the consolidated statements of operations for the years ended December 31, 2021, 2020 and 2019.</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Fiscal Years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120" w:type="dxa"/>
            <w:vAlign w:val="bottom"/>
          </w:tcPr>
          <w:p>
            <w:pPr>
              <w:spacing w:after="0"/>
              <w:rPr>
                <w:sz w:val="17"/>
                <w:szCs w:val="17"/>
                <w:color w:val="auto"/>
              </w:rPr>
            </w:pPr>
          </w:p>
        </w:tc>
        <w:tc>
          <w:tcPr>
            <w:tcW w:w="2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Location of (loss) gain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120" w:type="dxa"/>
            <w:vAlign w:val="bottom"/>
          </w:tcPr>
          <w:p>
            <w:pPr>
              <w:spacing w:after="0"/>
              <w:rPr>
                <w:sz w:val="17"/>
                <w:szCs w:val="17"/>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recognized</w:t>
            </w: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(Restated)(1)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(Restated)(1)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swaps – realized (loss) gain</w:t>
            </w:r>
          </w:p>
        </w:tc>
        <w:tc>
          <w:tcPr>
            <w:tcW w:w="2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Commodity swaps – unrealized (loss)</w:t>
            </w:r>
          </w:p>
        </w:tc>
        <w:tc>
          <w:tcPr>
            <w:tcW w:w="25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tcPr>
          <w:p>
            <w:pPr>
              <w:spacing w:after="0"/>
              <w:rPr>
                <w:sz w:val="17"/>
                <w:szCs w:val="17"/>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4"/>
        </w:trPr>
        <w:tc>
          <w:tcPr>
            <w:tcW w:w="4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realized and unrealized(loss) gain</w:t>
            </w:r>
          </w:p>
        </w:tc>
        <w:tc>
          <w:tcPr>
            <w:tcW w:w="25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vMerge w:val="continue"/>
            <w:shd w:val="clear" w:color="auto" w:fill="CCEEFF"/>
          </w:tcPr>
          <w:p>
            <w:pPr>
              <w:spacing w:after="0"/>
              <w:rPr>
                <w:sz w:val="18"/>
                <w:szCs w:val="18"/>
                <w:color w:val="auto"/>
              </w:rPr>
            </w:pPr>
          </w:p>
        </w:tc>
        <w:tc>
          <w:tcPr>
            <w:tcW w:w="250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right="20" w:hanging="285"/>
        <w:spacing w:after="0" w:line="275" w:lineRule="auto"/>
        <w:tabs>
          <w:tab w:leader="none" w:pos="28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Revenues for the years ended December 31, 2020 and 2019 were restated to record unrealized loss of $1,176 and $373, respectively. Please see Note 2 Restatement of financial statements for additional information.</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Derivative Financial Instruments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the derivative assets and liabilities related to commodity swaps as of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Location of</w:t>
            </w:r>
          </w:p>
        </w:tc>
      </w:tr>
      <w:tr>
        <w:trPr>
          <w:trHeight w:val="20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Recognized in Balance Sheet</w:t>
            </w:r>
          </w:p>
        </w:tc>
      </w:t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 designated as economic hedges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unrealized gain on commodity swaps</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7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810</w:t>
            </w: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financial asset – current portion</w:t>
            </w:r>
          </w:p>
        </w:tc>
      </w:tr>
      <w:tr>
        <w:trPr>
          <w:trHeight w:val="20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on commodity swaps, net of current portion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719</w:t>
            </w: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financial asset – non-current</w:t>
            </w:r>
          </w:p>
        </w:tc>
      </w:tr>
      <w:tr>
        <w:trPr>
          <w:trHeight w:val="216"/>
        </w:trPr>
        <w:tc>
          <w:tcPr>
            <w:tcW w:w="4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1,529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Related Parties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Related parties are represented by our Ultimate Parent and other affiliates, subsidiaries and other entities under common control with the Ultimate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contributions and distribution from and to members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During the years ended December 31, 2021, 2020 and 2019, the Company received contributions from its Ultimate Parent of $7,531, $15,128 and $30,057,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the Company made distributions to its Ultimate Parent of $3,695, $852 and $404 for the years ended December 31, 2021, 2020 and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of non-controlling interests to Related Parties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6"/>
          <w:szCs w:val="16"/>
          <w:i w:val="1"/>
          <w:iCs w:val="1"/>
          <w:color w:val="auto"/>
        </w:rPr>
        <w:t>Redeemable Preferred Units and Equity</w:t>
      </w:r>
      <w:r>
        <w:rPr>
          <w:rFonts w:ascii="Times New Roman" w:cs="Times New Roman" w:eastAsia="Times New Roman" w:hAnsi="Times New Roman"/>
          <w:sz w:val="16"/>
          <w:szCs w:val="16"/>
          <w:color w:val="auto"/>
        </w:rPr>
        <w:t xml:space="preserve">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of investments from Related Parties</w:t>
      </w:r>
    </w:p>
    <w:p>
      <w:pPr>
        <w:spacing w:after="0" w:line="196"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commitment letters</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Related Parties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distributed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under the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Amount</w:t>
            </w:r>
          </w:p>
        </w:tc>
      </w:t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Commitment</w:t>
            </w: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 yet</w:t>
            </w: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Letters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letters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 be fulfilled</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Noble Road RNG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Pine Bend RNG</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21,504</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21,504</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River RNG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20" w:type="dxa"/>
            <w:vAlign w:val="bottom"/>
            <w:shd w:val="clear" w:color="auto" w:fill="CCEEFF"/>
          </w:tcPr>
          <w:p>
            <w:pPr>
              <w:spacing w:after="0"/>
              <w:rPr>
                <w:sz w:val="17"/>
                <w:szCs w:val="17"/>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49,293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contracts with Related Parties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agreements with Related Parties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45" w:lineRule="exact"/>
        <w:rPr>
          <w:sz w:val="20"/>
          <w:szCs w:val="20"/>
          <w:color w:val="auto"/>
        </w:rPr>
      </w:pPr>
    </w:p>
    <w:p>
      <w:pPr>
        <w:jc w:val="both"/>
        <w:ind w:firstLine="283"/>
        <w:spacing w:after="0" w:line="278" w:lineRule="auto"/>
        <w:rPr>
          <w:sz w:val="20"/>
          <w:szCs w:val="20"/>
          <w:color w:val="auto"/>
        </w:rPr>
      </w:pPr>
      <w:r>
        <w:rPr>
          <w:rFonts w:ascii="Times New Roman" w:cs="Times New Roman" w:eastAsia="Times New Roman" w:hAnsi="Times New Roman"/>
          <w:sz w:val="15"/>
          <w:szCs w:val="15"/>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46"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Related Parties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various fees recorded under the agreements described above which are included in our Selling, general administrative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Staffing and management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IT services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Managements services</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Guaranty fees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processing fees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Benefit Plan</w:t>
      </w:r>
    </w:p>
    <w:p>
      <w:pPr>
        <w:spacing w:after="0" w:line="19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Reportable Segments and Geographic Information</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organized into six operating segments based on the characteristics of its Renewable Power generation and dispensing portfolio and the nature of other products and services:</w:t>
      </w:r>
    </w:p>
    <w:p>
      <w:pPr>
        <w:spacing w:after="0" w:line="143" w:lineRule="exact"/>
        <w:rPr>
          <w:sz w:val="20"/>
          <w:szCs w:val="20"/>
          <w:color w:val="auto"/>
        </w:rPr>
      </w:pPr>
    </w:p>
    <w:p>
      <w:pPr>
        <w:ind w:left="840" w:right="20" w:hanging="278"/>
        <w:spacing w:after="0" w:line="278"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3 Portfolio. </w:t>
      </w:r>
      <w:r>
        <w:rPr>
          <w:rFonts w:ascii="Times New Roman" w:cs="Times New Roman" w:eastAsia="Times New Roman" w:hAnsi="Times New Roman"/>
          <w:sz w:val="16"/>
          <w:szCs w:val="16"/>
          <w:color w:val="auto"/>
        </w:rPr>
        <w:t>The Renewable Power 3 (“RP3”) portfolio generates electricity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primarily located in Southern California. RP3 sells renewable electricity to public utilities throughout the United States.</w:t>
      </w:r>
    </w:p>
    <w:p>
      <w:pPr>
        <w:spacing w:after="0" w:line="140" w:lineRule="exact"/>
        <w:rPr>
          <w:rFonts w:ascii="Times New Roman" w:cs="Times New Roman" w:eastAsia="Times New Roman" w:hAnsi="Times New Roman"/>
          <w:sz w:val="16"/>
          <w:szCs w:val="16"/>
          <w:color w:val="auto"/>
        </w:rPr>
      </w:pPr>
    </w:p>
    <w:p>
      <w:pPr>
        <w:ind w:left="840" w:right="20" w:hanging="278"/>
        <w:spacing w:after="0" w:line="278"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4 Portfolio. </w:t>
      </w:r>
      <w:r>
        <w:rPr>
          <w:rFonts w:ascii="Times New Roman" w:cs="Times New Roman" w:eastAsia="Times New Roman" w:hAnsi="Times New Roman"/>
          <w:sz w:val="16"/>
          <w:szCs w:val="16"/>
          <w:color w:val="auto"/>
        </w:rPr>
        <w:t>The Renewable Power 4 (“RP4”) portfolio generates electricity through methane-rich landfills and digester gas collection systems.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RP4 sells renewable electricity to public utilities throughout the United States.</w:t>
      </w:r>
    </w:p>
    <w:p>
      <w:pPr>
        <w:spacing w:after="0" w:line="140" w:lineRule="exact"/>
        <w:rPr>
          <w:rFonts w:ascii="Times New Roman" w:cs="Times New Roman" w:eastAsia="Times New Roman" w:hAnsi="Times New Roman"/>
          <w:sz w:val="16"/>
          <w:szCs w:val="16"/>
          <w:color w:val="auto"/>
        </w:rPr>
      </w:pPr>
    </w:p>
    <w:p>
      <w:pPr>
        <w:jc w:val="both"/>
        <w:ind w:left="840" w:hanging="278"/>
        <w:spacing w:after="0" w:line="251" w:lineRule="auto"/>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Supply. </w:t>
      </w:r>
      <w:r>
        <w:rPr>
          <w:rFonts w:ascii="Times New Roman" w:cs="Times New Roman" w:eastAsia="Times New Roman" w:hAnsi="Times New Roman"/>
          <w:sz w:val="16"/>
          <w:szCs w:val="16"/>
          <w:color w:val="auto"/>
        </w:rPr>
        <w:t>The RNG Fuel portfolio consists of the Company’s interests in Beacon, Noble Road, Sunoma, GREP and other RNG projects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46" w:name="page247"/>
    <w:bookmarkEnd w:id="24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245" w:hanging="245"/>
        <w:spacing w:after="0"/>
        <w:tabs>
          <w:tab w:leader="none" w:pos="245"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Reportable Segments and Geographic Information </w:t>
      </w:r>
      <w:r>
        <w:rPr>
          <w:rFonts w:ascii="Times New Roman" w:cs="Times New Roman" w:eastAsia="Times New Roman" w:hAnsi="Times New Roman"/>
          <w:sz w:val="16"/>
          <w:szCs w:val="16"/>
          <w:color w:val="auto"/>
        </w:rPr>
        <w:t>(cont.)</w:t>
      </w:r>
    </w:p>
    <w:p>
      <w:pPr>
        <w:spacing w:after="0" w:line="194" w:lineRule="exact"/>
        <w:rPr>
          <w:rFonts w:ascii="Times New Roman" w:cs="Times New Roman" w:eastAsia="Times New Roman" w:hAnsi="Times New Roman"/>
          <w:sz w:val="16"/>
          <w:szCs w:val="16"/>
          <w:b w:val="1"/>
          <w:bCs w:val="1"/>
          <w:color w:val="auto"/>
        </w:rPr>
      </w:pPr>
    </w:p>
    <w:p>
      <w:pPr>
        <w:ind w:left="565" w:hanging="282"/>
        <w:spacing w:after="0" w:line="278" w:lineRule="auto"/>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RNG Fuel Dispensing. </w:t>
      </w:r>
      <w:r>
        <w:rPr>
          <w:rFonts w:ascii="Times New Roman" w:cs="Times New Roman" w:eastAsia="Times New Roman" w:hAnsi="Times New Roman"/>
          <w:sz w:val="16"/>
          <w:szCs w:val="16"/>
          <w:color w:val="auto"/>
        </w:rPr>
        <w:t>The Company owns and operates CNG fueling stations that are strategically located to supply fuel to third-party vehicle fleets throughout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United States. CNG Fueling Operations also supplies CNG vehicle fuel to stations owned by third parties.</w:t>
      </w:r>
    </w:p>
    <w:p>
      <w:pPr>
        <w:spacing w:after="0" w:line="140"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Construction Services. </w:t>
      </w:r>
      <w:r>
        <w:rPr>
          <w:rFonts w:ascii="Times New Roman" w:cs="Times New Roman" w:eastAsia="Times New Roman" w:hAnsi="Times New Roman"/>
          <w:sz w:val="16"/>
          <w:szCs w:val="16"/>
          <w:color w:val="auto"/>
        </w:rPr>
        <w:t>The Company also provides design and construction services to third parties for vehicle fueling stations.</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Fuel Station Services. </w:t>
      </w:r>
      <w:r>
        <w:rPr>
          <w:rFonts w:ascii="Times New Roman" w:cs="Times New Roman" w:eastAsia="Times New Roman" w:hAnsi="Times New Roman"/>
          <w:sz w:val="16"/>
          <w:szCs w:val="16"/>
          <w:color w:val="auto"/>
        </w:rPr>
        <w:t>The Company also provides maintenance services to third-party owners of vehicle fueling stations.</w:t>
      </w:r>
    </w:p>
    <w:p>
      <w:pPr>
        <w:spacing w:after="0" w:line="196"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64"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40" w:type="dxa"/>
            <w:vAlign w:val="bottom"/>
          </w:tcPr>
          <w:p>
            <w:pPr>
              <w:jc w:val="center"/>
              <w:ind w:right="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43,857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45,922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50,597</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4,579</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60,097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12,366</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40,567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43,449</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18,637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14,842</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(4,293)</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(15,039)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(12,366)</w:t>
            </w:r>
          </w:p>
        </w:tc>
        <w:tc>
          <w:tcPr>
            <w:tcW w:w="0" w:type="dxa"/>
            <w:vAlign w:val="bottom"/>
          </w:tcPr>
          <w:p>
            <w:pPr>
              <w:spacing w:after="0"/>
              <w:rPr>
                <w:sz w:val="1"/>
                <w:szCs w:val="1"/>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117,706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hanging="285"/>
        <w:spacing w:after="0"/>
        <w:tabs>
          <w:tab w:leader="none" w:pos="28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in Renewable Power 3 and RNG Fuel Dispensing segments have been restated. Please see Note 2 Restatement of financial statements for additional information.</w:t>
      </w:r>
    </w:p>
    <w:p>
      <w:pPr>
        <w:spacing w:after="0" w:line="22"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revenues of Fortistar Contracting LLC.</w:t>
      </w:r>
    </w:p>
    <w:p>
      <w:pPr>
        <w:spacing w:after="0" w:line="3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47" w:name="page248"/>
    <w:bookmarkEnd w:id="24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15. Reportable Segments and Geographic Information </w:t>
            </w:r>
            <w:r>
              <w:rPr>
                <w:rFonts w:ascii="Times New Roman" w:cs="Times New Roman" w:eastAsia="Times New Roman" w:hAnsi="Times New Roman"/>
                <w:sz w:val="16"/>
                <w:szCs w:val="16"/>
                <w:color w:val="auto"/>
              </w:rPr>
              <w:t>(cont.)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1040" w:type="dxa"/>
            <w:vAlign w:val="bottom"/>
          </w:tcPr>
          <w:p>
            <w:pPr>
              <w:jc w:val="right"/>
              <w:ind w:right="21"/>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and Financing Expense, Net: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w:t>
            </w:r>
          </w:p>
        </w:tc>
        <w:tc>
          <w:tcPr>
            <w:tcW w:w="100" w:type="dxa"/>
            <w:vAlign w:val="bottom"/>
            <w:shd w:val="clear" w:color="auto" w:fill="CCEEFF"/>
          </w:tcPr>
          <w:p>
            <w:pPr>
              <w:spacing w:after="0"/>
              <w:rPr>
                <w:sz w:val="16"/>
                <w:szCs w:val="16"/>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20"/>
                <w:szCs w:val="20"/>
                <w:color w:val="auto"/>
              </w:rPr>
            </w:pP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8,026</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right="20" w:hanging="285"/>
        <w:spacing w:after="0" w:line="275" w:lineRule="auto"/>
        <w:tabs>
          <w:tab w:leader="none" w:pos="28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interest expense associated with RNG Fuel Dispensing, Fuel Construction Services, and Fuel Station Services, as the Company does not maintain segment-level records for these balances.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Depreciation, Amortization, and Accretion: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6,265</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1,178</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24"/>
        </w:trPr>
        <w:tc>
          <w:tcPr>
            <w:tcW w:w="73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1"/>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4"/>
        </w:trPr>
        <w:tc>
          <w:tcPr>
            <w:tcW w:w="28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8,031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(1) Other includes amortization of intangible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and depreciation expense not allocated to any segment.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8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Fiscal Years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(26,447)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55,402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2,622</w:t>
            </w:r>
          </w:p>
        </w:tc>
        <w:tc>
          <w:tcPr>
            <w:tcW w:w="0" w:type="dxa"/>
            <w:vAlign w:val="bottom"/>
          </w:tcPr>
          <w:p>
            <w:pPr>
              <w:spacing w:after="0"/>
              <w:rPr>
                <w:sz w:val="1"/>
                <w:szCs w:val="1"/>
                <w:color w:val="auto"/>
              </w:rPr>
            </w:pP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Fuel Construction Services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4,378</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Fuel Station Services</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3,367</w:t>
            </w:r>
          </w:p>
        </w:tc>
        <w:tc>
          <w:tcPr>
            <w:tcW w:w="0" w:type="dxa"/>
            <w:vAlign w:val="bottom"/>
          </w:tcPr>
          <w:p>
            <w:pPr>
              <w:spacing w:after="0"/>
              <w:rPr>
                <w:sz w:val="1"/>
                <w:szCs w:val="1"/>
                <w:color w:val="auto"/>
              </w:rPr>
            </w:pPr>
          </w:p>
        </w:tc>
      </w:tr>
      <w:tr>
        <w:trPr>
          <w:trHeight w:val="224"/>
        </w:trPr>
        <w:tc>
          <w:tcPr>
            <w:tcW w:w="73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189"/>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16"/>
                <w:szCs w:val="16"/>
                <w:color w:val="auto"/>
              </w:rPr>
            </w:pPr>
          </w:p>
        </w:tc>
        <w:tc>
          <w:tcPr>
            <w:tcW w:w="45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40,769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(25,371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right="20" w:hanging="285"/>
        <w:spacing w:after="0" w:line="257" w:lineRule="auto"/>
        <w:tabs>
          <w:tab w:leader="none" w:pos="28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for the Renewable Power 3 segment has been restated to record unrealized losses on commodity swap contracts. Please see Note 2 Restatement of financial statements for additional information.</w:t>
      </w:r>
    </w:p>
    <w:p>
      <w:pPr>
        <w:spacing w:after="0" w:line="1"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248" w:name="page249"/>
    <w:bookmarkEnd w:id="24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354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15. Reportable Segments and Geographic Information </w:t>
            </w:r>
            <w:r>
              <w:rPr>
                <w:rFonts w:ascii="Times New Roman" w:cs="Times New Roman" w:eastAsia="Times New Roman" w:hAnsi="Times New Roman"/>
                <w:sz w:val="16"/>
                <w:szCs w:val="16"/>
                <w:color w:val="auto"/>
              </w:rPr>
              <w:t>(cont.)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40,901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54,860</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2,827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191,464</w:t>
            </w: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24"/>
        </w:trPr>
        <w:tc>
          <w:tcPr>
            <w:tcW w:w="86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98,502</w:t>
            </w:r>
          </w:p>
        </w:tc>
        <w:tc>
          <w:tcPr>
            <w:tcW w:w="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59,671</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25,573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380,844</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169,458</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8562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8" w:lineRule="exact"/>
        <w:rPr>
          <w:sz w:val="20"/>
          <w:szCs w:val="20"/>
          <w:color w:val="auto"/>
        </w:rPr>
      </w:pPr>
    </w:p>
    <w:p>
      <w:pPr>
        <w:ind w:left="285" w:hanging="285"/>
        <w:spacing w:after="0" w:line="257" w:lineRule="auto"/>
        <w:tabs>
          <w:tab w:leader="none" w:pos="28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285" w:right="20" w:hanging="285"/>
        <w:spacing w:after="0" w:line="253" w:lineRule="auto"/>
        <w:tabs>
          <w:tab w:leader="none" w:pos="28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total assets associated with Fortistar Contracting LLC, RNG Fuel Dispensing, Fuel Construction Services, and Fuel Station Services, as the Company does not maintain segment-level records for these balances.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Paid for Purchases of Property, Plant and Equipment: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Renewable Power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Renewable Power 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RNG Fuel Supply</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1,001</w:t>
            </w:r>
          </w:p>
        </w:tc>
      </w:t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RNG Fuel Dispensing</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4,431</w:t>
            </w:r>
          </w:p>
        </w:tc>
      </w:tr>
      <w:tr>
        <w:trPr>
          <w:trHeight w:val="24"/>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24,940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Geographic Information: The Company’s assets and revenue generating activities are domiciled in the United States.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16. Stock-Based Compensation</w:t>
      </w:r>
    </w:p>
    <w:p>
      <w:pPr>
        <w:spacing w:after="0" w:line="196" w:lineRule="exact"/>
        <w:rPr>
          <w:sz w:val="20"/>
          <w:szCs w:val="20"/>
          <w:color w:val="auto"/>
        </w:rPr>
      </w:pPr>
    </w:p>
    <w:p>
      <w:pPr>
        <w:jc w:val="both"/>
        <w:ind w:left="5" w:right="20" w:firstLine="283"/>
        <w:spacing w:after="0" w:line="253" w:lineRule="auto"/>
        <w:rPr>
          <w:sz w:val="20"/>
          <w:szCs w:val="20"/>
          <w:color w:val="auto"/>
        </w:rPr>
      </w:pPr>
      <w:r>
        <w:rPr>
          <w:rFonts w:ascii="Times New Roman" w:cs="Times New Roman" w:eastAsia="Times New Roman" w:hAnsi="Times New Roman"/>
          <w:sz w:val="16"/>
          <w:szCs w:val="16"/>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64"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the Profits Interests are valued at their fair value when issued and such fair value is expensed over the service vesting period.</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49" w:name="page250"/>
    <w:bookmarkEnd w:id="24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16. Stock-Based Compensation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2021, 46% of the Profit Interests issued vested and there were 54% of Profit Interests unvested. There were no forfeitures during the year ended December 31, 2021.</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As of December 31, 2020, 25% of the Profit Interests issued vested and there were 75% of Profit Interests unvested. There were 0 forfeitures during the year ended December 31, 2020.</w:t>
      </w:r>
    </w:p>
    <w:p>
      <w:pPr>
        <w:spacing w:after="0" w:line="145"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future compensation to be recognized for the above grants as of December 31, 2021 is $1,731 and will be recognized the remaining vesting period which ranges from one to four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Variable Interest Entities</w:t>
      </w:r>
    </w:p>
    <w:p>
      <w:pPr>
        <w:spacing w:after="0" w:line="196"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6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60"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4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60" w:lineRule="exact"/>
        <w:rPr>
          <w:sz w:val="20"/>
          <w:szCs w:val="20"/>
          <w:color w:val="auto"/>
        </w:rPr>
      </w:pPr>
    </w:p>
    <w:p>
      <w:pPr>
        <w:ind w:left="560" w:right="20" w:hanging="282"/>
        <w:spacing w:after="0" w:line="257" w:lineRule="auto"/>
        <w:tabs>
          <w:tab w:leader="none" w:pos="5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obligation to absorb the potential losses for the right to receive potential benefits, which could be significant to the VIE;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50" w:name="page251"/>
    <w:bookmarkEnd w:id="25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17. Variable Interest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31, 2021, there was no activity in Emerald and Sapphire.</w:t>
      </w:r>
    </w:p>
    <w:p>
      <w:pPr>
        <w:spacing w:after="0" w:line="194"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6"/>
          <w:szCs w:val="16"/>
          <w:i w:val="1"/>
          <w:iCs w:val="1"/>
          <w:color w:val="auto"/>
        </w:rPr>
        <w:t>, Investments Equity Method and Joint Ventures.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See Note 6, Investment in Other Entities for additional information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6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6"/>
          <w:szCs w:val="16"/>
          <w:i w:val="1"/>
          <w:iCs w:val="1"/>
          <w:color w:val="auto"/>
        </w:rPr>
        <w:t>Consolidation.</w:t>
      </w:r>
    </w:p>
    <w:p>
      <w:pPr>
        <w:spacing w:after="0" w:line="164"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60"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45" w:lineRule="exact"/>
        <w:rPr>
          <w:sz w:val="20"/>
          <w:szCs w:val="20"/>
          <w:color w:val="auto"/>
        </w:rPr>
      </w:pPr>
    </w:p>
    <w:p>
      <w:pPr>
        <w:ind w:left="560" w:hanging="282"/>
        <w:spacing w:after="0"/>
        <w:tabs>
          <w:tab w:leader="none" w:pos="5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VIEs are RNG facilities under construction except Sunoma and they are reported under RNG fuel supply segment;</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our interest in these entities is primarily equity based and therefore carry similar risk and reward characteristics;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51" w:name="page252"/>
    <w:bookmarkEnd w:id="251"/>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17. Variable Interest Entities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5"/>
              </w:rPr>
              <w:t>(Restated)</w:t>
            </w:r>
            <w:r>
              <w:rPr>
                <w:rFonts w:ascii="Times New Roman" w:cs="Times New Roman" w:eastAsia="Times New Roman" w:hAnsi="Times New Roman"/>
                <w:sz w:val="26"/>
                <w:szCs w:val="26"/>
                <w:color w:val="auto"/>
                <w:w w:val="95"/>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2,144</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5,088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Sunoma loan – current portion</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tcBorders>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Sunoma loan, net of debt issuance costs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16,199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470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Members’ equity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OPAL Fuels LLC – equity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10,692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Non controlling interest in subsidiaries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31,101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25" w:right="20" w:hanging="325"/>
        <w:spacing w:after="0" w:line="278" w:lineRule="auto"/>
        <w:tabs>
          <w:tab w:leader="none" w:pos="325"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 ended December 31, 2020 and 2019.</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18. Redeemable Preferred Units and Equity</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Conversion of membership interests</w:t>
      </w:r>
    </w:p>
    <w:p>
      <w:pPr>
        <w:spacing w:after="0" w:line="194" w:lineRule="exact"/>
        <w:rPr>
          <w:sz w:val="20"/>
          <w:szCs w:val="20"/>
          <w:color w:val="auto"/>
        </w:rPr>
      </w:pPr>
    </w:p>
    <w:p>
      <w:pPr>
        <w:jc w:val="both"/>
        <w:ind w:left="5" w:firstLine="283"/>
        <w:spacing w:after="0" w:line="257" w:lineRule="auto"/>
        <w:rPr>
          <w:sz w:val="20"/>
          <w:szCs w:val="20"/>
          <w:color w:val="auto"/>
        </w:rPr>
      </w:pPr>
      <w:r>
        <w:rPr>
          <w:rFonts w:ascii="Times New Roman" w:cs="Times New Roman" w:eastAsia="Times New Roman" w:hAnsi="Times New Roman"/>
          <w:sz w:val="16"/>
          <w:szCs w:val="16"/>
          <w:color w:val="auto"/>
        </w:rPr>
        <w:t xml:space="preserve">As described in Note 1, </w:t>
      </w:r>
      <w:r>
        <w:rPr>
          <w:rFonts w:ascii="Times New Roman" w:cs="Times New Roman" w:eastAsia="Times New Roman" w:hAnsi="Times New Roman"/>
          <w:sz w:val="16"/>
          <w:szCs w:val="16"/>
          <w:i w:val="1"/>
          <w:iCs w:val="1"/>
          <w:color w:val="auto"/>
        </w:rPr>
        <w:t>Description of Business</w:t>
      </w:r>
      <w:r>
        <w:rPr>
          <w:rFonts w:ascii="Times New Roman" w:cs="Times New Roman" w:eastAsia="Times New Roman" w:hAnsi="Times New Roman"/>
          <w:sz w:val="16"/>
          <w:szCs w:val="16"/>
          <w:color w:val="auto"/>
        </w:rPr>
        <w:t xml:space="preserve"> and Note 3,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Authorization and Issuance of Common Units and Preferred Units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52" w:name="page253"/>
    <w:bookmarkEnd w:id="25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 Redeemable Preferred Units and Equity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changes in the redeemable preferred units from the December 31, 2020 to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Series A-1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preferred units</w:t>
            </w:r>
          </w:p>
        </w:tc>
        <w:tc>
          <w:tcPr>
            <w:tcW w:w="2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units</w:t>
            </w: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Hillman exchange – 300,000 Series A-1 units issued</w:t>
            </w: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dividends on issued and outstanding units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30,210</w:t>
            </w:r>
          </w:p>
        </w:tc>
        <w:tc>
          <w:tcPr>
            <w:tcW w:w="220" w:type="dxa"/>
            <w:vAlign w:val="bottom"/>
          </w:tcPr>
          <w:p>
            <w:pPr>
              <w:spacing w:after="0"/>
              <w:rPr>
                <w:sz w:val="17"/>
                <w:szCs w:val="17"/>
                <w:color w:val="auto"/>
              </w:rPr>
            </w:pPr>
          </w:p>
        </w:tc>
        <w:tc>
          <w:tcPr>
            <w:tcW w:w="18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Terms of Redeemable Preferred Units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Series A and Series A-1 preferred units (together the “Preferred Units”) have substantially the same terms and features which are listed below:</w:t>
      </w:r>
    </w:p>
    <w:p>
      <w:pPr>
        <w:spacing w:after="0" w:line="190" w:lineRule="exact"/>
        <w:rPr>
          <w:sz w:val="20"/>
          <w:szCs w:val="20"/>
          <w:color w:val="auto"/>
        </w:rPr>
      </w:pPr>
    </w:p>
    <w:p>
      <w:pPr>
        <w:jc w:val="both"/>
        <w:ind w:right="20" w:firstLine="283"/>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w:t>
      </w:r>
      <w:r>
        <w:rPr>
          <w:rFonts w:ascii="Times New Roman" w:cs="Times New Roman" w:eastAsia="Times New Roman" w:hAnsi="Times New Roman"/>
          <w:sz w:val="16"/>
          <w:szCs w:val="16"/>
          <w:color w:val="auto"/>
        </w:rPr>
        <w:t>The Series A-1 preferred units to Hillman do not have any voting rights. The Series A preferred units issued to NextEra have limited rights to prevent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taking certain actions including</w:t>
      </w:r>
    </w:p>
    <w:p>
      <w:pPr>
        <w:spacing w:after="0" w:line="142" w:lineRule="exact"/>
        <w:rPr>
          <w:sz w:val="20"/>
          <w:szCs w:val="20"/>
          <w:color w:val="auto"/>
        </w:rPr>
      </w:pPr>
    </w:p>
    <w:p>
      <w:pPr>
        <w:ind w:left="560" w:right="20" w:hanging="282"/>
        <w:spacing w:after="0" w:line="275" w:lineRule="auto"/>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issuances of new debt or equity (ii) executing transactions with affiliates which are not at arm-length basis (iii) major disposition of assets and (iv) major acquisition of assets outside of the Company’s primary business.</w:t>
      </w:r>
    </w:p>
    <w:p>
      <w:pPr>
        <w:spacing w:after="0" w:line="141" w:lineRule="exact"/>
        <w:rPr>
          <w:sz w:val="20"/>
          <w:szCs w:val="20"/>
          <w:color w:val="auto"/>
        </w:rPr>
      </w:pPr>
    </w:p>
    <w:p>
      <w:pPr>
        <w:jc w:val="both"/>
        <w:ind w:right="20" w:firstLine="283"/>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The Preferred Units are entitled to receive dividends at the rate of 8% per annum. Dividends begin accruing for each unit from the date of issuance and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57" w:lineRule="exact"/>
        <w:rPr>
          <w:sz w:val="20"/>
          <w:szCs w:val="20"/>
          <w:color w:val="auto"/>
        </w:rPr>
      </w:pPr>
    </w:p>
    <w:p>
      <w:pPr>
        <w:jc w:val="both"/>
        <w:ind w:firstLine="283"/>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preference: </w:t>
      </w:r>
      <w:r>
        <w:rPr>
          <w:rFonts w:ascii="Times New Roman" w:cs="Times New Roman" w:eastAsia="Times New Roman" w:hAnsi="Times New Roman"/>
          <w:sz w:val="16"/>
          <w:szCs w:val="16"/>
          <w:color w:val="auto"/>
        </w:rPr>
        <w:t>In the event of liquidation of the Company, each holder of a unit of Series A and Series A-1 is entitled to be paid on pro-rata basis the original issue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5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w:t>
      </w:r>
      <w:r>
        <w:rPr>
          <w:rFonts w:ascii="Times New Roman" w:cs="Times New Roman" w:eastAsia="Times New Roman" w:hAnsi="Times New Roman"/>
          <w:sz w:val="16"/>
          <w:szCs w:val="16"/>
          <w:color w:val="auto"/>
        </w:rPr>
        <w:t>At any time after issuance, the Company may redeem the Redeemable preferred units for a price equal to original issue price of $100 per unit plus any accrued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53" w:name="page254"/>
    <w:bookmarkEnd w:id="253"/>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 xml:space="preserve">18. Redeemable Preferred Units and Equity </w:t>
      </w:r>
      <w:r>
        <w:rPr>
          <w:rFonts w:ascii="Times New Roman" w:cs="Times New Roman" w:eastAsia="Times New Roman" w:hAnsi="Times New Roman"/>
          <w:sz w:val="16"/>
          <w:szCs w:val="16"/>
          <w:color w:val="auto"/>
        </w:rPr>
        <w:t>(cont.)</w:t>
      </w:r>
    </w:p>
    <w:p>
      <w:pPr>
        <w:spacing w:after="0" w:line="192" w:lineRule="exact"/>
        <w:rPr>
          <w:sz w:val="20"/>
          <w:szCs w:val="20"/>
          <w:color w:val="auto"/>
        </w:rPr>
      </w:pPr>
    </w:p>
    <w:p>
      <w:pPr>
        <w:jc w:val="both"/>
        <w:ind w:left="5" w:firstLine="28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w:t>
      </w:r>
      <w:r>
        <w:rPr>
          <w:rFonts w:ascii="Times New Roman" w:cs="Times New Roman" w:eastAsia="Times New Roman" w:hAnsi="Times New Roman"/>
          <w:sz w:val="16"/>
          <w:szCs w:val="16"/>
          <w:color w:val="auto"/>
        </w:rPr>
        <w:t>Holder’s may elect to convert Preferred Units into common units in the limited chance that the Company fails to redeem the Preferred Units under an optional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year, and a 30% discount thereafter:</w:t>
      </w:r>
    </w:p>
    <w:p>
      <w:pPr>
        <w:spacing w:after="0" w:line="52" w:lineRule="exact"/>
        <w:rPr>
          <w:sz w:val="20"/>
          <w:szCs w:val="20"/>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volume-weighted average price (“VWAP”) if common units are publicly traded</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20-day VWAP of public company common shares if the common units are exchangeable into public company shares</w:t>
      </w:r>
    </w:p>
    <w:p>
      <w:pPr>
        <w:spacing w:after="0" w:line="19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the estimated proceeds to be received by the holder of a common unit if the net assets of the Company were sold at fair market value and distributed</w:t>
      </w:r>
    </w:p>
    <w:p>
      <w:pPr>
        <w:spacing w:after="0" w:line="194"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Company’s common units received by any holder upon conversion will be “paired” with an equivalent number of non-economic voting shares of the Company’s public registrant, as applicable.</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Non-Controlling Interests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discloses the effects of changes in the Company’s ownership interest in its subsidiaries on the Members’ equity:</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r>
      <w:tr>
        <w:trPr>
          <w:trHeight w:val="272"/>
        </w:trPr>
        <w:tc>
          <w:tcPr>
            <w:tcW w:w="7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300"/>
              <w:spacing w:after="0" w:line="272" w:lineRule="exact"/>
              <w:rPr>
                <w:sz w:val="20"/>
                <w:szCs w:val="20"/>
                <w:color w:val="auto"/>
              </w:rPr>
            </w:pPr>
            <w:r>
              <w:rPr>
                <w:rFonts w:ascii="Times New Roman" w:cs="Times New Roman" w:eastAsia="Times New Roman" w:hAnsi="Times New Roman"/>
                <w:sz w:val="16"/>
                <w:szCs w:val="16"/>
                <w:color w:val="auto"/>
                <w:w w:val="99"/>
              </w:rPr>
              <w:t>(Restated)</w:t>
            </w:r>
            <w:r>
              <w:rPr>
                <w:rFonts w:ascii="Times New Roman" w:cs="Times New Roman" w:eastAsia="Times New Roman" w:hAnsi="Times New Roman"/>
                <w:sz w:val="26"/>
                <w:szCs w:val="26"/>
                <w:color w:val="auto"/>
                <w:w w:val="99"/>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center"/>
              <w:ind w:right="220"/>
              <w:spacing w:after="0" w:line="272"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41,363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(25,358)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Transfers (to) from the non-controlling interest: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OPAL Fuels Inc Stockholders’ Equity for sale of non-controlling interest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OPAL Fuels Inc Stockholders’ Equity for contributions from non-controlling interest</w:t>
            </w:r>
          </w:p>
        </w:tc>
        <w:tc>
          <w:tcPr>
            <w:tcW w:w="240" w:type="dxa"/>
            <w:vAlign w:val="bottom"/>
          </w:tcPr>
          <w:p>
            <w:pPr>
              <w:spacing w:after="0"/>
              <w:rPr>
                <w:sz w:val="16"/>
                <w:szCs w:val="16"/>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7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Decrease in OPAL Fuels Inc Stockholders’ Equity for purchase of non-controlling interest</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(9,211)</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73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transfers (to) from non-controlling interest</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(6,053</w:t>
            </w:r>
          </w:p>
        </w:tc>
        <w:tc>
          <w:tcPr>
            <w:tcW w:w="22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1,834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820"/>
              <w:spacing w:after="0" w:line="173"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bottom w:val="single" w:sz="8" w:color="CCEEFF"/>
            </w:tcBorders>
          </w:tcPr>
          <w:p>
            <w:pPr>
              <w:spacing w:after="0"/>
              <w:rPr>
                <w:sz w:val="15"/>
                <w:szCs w:val="15"/>
                <w:color w:val="auto"/>
              </w:rPr>
            </w:pPr>
          </w:p>
        </w:tc>
      </w:tr>
      <w:tr>
        <w:trPr>
          <w:trHeight w:val="161"/>
        </w:trPr>
        <w:tc>
          <w:tcPr>
            <w:tcW w:w="7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Change from net income attributable to OPAL Fuels Inc Stockholders’ and transfers (to) from non-controlling</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4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35,310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80"/>
              <w:spacing w:after="0" w:line="241" w:lineRule="exact"/>
              <w:rPr>
                <w:sz w:val="20"/>
                <w:szCs w:val="20"/>
                <w:color w:val="auto"/>
              </w:rPr>
            </w:pPr>
            <w:r>
              <w:rPr>
                <w:rFonts w:ascii="Times New Roman" w:cs="Times New Roman" w:eastAsia="Times New Roman" w:hAnsi="Times New Roman"/>
                <w:sz w:val="14"/>
                <w:szCs w:val="14"/>
                <w:color w:val="auto"/>
              </w:rPr>
              <w:t>(23,524</w:t>
            </w:r>
            <w:r>
              <w:rPr>
                <w:rFonts w:ascii="Times New Roman" w:cs="Times New Roman" w:eastAsia="Times New Roman" w:hAnsi="Times New Roman"/>
                <w:sz w:val="27"/>
                <w:szCs w:val="27"/>
                <w:color w:val="auto"/>
                <w:vertAlign w:val="superscript"/>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line="241" w:lineRule="exact"/>
              <w:rPr>
                <w:sz w:val="20"/>
                <w:szCs w:val="20"/>
                <w:color w:val="auto"/>
              </w:rPr>
            </w:pPr>
            <w:r>
              <w:rPr>
                <w:rFonts w:ascii="Times New Roman" w:cs="Times New Roman" w:eastAsia="Times New Roman" w:hAnsi="Times New Roman"/>
                <w:sz w:val="14"/>
                <w:szCs w:val="14"/>
                <w:color w:val="auto"/>
              </w:rPr>
              <w:t>(5,249</w:t>
            </w:r>
            <w:r>
              <w:rPr>
                <w:rFonts w:ascii="Times New Roman" w:cs="Times New Roman" w:eastAsia="Times New Roman" w:hAnsi="Times New Roman"/>
                <w:sz w:val="27"/>
                <w:szCs w:val="27"/>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left="285" w:right="20" w:hanging="285"/>
        <w:spacing w:after="0" w:line="259" w:lineRule="auto"/>
        <w:tabs>
          <w:tab w:leader="none" w:pos="2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described in Note 2 </w:t>
      </w:r>
      <w:r>
        <w:rPr>
          <w:rFonts w:ascii="Times New Roman" w:cs="Times New Roman" w:eastAsia="Times New Roman" w:hAnsi="Times New Roman"/>
          <w:sz w:val="16"/>
          <w:szCs w:val="16"/>
          <w:i w:val="1"/>
          <w:iCs w:val="1"/>
          <w:color w:val="auto"/>
        </w:rPr>
        <w:t>Restatement of Financial Statements</w:t>
      </w:r>
      <w:r>
        <w:rPr>
          <w:rFonts w:ascii="Times New Roman" w:cs="Times New Roman" w:eastAsia="Times New Roman" w:hAnsi="Times New Roman"/>
          <w:sz w:val="16"/>
          <w:szCs w:val="16"/>
          <w:color w:val="auto"/>
        </w:rPr>
        <w:t xml:space="preserve"> to these consolidated financial statements, we have restated the consolidated financial statements for the years ended December 31, 2020 and 2019.</w:t>
      </w:r>
    </w:p>
    <w:p>
      <w:pPr>
        <w:ind w:left="285" w:hanging="285"/>
        <w:spacing w:after="0"/>
        <w:tabs>
          <w:tab w:leader="none" w:pos="285"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$87 decrease in Stockholders’ equity relating to the Hillman exchange and $9,124 relating to redemption of non-controlling interest in one RNG project.</w:t>
      </w:r>
    </w:p>
    <w:p>
      <w:pPr>
        <w:spacing w:after="0" w:line="36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54" w:name="page255"/>
    <w:bookmarkEnd w:id="25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Net Income (Loss) Per Unit</w:t>
      </w:r>
    </w:p>
    <w:p>
      <w:pPr>
        <w:spacing w:after="0" w:line="196" w:lineRule="exact"/>
        <w:rPr>
          <w:sz w:val="20"/>
          <w:szCs w:val="20"/>
          <w:color w:val="auto"/>
        </w:rPr>
      </w:pPr>
    </w:p>
    <w:p>
      <w:pPr>
        <w:jc w:val="both"/>
        <w:ind w:firstLine="340"/>
        <w:spacing w:after="0" w:line="253" w:lineRule="auto"/>
        <w:rPr>
          <w:sz w:val="20"/>
          <w:szCs w:val="20"/>
          <w:color w:val="auto"/>
        </w:rPr>
      </w:pPr>
      <w:r>
        <w:rPr>
          <w:rFonts w:ascii="Times New Roman" w:cs="Times New Roman" w:eastAsia="Times New Roman" w:hAnsi="Times New Roman"/>
          <w:sz w:val="16"/>
          <w:szCs w:val="16"/>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64" w:lineRule="exact"/>
        <w:rPr>
          <w:sz w:val="20"/>
          <w:szCs w:val="20"/>
          <w:color w:val="auto"/>
        </w:rPr>
      </w:pPr>
    </w:p>
    <w:p>
      <w:pPr>
        <w:jc w:val="both"/>
        <w:ind w:right="20" w:firstLine="340"/>
        <w:spacing w:after="0" w:line="261" w:lineRule="auto"/>
        <w:rPr>
          <w:sz w:val="20"/>
          <w:szCs w:val="20"/>
          <w:color w:val="auto"/>
        </w:rPr>
      </w:pPr>
      <w:r>
        <w:rPr>
          <w:rFonts w:ascii="Times New Roman" w:cs="Times New Roman" w:eastAsia="Times New Roman" w:hAnsi="Times New Roman"/>
          <w:sz w:val="16"/>
          <w:szCs w:val="16"/>
          <w:color w:val="auto"/>
        </w:rPr>
        <w:t>The Basic income (loss) per unit attributable to Stockholders of OPAL Fuels Inc. for the years ended December 31, 2021, 2020 and 2019 is computed by dividing the net income (loss) attributable to OPAL Fuels Inc.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5"/>
                <w:szCs w:val="15"/>
                <w:color w:val="auto"/>
              </w:rPr>
            </w:pPr>
          </w:p>
        </w:tc>
      </w:tr>
      <w:tr>
        <w:trPr>
          <w:trHeight w:val="211"/>
        </w:trPr>
        <w:tc>
          <w:tcPr>
            <w:tcW w:w="7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r>
      <w:tr>
        <w:trPr>
          <w:trHeight w:val="224"/>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
              <w:spacing w:after="0" w:line="225"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line="225" w:lineRule="exact"/>
              <w:rPr>
                <w:sz w:val="20"/>
                <w:szCs w:val="20"/>
                <w:color w:val="auto"/>
              </w:rPr>
            </w:pPr>
            <w:r>
              <w:rPr>
                <w:rFonts w:ascii="Times New Roman" w:cs="Times New Roman" w:eastAsia="Times New Roman" w:hAnsi="Times New Roman"/>
                <w:sz w:val="16"/>
                <w:szCs w:val="16"/>
                <w:color w:val="auto"/>
                <w:w w:val="92"/>
              </w:rPr>
              <w:t>(Restated)</w:t>
            </w:r>
            <w:r>
              <w:rPr>
                <w:rFonts w:ascii="Times New Roman" w:cs="Times New Roman" w:eastAsia="Times New Roman" w:hAnsi="Times New Roman"/>
                <w:sz w:val="26"/>
                <w:szCs w:val="26"/>
                <w:color w:val="auto"/>
                <w:w w:val="92"/>
                <w:vertAlign w:val="superscript"/>
              </w:rPr>
              <w:t>(1)</w:t>
            </w:r>
          </w:p>
        </w:tc>
        <w:tc>
          <w:tcPr>
            <w:tcW w:w="120" w:type="dxa"/>
            <w:vAlign w:val="bottom"/>
          </w:tcPr>
          <w:p>
            <w:pPr>
              <w:spacing w:after="0"/>
              <w:rPr>
                <w:sz w:val="19"/>
                <w:szCs w:val="19"/>
                <w:color w:val="auto"/>
              </w:rPr>
            </w:pPr>
          </w:p>
        </w:tc>
      </w:tr>
      <w:tr>
        <w:trPr>
          <w:trHeight w:val="22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OPAL Fuels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41,363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(25,358)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173"/>
        </w:trPr>
        <w:tc>
          <w:tcPr>
            <w:tcW w:w="73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Weighted average units – Basic</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987</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986</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top w:val="single" w:sz="8" w:color="CCEEFF"/>
            </w:tcBorders>
          </w:tcPr>
          <w:p>
            <w:pPr>
              <w:spacing w:after="0"/>
              <w:rPr>
                <w:sz w:val="15"/>
                <w:szCs w:val="15"/>
                <w:color w:val="auto"/>
              </w:rPr>
            </w:pPr>
          </w:p>
        </w:tc>
      </w:tr>
      <w:tr>
        <w:trPr>
          <w:trHeight w:val="189"/>
        </w:trPr>
        <w:tc>
          <w:tcPr>
            <w:tcW w:w="7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units – Diluted</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986</w:t>
            </w: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(loss) per unit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41,908</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per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(25,718)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(5,324)</w:t>
            </w:r>
          </w:p>
        </w:tc>
      </w:tr>
      <w:tr>
        <w:trPr>
          <w:trHeight w:val="37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Letters of Credit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2"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Options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4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55" w:name="page256"/>
    <w:bookmarkEnd w:id="25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dollars except unit and per unit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20. Commitments and Contingencies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6"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5"/>
          <w:szCs w:val="15"/>
          <w:color w:val="auto"/>
        </w:rPr>
        <w:t>On June 26, 2020, Richmond Energy LLC (“</w:t>
      </w:r>
      <w:r>
        <w:rPr>
          <w:rFonts w:ascii="Times New Roman" w:cs="Times New Roman" w:eastAsia="Times New Roman" w:hAnsi="Times New Roman"/>
          <w:sz w:val="15"/>
          <w:szCs w:val="15"/>
          <w:b w:val="1"/>
          <w:bCs w:val="1"/>
          <w:color w:val="auto"/>
        </w:rPr>
        <w:t>Richmond</w:t>
      </w:r>
      <w:r>
        <w:rPr>
          <w:rFonts w:ascii="Times New Roman" w:cs="Times New Roman" w:eastAsia="Times New Roman" w:hAnsi="Times New Roman"/>
          <w:sz w:val="15"/>
          <w:szCs w:val="15"/>
          <w:color w:val="auto"/>
        </w:rPr>
        <w:t>”) declared a Force Majeure event under its Power Purchase Agreement with Old Dominion Electric Cooperative (“</w:t>
      </w:r>
      <w:r>
        <w:rPr>
          <w:rFonts w:ascii="Times New Roman" w:cs="Times New Roman" w:eastAsia="Times New Roman" w:hAnsi="Times New Roman"/>
          <w:sz w:val="15"/>
          <w:szCs w:val="15"/>
          <w:b w:val="1"/>
          <w:bCs w:val="1"/>
          <w:color w:val="auto"/>
        </w:rPr>
        <w:t>ODEC</w:t>
      </w:r>
      <w:r>
        <w:rPr>
          <w:rFonts w:ascii="Times New Roman" w:cs="Times New Roman" w:eastAsia="Times New Roman" w:hAnsi="Times New Roman"/>
          <w:sz w:val="15"/>
          <w:szCs w:val="15"/>
          <w:color w:val="auto"/>
        </w:rPr>
        <w:t>”), dated as of November 3, 2010 (the “</w:t>
      </w:r>
      <w:r>
        <w:rPr>
          <w:rFonts w:ascii="Times New Roman" w:cs="Times New Roman" w:eastAsia="Times New Roman" w:hAnsi="Times New Roman"/>
          <w:sz w:val="15"/>
          <w:szCs w:val="15"/>
          <w:b w:val="1"/>
          <w:bCs w:val="1"/>
          <w:color w:val="auto"/>
        </w:rPr>
        <w:t>PPA</w:t>
      </w:r>
      <w:r>
        <w:rPr>
          <w:rFonts w:ascii="Times New Roman" w:cs="Times New Roman" w:eastAsia="Times New Roman" w:hAnsi="Times New Roman"/>
          <w:sz w:val="15"/>
          <w:szCs w:val="15"/>
          <w:color w:val="auto"/>
        </w:rPr>
        <w:t>”). The Force Majeure declaration stated that inspections of its Old Dominion landfill gas-to-electric facility (the “</w:t>
      </w:r>
      <w:r>
        <w:rPr>
          <w:rFonts w:ascii="Times New Roman" w:cs="Times New Roman" w:eastAsia="Times New Roman" w:hAnsi="Times New Roman"/>
          <w:sz w:val="15"/>
          <w:szCs w:val="15"/>
          <w:b w:val="1"/>
          <w:bCs w:val="1"/>
          <w:color w:val="auto"/>
        </w:rPr>
        <w:t>OD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Facility</w:t>
      </w:r>
      <w:r>
        <w:rPr>
          <w:rFonts w:ascii="Times New Roman" w:cs="Times New Roman" w:eastAsia="Times New Roman" w:hAnsi="Times New Roman"/>
          <w:sz w:val="15"/>
          <w:szCs w:val="15"/>
          <w:color w:val="auto"/>
        </w:rPr>
        <w:t>”) under a scheduled maintenance outage revealed extensive damage to the engine generator sets. Richmond is currently undertaking significant capital expenditures,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5"/>
          <w:szCs w:val="15"/>
          <w:b w:val="1"/>
          <w:bCs w:val="1"/>
          <w:color w:val="auto"/>
        </w:rPr>
        <w:t>Settlement Agreement</w:t>
      </w:r>
      <w:r>
        <w:rPr>
          <w:rFonts w:ascii="Times New Roman" w:cs="Times New Roman" w:eastAsia="Times New Roman" w:hAnsi="Times New Roman"/>
          <w:sz w:val="15"/>
          <w:szCs w:val="15"/>
          <w:color w:val="auto"/>
        </w:rPr>
        <w:t>”). On February 8, 2022, Richmond paid ODEC $467,320.74 pursuant to the Settlement Agreement; liquidated damages for calendar year 2022, if any, will be assessed by ODEC during the first quarter of 2023.</w:t>
      </w:r>
    </w:p>
    <w:p>
      <w:pPr>
        <w:spacing w:after="0" w:line="151" w:lineRule="exact"/>
        <w:rPr>
          <w:sz w:val="20"/>
          <w:szCs w:val="20"/>
          <w:color w:val="auto"/>
        </w:rPr>
      </w:pPr>
    </w:p>
    <w:p>
      <w:pPr>
        <w:jc w:val="both"/>
        <w:ind w:right="20" w:firstLine="283"/>
        <w:spacing w:after="0" w:line="310" w:lineRule="auto"/>
        <w:rPr>
          <w:sz w:val="20"/>
          <w:szCs w:val="20"/>
          <w:color w:val="auto"/>
        </w:rPr>
      </w:pPr>
      <w:r>
        <w:rPr>
          <w:rFonts w:ascii="Times New Roman" w:cs="Times New Roman" w:eastAsia="Times New Roman" w:hAnsi="Times New Roman"/>
          <w:sz w:val="15"/>
          <w:szCs w:val="15"/>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196"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Members of Beacon RNG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RNG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60"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Emphasis of Matter — Related Parties</w:t>
      </w:r>
    </w:p>
    <w:p>
      <w:pPr>
        <w:spacing w:after="0" w:line="19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98"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56"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98" w:lineRule="exact"/>
        <w:rPr>
          <w:sz w:val="20"/>
          <w:szCs w:val="20"/>
          <w:color w:val="auto"/>
        </w:rPr>
      </w:pPr>
    </w:p>
    <w:p>
      <w:pPr>
        <w:jc w:val="both"/>
        <w:ind w:firstLine="283"/>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57" w:name="page258"/>
    <w:bookmarkEnd w:id="257"/>
    <w:p>
      <w:pPr>
        <w:ind w:left="28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94" w:lineRule="exact"/>
        <w:rPr>
          <w:sz w:val="20"/>
          <w:szCs w:val="20"/>
          <w:color w:val="auto"/>
        </w:rPr>
      </w:pPr>
    </w:p>
    <w:p>
      <w:pPr>
        <w:ind w:left="560" w:hanging="282"/>
        <w:spacing w:after="0"/>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22" w:lineRule="exact"/>
        <w:rPr>
          <w:rFonts w:ascii="Times New Roman" w:cs="Times New Roman" w:eastAsia="Times New Roman" w:hAnsi="Times New Roman"/>
          <w:sz w:val="16"/>
          <w:szCs w:val="16"/>
          <w:color w:val="auto"/>
        </w:rPr>
      </w:pP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560" w:right="20" w:hanging="282"/>
        <w:spacing w:after="0" w:line="246"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appropriateness of accounting policies used and the reasonableness of significant accounting estimates made by management, as well as evaluate the overall presentation of the consolidated financial statements.</w:t>
      </w:r>
    </w:p>
    <w:p>
      <w:pPr>
        <w:ind w:left="560" w:hanging="282"/>
        <w:spacing w:after="0" w:line="253" w:lineRule="auto"/>
        <w:tabs>
          <w:tab w:leader="none" w:pos="5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firstLine="283"/>
        <w:spacing w:after="0" w:line="275"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Connecticut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2022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58" w:name="page259"/>
    <w:bookmarkEnd w:id="25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01"/>
        </w:trPr>
        <w:tc>
          <w:tcPr>
            <w:tcW w:w="6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April 30,</w:t>
            </w:r>
          </w:p>
        </w:tc>
      </w:tr>
      <w:tr>
        <w:trPr>
          <w:trHeight w:val="211"/>
        </w:trPr>
        <w:tc>
          <w:tcPr>
            <w:tcW w:w="6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r>
      <w:tr>
        <w:trPr>
          <w:trHeight w:val="172"/>
        </w:trPr>
        <w:tc>
          <w:tcPr>
            <w:tcW w:w="64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1,874</w:t>
            </w: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2,502</w:t>
            </w:r>
          </w:p>
        </w:tc>
        <w:tc>
          <w:tcPr>
            <w:tcW w:w="120" w:type="dxa"/>
            <w:vAlign w:val="bottom"/>
            <w:tcBorders>
              <w:top w:val="single" w:sz="8" w:color="CCEEFF"/>
              <w:bottom w:val="single" w:sz="8" w:color="CCEEFF"/>
            </w:tcBorders>
          </w:tcPr>
          <w:p>
            <w:pPr>
              <w:spacing w:after="0"/>
              <w:rPr>
                <w:sz w:val="15"/>
                <w:szCs w:val="15"/>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56,119</w:t>
            </w: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1,208</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spares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assets</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59,995</w:t>
            </w:r>
          </w:p>
        </w:tc>
        <w:tc>
          <w:tcPr>
            <w:tcW w:w="120" w:type="dxa"/>
            <w:vAlign w:val="bottom"/>
            <w:tcBorders>
              <w:top w:val="single" w:sz="8" w:color="CCEEFF"/>
              <w:bottom w:val="single" w:sz="8" w:color="CCEEFF"/>
            </w:tcBorders>
          </w:tcPr>
          <w:p>
            <w:pPr>
              <w:spacing w:after="0"/>
              <w:rPr>
                <w:sz w:val="15"/>
                <w:szCs w:val="15"/>
                <w:color w:val="auto"/>
              </w:rPr>
            </w:pPr>
          </w:p>
        </w:tc>
      </w:tr>
      <w:tr>
        <w:trPr>
          <w:trHeight w:val="18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1,805</w:t>
            </w:r>
          </w:p>
        </w:tc>
      </w:tr>
      <w:tr>
        <w:trPr>
          <w:trHeight w:val="204"/>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4,196</w:t>
            </w:r>
          </w:p>
        </w:tc>
      </w:tr>
      <w:tr>
        <w:trPr>
          <w:trHeight w:val="209"/>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6420" w:type="dxa"/>
            <w:vAlign w:val="bottom"/>
            <w:tcBorders>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Asset retirement obligation</w:t>
            </w:r>
          </w:p>
        </w:tc>
        <w:tc>
          <w:tcPr>
            <w:tcW w:w="3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tcPr>
          <w:p>
            <w:pPr>
              <w:spacing w:after="0"/>
              <w:rPr>
                <w:sz w:val="15"/>
                <w:szCs w:val="15"/>
                <w:color w:val="auto"/>
              </w:rPr>
            </w:pPr>
          </w:p>
        </w:tc>
      </w:tr>
      <w:tr>
        <w:trPr>
          <w:trHeight w:val="209"/>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3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3"/>
        </w:trPr>
        <w:tc>
          <w:tcPr>
            <w:tcW w:w="64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Commitments and Contingencies (Note 8)</w:t>
            </w: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Members’ capital</w:t>
            </w: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50,487</w:t>
            </w:r>
          </w:p>
        </w:tc>
      </w:tr>
      <w:tr>
        <w:trPr>
          <w:trHeight w:val="221"/>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3,228</w:t>
            </w:r>
          </w:p>
        </w:tc>
      </w:tr>
      <w:tr>
        <w:trPr>
          <w:trHeight w:val="176"/>
        </w:trPr>
        <w:tc>
          <w:tcPr>
            <w:tcW w:w="64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members’ equity</w:t>
            </w:r>
          </w:p>
        </w:tc>
        <w:tc>
          <w:tcPr>
            <w:tcW w:w="36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53,715</w:t>
            </w:r>
          </w:p>
        </w:tc>
        <w:tc>
          <w:tcPr>
            <w:tcW w:w="120" w:type="dxa"/>
            <w:vAlign w:val="bottom"/>
            <w:tcBorders>
              <w:top w:val="single" w:sz="8" w:color="CCEEFF"/>
              <w:bottom w:val="single" w:sz="8" w:color="CCEEFF"/>
            </w:tcBorders>
          </w:tcPr>
          <w:p>
            <w:pPr>
              <w:spacing w:after="0"/>
              <w:rPr>
                <w:sz w:val="15"/>
                <w:szCs w:val="15"/>
                <w:color w:val="auto"/>
              </w:rPr>
            </w:pPr>
          </w:p>
        </w:tc>
      </w:tr>
      <w:tr>
        <w:trPr>
          <w:trHeight w:val="193"/>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3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59,995</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59" w:name="page260"/>
    <w:bookmarkEnd w:id="25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Four Months</w:t>
            </w: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201"/>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10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Renewable gas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RIN sales</w:t>
            </w:r>
          </w:p>
        </w:tc>
        <w:tc>
          <w:tcPr>
            <w:tcW w:w="10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12,101</w:t>
            </w: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Transportation sales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operating revenue</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13,312</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credit processing services</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Other income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60" w:name="page261"/>
    <w:bookmarkEnd w:id="26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(5,770)</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2,391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Balance, April 30, 2021</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24,269</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61" w:name="page262"/>
    <w:bookmarkEnd w:id="26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Four Months</w:t>
            </w: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201"/>
        </w:trPr>
        <w:tc>
          <w:tcPr>
            <w:tcW w:w="10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10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asset retirement obligation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10,009</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capital spares inventory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top w:val="single" w:sz="8" w:color="CCEEFF"/>
              <w:bottom w:val="single" w:sz="8" w:color="CCEEFF"/>
            </w:tcBorders>
            <w:gridSpan w:val="2"/>
          </w:tcPr>
          <w:p>
            <w:pPr>
              <w:jc w:val="right"/>
              <w:ind w:right="6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members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(9,465)</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3"/>
        </w:trPr>
        <w:tc>
          <w:tcPr>
            <w:tcW w:w="100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increase in cash and restricted cash</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20" w:type="dxa"/>
            <w:vAlign w:val="bottom"/>
            <w:tcBorders>
              <w:top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Cash and restricted cash, end of period</w:t>
            </w:r>
          </w:p>
        </w:tc>
        <w:tc>
          <w:tcPr>
            <w:tcW w:w="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3,082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62" w:name="page263"/>
    <w:bookmarkEnd w:id="26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Business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58" w:lineRule="exact"/>
        <w:rPr>
          <w:sz w:val="20"/>
          <w:szCs w:val="20"/>
          <w:color w:val="auto"/>
        </w:rPr>
      </w:pPr>
    </w:p>
    <w:p>
      <w:pPr>
        <w:ind w:left="5" w:right="8020" w:hanging="5"/>
        <w:spacing w:after="0" w:line="527" w:lineRule="auto"/>
        <w:tabs>
          <w:tab w:leader="none" w:pos="289" w:val="left"/>
        </w:tabs>
        <w:numPr>
          <w:ilvl w:val="0"/>
          <w:numId w:val="1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Principles of Consolidation and Presentation</w:t>
      </w:r>
    </w:p>
    <w:p>
      <w:pPr>
        <w:spacing w:after="0" w:line="1"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60"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periodically maintains cash in bank accounts more than the established limits insured by the Federal Deposit Insurance Corporation.</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2" w:right="319" w:bottom="1440" w:gutter="0" w:footer="0" w:header="0"/>
        </w:sectPr>
      </w:pPr>
    </w:p>
    <w:bookmarkStart w:id="263" w:name="page264"/>
    <w:bookmarkEnd w:id="263"/>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Payable and Accrued Expenses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Accounts payable and accrued expenses are costs related to the Company, which are due to vendors, for goods or services received or incurred as of April 30, 2021.</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left="5" w:firstLine="283"/>
        <w:spacing w:after="0" w:line="278" w:lineRule="auto"/>
        <w:rPr>
          <w:sz w:val="20"/>
          <w:szCs w:val="20"/>
          <w:color w:val="auto"/>
        </w:rPr>
      </w:pPr>
      <w:r>
        <w:rPr>
          <w:rFonts w:ascii="Times New Roman" w:cs="Times New Roman" w:eastAsia="Times New Roman" w:hAnsi="Times New Roman"/>
          <w:sz w:val="15"/>
          <w:szCs w:val="15"/>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1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6" w:lineRule="exact"/>
        <w:rPr>
          <w:sz w:val="20"/>
          <w:szCs w:val="20"/>
          <w:color w:val="auto"/>
        </w:rPr>
      </w:pPr>
    </w:p>
    <w:p>
      <w:pPr>
        <w:jc w:val="both"/>
        <w:ind w:left="5" w:firstLine="283"/>
        <w:spacing w:after="0" w:line="270" w:lineRule="auto"/>
        <w:rPr>
          <w:sz w:val="20"/>
          <w:szCs w:val="20"/>
          <w:color w:val="auto"/>
        </w:rPr>
      </w:pPr>
      <w:r>
        <w:rPr>
          <w:rFonts w:ascii="Times New Roman" w:cs="Times New Roman" w:eastAsia="Times New Roman" w:hAnsi="Times New Roman"/>
          <w:sz w:val="15"/>
          <w:szCs w:val="15"/>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64" w:name="page265"/>
    <w:bookmarkEnd w:id="26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At April 30, 2021, the Company estimated the value of its total asset retirement obligations to be $279 based on a projected future liability of $2,095. Changes in the asset retirement obligations were as follows for the periods ended April 30, 2021:</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56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April 30,</w:t>
            </w:r>
          </w:p>
        </w:tc>
        <w:tc>
          <w:tcPr>
            <w:tcW w:w="0" w:type="dxa"/>
            <w:vAlign w:val="bottom"/>
          </w:tcPr>
          <w:p>
            <w:pPr>
              <w:spacing w:after="0"/>
              <w:rPr>
                <w:sz w:val="1"/>
                <w:szCs w:val="1"/>
                <w:color w:val="auto"/>
              </w:rPr>
            </w:pPr>
          </w:p>
        </w:tc>
      </w:tr>
      <w:tr>
        <w:trPr>
          <w:trHeight w:val="211"/>
        </w:trPr>
        <w:tc>
          <w:tcPr>
            <w:tcW w:w="56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44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4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6"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65"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65" w:name="page266"/>
    <w:bookmarkEnd w:id="26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has cash, accounts receivable, and accounts payable for which the carrying value approximates fair value due to the short-term nature of these instruments.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Concentrations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For the four months ended April 30, 2021, one customer accounted for 92% of revenue. There were no individual customers which accounted for more than 10% of total Account Receivable as of April 30, 2021.</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For the four months ended April 30, 2021, no vendors accounted for more than 10% of overall purchases.</w:t>
      </w:r>
    </w:p>
    <w:p>
      <w:pPr>
        <w:spacing w:after="0" w:line="19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Six vendors accounted for 84% of the accounts payable and accrued expenses balance as of April 30, 2021.</w:t>
      </w:r>
    </w:p>
    <w:p>
      <w:pPr>
        <w:spacing w:after="0" w:line="19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deposits its cash in high credit quality financial institutions located in the United States of America. Deposits with one financial institution exceeded federally insured limits as of April 30, 2021.</w:t>
      </w:r>
    </w:p>
    <w:p>
      <w:pPr>
        <w:spacing w:after="0" w:line="143" w:lineRule="exact"/>
        <w:rPr>
          <w:sz w:val="20"/>
          <w:szCs w:val="20"/>
          <w:color w:val="auto"/>
        </w:rPr>
      </w:pPr>
    </w:p>
    <w:p>
      <w:pPr>
        <w:ind w:left="5" w:right="9140" w:hanging="5"/>
        <w:spacing w:after="0" w:line="527" w:lineRule="auto"/>
        <w:tabs>
          <w:tab w:leader="none" w:pos="289" w:val="left"/>
        </w:tabs>
        <w:numPr>
          <w:ilvl w:val="0"/>
          <w:numId w:val="1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RNG and RIN Sales Agreement</w:t>
      </w:r>
    </w:p>
    <w:p>
      <w:pPr>
        <w:spacing w:after="0" w:line="1"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60"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66" w:name="page267"/>
    <w:bookmarkEnd w:id="26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Company Operations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Sales Agreement</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Landfill Gas Rights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Fee</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Operations and Maintenance Agreements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pacing w:after="0" w:line="154" w:lineRule="exact"/>
        <w:rPr>
          <w:sz w:val="20"/>
          <w:szCs w:val="20"/>
          <w:color w:val="auto"/>
        </w:rPr>
      </w:pPr>
    </w:p>
    <w:p>
      <w:pPr>
        <w:ind w:left="285" w:hanging="285"/>
        <w:spacing w:after="0"/>
        <w:tabs>
          <w:tab w:leader="none" w:pos="285"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Plant and equipment consisted of the following:</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April</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H2S removal system</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5,117</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Wellfield</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Pipeline</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Greentree membranes</w:t>
            </w:r>
          </w:p>
        </w:tc>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cost</w:t>
            </w:r>
          </w:p>
        </w:tc>
        <w:tc>
          <w:tcPr>
            <w:tcW w:w="6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73"/>
        </w:trPr>
        <w:tc>
          <w:tcPr>
            <w:tcW w:w="3720" w:type="dxa"/>
            <w:vAlign w:val="bottom"/>
            <w:tcBorders>
              <w:top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Plant and equipment, gross</w:t>
            </w:r>
          </w:p>
        </w:tc>
        <w:tc>
          <w:tcPr>
            <w:tcW w:w="63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62,271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6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(6,530)</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4"/>
        </w:trPr>
        <w:tc>
          <w:tcPr>
            <w:tcW w:w="3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56,119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37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jc w:val="right"/>
              <w:ind w:right="4381"/>
              <w:spacing w:after="0"/>
              <w:rPr>
                <w:sz w:val="20"/>
                <w:szCs w:val="20"/>
                <w:color w:val="auto"/>
              </w:rPr>
            </w:pPr>
            <w:r>
              <w:rPr>
                <w:rFonts w:ascii="Times New Roman" w:cs="Times New Roman" w:eastAsia="Times New Roman" w:hAnsi="Times New Roman"/>
                <w:sz w:val="16"/>
                <w:szCs w:val="16"/>
                <w:color w:val="auto"/>
              </w:rPr>
              <w:t>F-111</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5"/>
          </w:cols>
          <w:pgMar w:left="315" w:top="782" w:right="319" w:bottom="1440" w:gutter="0" w:footer="0" w:header="0"/>
        </w:sectPr>
      </w:pPr>
    </w:p>
    <w:bookmarkStart w:id="267" w:name="page268"/>
    <w:bookmarkEnd w:id="26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Plant and Equipment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At April 30, 2021, construction in progress consisted of costs related to the thermal oxidizer. The project was completed in December of 2021. Depreciation expense on plant and equipment for the period ending April 30, 2021 was $1,049.</w:t>
      </w:r>
    </w:p>
    <w:p>
      <w:pPr>
        <w:spacing w:after="0" w:line="143" w:lineRule="exact"/>
        <w:rPr>
          <w:sz w:val="20"/>
          <w:szCs w:val="20"/>
          <w:color w:val="auto"/>
        </w:rPr>
      </w:pPr>
    </w:p>
    <w:p>
      <w:pPr>
        <w:ind w:left="285" w:hanging="285"/>
        <w:spacing w:after="0"/>
        <w:tabs>
          <w:tab w:leader="none" w:pos="285"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Ownership and Related Parties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5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56"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2" w:lineRule="exact"/>
        <w:rPr>
          <w:sz w:val="20"/>
          <w:szCs w:val="20"/>
          <w:color w:val="auto"/>
        </w:rPr>
      </w:pPr>
    </w:p>
    <w:p>
      <w:pPr>
        <w:ind w:left="5" w:right="8820" w:hanging="5"/>
        <w:spacing w:after="0" w:line="494" w:lineRule="auto"/>
        <w:tabs>
          <w:tab w:leader="none" w:pos="289"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 and Contingencies Legal Matters</w:t>
      </w:r>
    </w:p>
    <w:p>
      <w:pPr>
        <w:spacing w:after="0" w:line="1" w:lineRule="exact"/>
        <w:rPr>
          <w:sz w:val="20"/>
          <w:szCs w:val="20"/>
          <w:color w:val="auto"/>
        </w:rPr>
      </w:pPr>
    </w:p>
    <w:p>
      <w:pPr>
        <w:jc w:val="both"/>
        <w:ind w:left="5" w:firstLine="283"/>
        <w:spacing w:after="0" w:line="250" w:lineRule="auto"/>
        <w:rPr>
          <w:sz w:val="20"/>
          <w:szCs w:val="20"/>
          <w:color w:val="auto"/>
        </w:rPr>
      </w:pPr>
      <w:r>
        <w:rPr>
          <w:rFonts w:ascii="Times New Roman" w:cs="Times New Roman" w:eastAsia="Times New Roman" w:hAnsi="Times New Roman"/>
          <w:sz w:val="16"/>
          <w:szCs w:val="16"/>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68"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68" w:name="page269"/>
    <w:bookmarkEnd w:id="26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5" w:lineRule="exact"/>
        <w:rPr>
          <w:sz w:val="20"/>
          <w:szCs w:val="20"/>
          <w:color w:val="auto"/>
        </w:rPr>
      </w:pPr>
    </w:p>
    <w:p>
      <w:pPr>
        <w:ind w:left="5" w:firstLine="283"/>
        <w:spacing w:after="0" w:line="275" w:lineRule="auto"/>
        <w:rPr>
          <w:sz w:val="20"/>
          <w:szCs w:val="20"/>
          <w:color w:val="auto"/>
        </w:rPr>
      </w:pPr>
      <w:r>
        <w:rPr>
          <w:rFonts w:ascii="Times New Roman" w:cs="Times New Roman" w:eastAsia="Times New Roman" w:hAnsi="Times New Roman"/>
          <w:sz w:val="16"/>
          <w:szCs w:val="16"/>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69" w:name="page270"/>
    <w:bookmarkEnd w:id="26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4"/>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1,641</w:t>
            </w: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2,216</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4,415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spares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56,822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58,845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81"/>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60,448</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64,487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1,131</w:t>
            </w: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Liability under gas sale agreements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ind w:left="280"/>
              <w:spacing w:after="0" w:line="173"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1,131</w:t>
            </w:r>
          </w:p>
        </w:tc>
        <w:tc>
          <w:tcPr>
            <w:tcW w:w="22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3,210</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Members’ equity: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Members’ capital</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59,952</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61,878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60,448</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Renewable gas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RIN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Transportation sales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Gas sales agreement liability reduction</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revenue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Operations</w:t>
      </w:r>
    </w:p>
    <w:p>
      <w:pPr>
        <w:spacing w:after="0" w:line="5" w:lineRule="exact"/>
        <w:rPr>
          <w:sz w:val="20"/>
          <w:szCs w:val="20"/>
          <w:color w:val="auto"/>
        </w:rPr>
      </w:pPr>
    </w:p>
    <w:p>
      <w:pPr>
        <w:ind w:left="140" w:right="340"/>
        <w:spacing w:after="0" w:line="246" w:lineRule="auto"/>
        <w:rPr>
          <w:sz w:val="20"/>
          <w:szCs w:val="20"/>
          <w:color w:val="auto"/>
        </w:rPr>
      </w:pPr>
      <w:r>
        <w:rPr>
          <w:rFonts w:ascii="Times New Roman" w:cs="Times New Roman" w:eastAsia="Times New Roman" w:hAnsi="Times New Roman"/>
          <w:sz w:val="16"/>
          <w:szCs w:val="16"/>
          <w:color w:val="auto"/>
        </w:rPr>
        <w:t>Repairs and maintenance Environmental credit processing services General and administrative Depreciation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Insurance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Acquisition costs</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income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7"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490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6"/>
              </w:rPr>
              <w:t>March 11,</w:t>
            </w:r>
          </w:p>
        </w:tc>
      </w:tr>
      <w:tr>
        <w:trPr>
          <w:trHeight w:val="189"/>
        </w:trPr>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(Inception) to</w:t>
            </w:r>
          </w:p>
        </w:tc>
      </w:tr>
      <w:tr>
        <w:trPr>
          <w:trHeight w:val="201"/>
        </w:trPr>
        <w:tc>
          <w:tcPr>
            <w:tcW w:w="100" w:type="dxa"/>
            <w:vAlign w:val="bottom"/>
          </w:tcPr>
          <w:p>
            <w:pPr>
              <w:spacing w:after="0"/>
              <w:rPr>
                <w:sz w:val="17"/>
                <w:szCs w:val="17"/>
                <w:color w:val="auto"/>
              </w:rPr>
            </w:pPr>
          </w:p>
        </w:tc>
        <w:tc>
          <w:tcPr>
            <w:tcW w:w="1260" w:type="dxa"/>
            <w:vAlign w:val="bottom"/>
            <w:gridSpan w:val="2"/>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0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11"/>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0" w:type="dxa"/>
            <w:vAlign w:val="bottom"/>
          </w:tcPr>
          <w:p>
            <w:pPr>
              <w:spacing w:after="0"/>
              <w:rPr>
                <w:sz w:val="18"/>
                <w:szCs w:val="18"/>
                <w:color w:val="auto"/>
              </w:rPr>
            </w:pPr>
          </w:p>
        </w:tc>
      </w:tr>
      <w:tr>
        <w:trPr>
          <w:trHeight w:val="55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6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3,450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tcPr>
          <w:p>
            <w:pPr>
              <w:spacing w:after="0"/>
              <w:rPr>
                <w:sz w:val="16"/>
                <w:szCs w:val="16"/>
                <w:color w:val="auto"/>
              </w:rPr>
            </w:pPr>
          </w:p>
        </w:tc>
      </w:tr>
      <w:tr>
        <w:trPr>
          <w:trHeight w:val="201"/>
        </w:trPr>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7"/>
                <w:szCs w:val="17"/>
                <w:color w:val="auto"/>
              </w:rPr>
            </w:pPr>
          </w:p>
        </w:tc>
      </w:tr>
      <w:tr>
        <w:trPr>
          <w:trHeight w:val="209"/>
        </w:trPr>
        <w:tc>
          <w:tcPr>
            <w:tcW w:w="10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60" w:type="dxa"/>
            <w:vAlign w:val="bottom"/>
          </w:tcPr>
          <w:p>
            <w:pPr>
              <w:spacing w:after="0"/>
              <w:rPr>
                <w:sz w:val="18"/>
                <w:szCs w:val="18"/>
                <w:color w:val="auto"/>
              </w:rPr>
            </w:pPr>
          </w:p>
        </w:tc>
      </w:tr>
      <w:tr>
        <w:trPr>
          <w:trHeight w:val="193"/>
        </w:trPr>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60" w:type="dxa"/>
            <w:vAlign w:val="bottom"/>
          </w:tcPr>
          <w:p>
            <w:pPr>
              <w:spacing w:after="0"/>
              <w:rPr>
                <w:sz w:val="16"/>
                <w:szCs w:val="16"/>
                <w:color w:val="auto"/>
              </w:rPr>
            </w:pPr>
          </w:p>
        </w:tc>
      </w:tr>
      <w:tr>
        <w:trPr>
          <w:trHeight w:val="362"/>
        </w:trPr>
        <w:tc>
          <w:tcPr>
            <w:tcW w:w="100" w:type="dxa"/>
            <w:vAlign w:val="bottom"/>
          </w:tcPr>
          <w:p>
            <w:pPr>
              <w:spacing w:after="0"/>
              <w:rPr>
                <w:sz w:val="24"/>
                <w:szCs w:val="24"/>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9,729</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6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16"/>
                <w:szCs w:val="16"/>
                <w:color w:val="auto"/>
              </w:rPr>
            </w:pPr>
          </w:p>
        </w:tc>
      </w:tr>
      <w:tr>
        <w:trPr>
          <w:trHeight w:val="201"/>
        </w:trPr>
        <w:tc>
          <w:tcPr>
            <w:tcW w:w="100" w:type="dxa"/>
            <w:vAlign w:val="bottom"/>
          </w:tcPr>
          <w:p>
            <w:pPr>
              <w:spacing w:after="0"/>
              <w:rPr>
                <w:sz w:val="17"/>
                <w:szCs w:val="17"/>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60" w:type="dxa"/>
            <w:vAlign w:val="bottom"/>
          </w:tcPr>
          <w:p>
            <w:pPr>
              <w:spacing w:after="0"/>
              <w:rPr>
                <w:sz w:val="17"/>
                <w:szCs w:val="17"/>
                <w:color w:val="auto"/>
              </w:rPr>
            </w:pPr>
          </w:p>
        </w:tc>
      </w:tr>
      <w:tr>
        <w:trPr>
          <w:trHeight w:val="206"/>
        </w:trPr>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13,465</w:t>
            </w:r>
          </w:p>
        </w:tc>
      </w:tr>
      <w:tr>
        <w:trPr>
          <w:trHeight w:val="24"/>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73"/>
        </w:trPr>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0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-2414905</wp:posOffset>
            </wp:positionV>
            <wp:extent cx="7149465"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-2174875</wp:posOffset>
            </wp:positionV>
            <wp:extent cx="7149465"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-1919605</wp:posOffset>
            </wp:positionV>
            <wp:extent cx="7149465" cy="135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-1657350</wp:posOffset>
            </wp:positionV>
            <wp:extent cx="7149465"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-1417320</wp:posOffset>
            </wp:positionV>
            <wp:extent cx="7149465" cy="1200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-1177290</wp:posOffset>
            </wp:positionV>
            <wp:extent cx="7149465"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-937260</wp:posOffset>
            </wp:positionV>
            <wp:extent cx="7149465"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-697230</wp:posOffset>
            </wp:positionV>
            <wp:extent cx="7149465" cy="135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-434340</wp:posOffset>
            </wp:positionV>
            <wp:extent cx="7149465" cy="120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-179705</wp:posOffset>
            </wp:positionV>
            <wp:extent cx="7149465" cy="1574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060" w:space="720"/>
            <w:col w:w="7420"/>
          </w:cols>
          <w:pgMar w:left="320" w:top="783"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type w:val="continuous"/>
        </w:sectPr>
      </w:pPr>
    </w:p>
    <w:bookmarkStart w:id="271" w:name="page272"/>
    <w:bookmarkEnd w:id="27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ARCC</w:t>
            </w: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Fortistar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Beacon LLC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Beacon LLC</w:t>
            </w: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11, 2019 (inception)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27,791</w:t>
            </w: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62,791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4"/>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tcPr>
          <w:p>
            <w:pPr>
              <w:ind w:left="140"/>
              <w:spacing w:after="0" w:line="173" w:lineRule="exact"/>
              <w:rPr>
                <w:sz w:val="20"/>
                <w:szCs w:val="20"/>
                <w:color w:val="auto"/>
              </w:rPr>
            </w:pPr>
            <w:r>
              <w:rPr>
                <w:rFonts w:ascii="Times New Roman" w:cs="Times New Roman" w:eastAsia="Times New Roman" w:hAnsi="Times New Roman"/>
                <w:sz w:val="16"/>
                <w:szCs w:val="16"/>
                <w:color w:val="auto"/>
              </w:rPr>
              <w:t>Distributions</w:t>
            </w: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(1,074)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(1,926)</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25,573</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72" w:name="page273"/>
    <w:bookmarkEnd w:id="27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6"/>
              </w:rPr>
              <w:t>March 11,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(Inception) to</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(1,072)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asset retirement obligation</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Gas sales agreement liability reduction</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accrued revenues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royalties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1,723</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100" w:type="dxa"/>
            <w:vAlign w:val="bottom"/>
          </w:tcPr>
          <w:p>
            <w:pPr>
              <w:spacing w:after="0"/>
              <w:rPr>
                <w:sz w:val="16"/>
                <w:szCs w:val="16"/>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Beacon Landfill Gas Holdings LLC acquisition, net of cash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and restricted cash acquired</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(52,481)</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capital spares inventory</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(1,127</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(56,871</w:t>
            </w:r>
          </w:p>
        </w:tc>
        <w:tc>
          <w:tcPr>
            <w:tcW w:w="120" w:type="dxa"/>
            <w:vAlign w:val="bottom"/>
            <w:tcBorders>
              <w:top w:val="single" w:sz="8" w:color="CCEEFF"/>
              <w:bottom w:val="single" w:sz="8" w:color="CCEEFF"/>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from members</w:t>
            </w:r>
          </w:p>
        </w:tc>
        <w:tc>
          <w:tcPr>
            <w:tcW w:w="100" w:type="dxa"/>
            <w:vAlign w:val="bottom"/>
          </w:tcPr>
          <w:p>
            <w:pPr>
              <w:spacing w:after="0"/>
              <w:rPr>
                <w:sz w:val="16"/>
                <w:szCs w:val="16"/>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62,791</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members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(1,926</w:t>
            </w:r>
          </w:p>
        </w:tc>
        <w:tc>
          <w:tcPr>
            <w:tcW w:w="14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61,878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restricted cash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4,314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73" w:name="page274"/>
    <w:bookmarkEnd w:id="273"/>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Business</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58" w:lineRule="exact"/>
        <w:rPr>
          <w:sz w:val="20"/>
          <w:szCs w:val="20"/>
          <w:color w:val="auto"/>
        </w:rPr>
      </w:pPr>
    </w:p>
    <w:p>
      <w:pPr>
        <w:ind w:left="5" w:right="8020" w:hanging="5"/>
        <w:spacing w:after="0" w:line="527" w:lineRule="auto"/>
        <w:tabs>
          <w:tab w:leader="none" w:pos="289"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Principles of Consolidation and Presentation</w:t>
      </w:r>
    </w:p>
    <w:p>
      <w:pPr>
        <w:spacing w:after="0" w:line="1"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60"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Cash</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periodically maintains cash in bank accounts more than the established limits insured by the Federal Deposit Insurance Corporation.</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4" w:name="page275"/>
    <w:bookmarkEnd w:id="27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Capital Spares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Accounts Payable and Accrued Expenses</w:t>
      </w:r>
    </w:p>
    <w:p>
      <w:pPr>
        <w:spacing w:after="0" w:line="196"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Accounts payable and accrued expenses are costs related to the Company, which are due to vendors, for goods or services received or incurred as of December 31, 2020 and 2019.</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Liability Under Gas Sales Agreement</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9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Asset Retirement Obligation</w:t>
      </w:r>
    </w:p>
    <w:p>
      <w:pPr>
        <w:spacing w:after="0" w:line="196" w:lineRule="exact"/>
        <w:rPr>
          <w:sz w:val="20"/>
          <w:szCs w:val="20"/>
          <w:color w:val="auto"/>
        </w:rPr>
      </w:pPr>
    </w:p>
    <w:p>
      <w:pPr>
        <w:jc w:val="both"/>
        <w:ind w:left="5" w:firstLine="283"/>
        <w:spacing w:after="0" w:line="270" w:lineRule="auto"/>
        <w:rPr>
          <w:sz w:val="20"/>
          <w:szCs w:val="20"/>
          <w:color w:val="auto"/>
        </w:rPr>
      </w:pPr>
      <w:r>
        <w:rPr>
          <w:rFonts w:ascii="Times New Roman" w:cs="Times New Roman" w:eastAsia="Times New Roman" w:hAnsi="Times New Roman"/>
          <w:sz w:val="15"/>
          <w:szCs w:val="15"/>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3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5" w:name="page276"/>
    <w:bookmarkEnd w:id="275"/>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80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Accretion expense</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4" w:lineRule="exact"/>
        <w:rPr>
          <w:sz w:val="20"/>
          <w:szCs w:val="20"/>
          <w:color w:val="auto"/>
        </w:rPr>
      </w:pPr>
    </w:p>
    <w:p>
      <w:pPr>
        <w:jc w:val="both"/>
        <w:ind w:left="5" w:firstLine="283"/>
        <w:spacing w:after="0" w:line="251" w:lineRule="auto"/>
        <w:rPr>
          <w:sz w:val="20"/>
          <w:szCs w:val="20"/>
          <w:color w:val="auto"/>
        </w:rPr>
      </w:pPr>
      <w:r>
        <w:rPr>
          <w:rFonts w:ascii="Times New Roman" w:cs="Times New Roman" w:eastAsia="Times New Roman" w:hAnsi="Times New Roman"/>
          <w:sz w:val="16"/>
          <w:szCs w:val="16"/>
          <w:color w:val="auto"/>
        </w:rPr>
        <w:t>The Company adopted ASU 2014-19,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64" w:lineRule="exact"/>
        <w:rPr>
          <w:sz w:val="20"/>
          <w:szCs w:val="20"/>
          <w:color w:val="auto"/>
        </w:rPr>
      </w:pPr>
    </w:p>
    <w:p>
      <w:pPr>
        <w:jc w:val="both"/>
        <w:ind w:left="5" w:firstLine="283"/>
        <w:spacing w:after="0" w:line="252" w:lineRule="auto"/>
        <w:rPr>
          <w:sz w:val="20"/>
          <w:szCs w:val="20"/>
          <w:color w:val="auto"/>
        </w:rPr>
      </w:pPr>
      <w:r>
        <w:rPr>
          <w:rFonts w:ascii="Times New Roman" w:cs="Times New Roman" w:eastAsia="Times New Roman" w:hAnsi="Times New Roman"/>
          <w:sz w:val="16"/>
          <w:szCs w:val="16"/>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45"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6" w:name="page277"/>
    <w:bookmarkEnd w:id="27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96"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Company has cash, accounts receivable, and accounts payable for which the carrying value approximates fair value due to the short-term nature of these instruments.</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Concentrations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56" w:lineRule="exact"/>
        <w:rPr>
          <w:sz w:val="20"/>
          <w:szCs w:val="20"/>
          <w:color w:val="auto"/>
        </w:rPr>
      </w:pPr>
    </w:p>
    <w:p>
      <w:pPr>
        <w:jc w:val="both"/>
        <w:ind w:left="5" w:right="20" w:firstLine="283"/>
        <w:spacing w:after="0" w:line="310" w:lineRule="auto"/>
        <w:rPr>
          <w:sz w:val="20"/>
          <w:szCs w:val="20"/>
          <w:color w:val="auto"/>
        </w:rPr>
      </w:pPr>
      <w:r>
        <w:rPr>
          <w:rFonts w:ascii="Times New Roman" w:cs="Times New Roman" w:eastAsia="Times New Roman" w:hAnsi="Times New Roman"/>
          <w:sz w:val="15"/>
          <w:szCs w:val="15"/>
          <w:color w:val="auto"/>
        </w:rPr>
        <w:t>For the years ended December 31, 2020 and 2019, no vendors accounted for more than 10% of overall purchases. As of December 31, 2020, two vendors accounted for 24% of the accounts payable and accrued expenses balance. As of December 31, 2019, three vendors accounted for 36% of the accounts payable and accrued expenses balance.</w:t>
      </w:r>
    </w:p>
    <w:p>
      <w:pPr>
        <w:spacing w:after="0" w:line="121"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Certain prior year amounts have been reclassified to conform to current year presentation.</w:t>
      </w:r>
    </w:p>
    <w:p>
      <w:pPr>
        <w:spacing w:after="0" w:line="192" w:lineRule="exact"/>
        <w:rPr>
          <w:sz w:val="20"/>
          <w:szCs w:val="20"/>
          <w:color w:val="auto"/>
        </w:rPr>
      </w:pPr>
    </w:p>
    <w:p>
      <w:pPr>
        <w:ind w:left="285" w:hanging="285"/>
        <w:spacing w:after="0"/>
        <w:tabs>
          <w:tab w:leader="none" w:pos="285"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7" w:name="page278"/>
    <w:bookmarkEnd w:id="27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 </w:t>
      </w:r>
      <w:r>
        <w:rPr>
          <w:rFonts w:ascii="Times New Roman" w:cs="Times New Roman" w:eastAsia="Times New Roman" w:hAnsi="Times New Roman"/>
          <w:sz w:val="16"/>
          <w:szCs w:val="16"/>
          <w:color w:val="auto"/>
        </w:rPr>
        <w:t>(cont.)</w:t>
      </w:r>
    </w:p>
    <w:p>
      <w:pPr>
        <w:spacing w:after="0" w:line="194"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purchase price allocation was performed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 assets acquired and the liabilities assumed were:</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Estimated fair value of assets acquired:</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618</w:t>
            </w:r>
          </w:p>
        </w:tc>
      </w:tr>
      <w:tr>
        <w:trPr>
          <w:trHeight w:val="18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w:t>
            </w: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1,262</w:t>
            </w: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56,853</w:t>
            </w:r>
          </w:p>
        </w:tc>
      </w:tr>
      <w:tr>
        <w:trPr>
          <w:trHeight w:val="204"/>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67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Estimated fair value of liabilities assumed or incurred:</w:t>
            </w:r>
          </w:p>
        </w:tc>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w:t>
            </w:r>
          </w:p>
        </w:tc>
        <w:tc>
          <w:tcPr>
            <w:tcW w:w="3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1,302</w:t>
            </w:r>
          </w:p>
        </w:tc>
      </w:tr>
      <w:tr>
        <w:trPr>
          <w:trHeight w:val="18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r>
      <w:tr>
        <w:trPr>
          <w:trHeight w:val="221"/>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Gas sales agreement</w:t>
            </w:r>
          </w:p>
        </w:tc>
        <w:tc>
          <w:tcPr>
            <w:tcW w:w="3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4,115</w:t>
            </w:r>
          </w:p>
        </w:tc>
      </w:tr>
      <w:tr>
        <w:trPr>
          <w:trHeight w:val="176"/>
        </w:trPr>
        <w:tc>
          <w:tcPr>
            <w:tcW w:w="6720" w:type="dxa"/>
            <w:vAlign w:val="bottom"/>
            <w:tcBorders>
              <w:top w:val="single" w:sz="8" w:color="CCEEFF"/>
              <w:bottom w:val="single" w:sz="8" w:color="CCEEFF"/>
            </w:tcBorders>
          </w:tcPr>
          <w:p>
            <w:pPr>
              <w:spacing w:after="0" w:line="173" w:lineRule="exact"/>
              <w:rPr>
                <w:sz w:val="20"/>
                <w:szCs w:val="20"/>
                <w:color w:val="auto"/>
              </w:rPr>
            </w:pPr>
            <w:r>
              <w:rPr>
                <w:rFonts w:ascii="Times New Roman" w:cs="Times New Roman" w:eastAsia="Times New Roman" w:hAnsi="Times New Roman"/>
                <w:sz w:val="16"/>
                <w:szCs w:val="16"/>
                <w:color w:val="auto"/>
              </w:rPr>
              <w:t>Total liabilities assumed or incurred</w:t>
            </w:r>
          </w:p>
        </w:tc>
        <w:tc>
          <w:tcPr>
            <w:tcW w:w="330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5,634</w:t>
            </w:r>
          </w:p>
        </w:tc>
        <w:tc>
          <w:tcPr>
            <w:tcW w:w="120" w:type="dxa"/>
            <w:vAlign w:val="bottom"/>
            <w:tcBorders>
              <w:top w:val="single" w:sz="8" w:color="CCEEFF"/>
              <w:bottom w:val="single" w:sz="8" w:color="CCEEFF"/>
            </w:tcBorders>
          </w:tcPr>
          <w:p>
            <w:pPr>
              <w:spacing w:after="0"/>
              <w:rPr>
                <w:sz w:val="15"/>
                <w:szCs w:val="15"/>
                <w:color w:val="auto"/>
              </w:rPr>
            </w:pPr>
          </w:p>
        </w:tc>
      </w:tr>
      <w:tr>
        <w:trPr>
          <w:trHeight w:val="193"/>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price</w:t>
            </w:r>
          </w:p>
        </w:tc>
        <w:tc>
          <w:tcPr>
            <w:tcW w:w="3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53,111</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54" w:lineRule="exact"/>
        <w:rPr>
          <w:sz w:val="20"/>
          <w:szCs w:val="20"/>
          <w:color w:val="auto"/>
        </w:rPr>
      </w:pPr>
    </w:p>
    <w:p>
      <w:pPr>
        <w:ind w:left="5" w:right="9140" w:hanging="5"/>
        <w:spacing w:after="0" w:line="527" w:lineRule="auto"/>
        <w:tabs>
          <w:tab w:leader="none" w:pos="289"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Company Operations RNG and RIN Sales Agreement</w:t>
      </w:r>
    </w:p>
    <w:p>
      <w:pPr>
        <w:spacing w:after="0" w:line="1" w:lineRule="exact"/>
        <w:rPr>
          <w:sz w:val="20"/>
          <w:szCs w:val="20"/>
          <w:color w:val="auto"/>
        </w:rPr>
      </w:pPr>
    </w:p>
    <w:p>
      <w:pPr>
        <w:jc w:val="both"/>
        <w:ind w:left="5" w:right="20" w:firstLine="283"/>
        <w:spacing w:after="0" w:line="286" w:lineRule="auto"/>
        <w:rPr>
          <w:sz w:val="20"/>
          <w:szCs w:val="20"/>
          <w:color w:val="auto"/>
        </w:rPr>
      </w:pPr>
      <w:r>
        <w:rPr>
          <w:rFonts w:ascii="Times New Roman" w:cs="Times New Roman" w:eastAsia="Times New Roman" w:hAnsi="Times New Roman"/>
          <w:sz w:val="15"/>
          <w:szCs w:val="15"/>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39"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In September 2020, the Company commenced an arrangement with another gas marketer to sell only RNG. Under this arrangement, RNG is sold at the pipeline index price, less a fixed per MMBtu fee.</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Sales Agreement</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4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8" w:name="page279"/>
    <w:bookmarkEnd w:id="27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Company Operations </w:t>
      </w:r>
      <w:r>
        <w:rPr>
          <w:rFonts w:ascii="Times New Roman" w:cs="Times New Roman" w:eastAsia="Times New Roman" w:hAnsi="Times New Roman"/>
          <w:sz w:val="16"/>
          <w:szCs w:val="16"/>
          <w:color w:val="auto"/>
        </w:rPr>
        <w:t>(cont.)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Landfill Gas Rights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5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The Company has accrued $1,268 and $259 for these royalties as of December 31, 2020 and 2019 which are included in operations in the consolidated statements of operations.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Gas Transportation Fee</w:t>
      </w:r>
    </w:p>
    <w:p>
      <w:pPr>
        <w:spacing w:after="0" w:line="196" w:lineRule="exact"/>
        <w:rPr>
          <w:sz w:val="20"/>
          <w:szCs w:val="20"/>
          <w:color w:val="auto"/>
        </w:rPr>
      </w:pPr>
    </w:p>
    <w:p>
      <w:pPr>
        <w:jc w:val="both"/>
        <w:ind w:left="5" w:right="20" w:firstLine="283"/>
        <w:spacing w:after="0" w:line="256" w:lineRule="auto"/>
        <w:rPr>
          <w:sz w:val="20"/>
          <w:szCs w:val="20"/>
          <w:color w:val="auto"/>
        </w:rPr>
      </w:pPr>
      <w:r>
        <w:rPr>
          <w:rFonts w:ascii="Times New Roman" w:cs="Times New Roman" w:eastAsia="Times New Roman" w:hAnsi="Times New Roman"/>
          <w:sz w:val="16"/>
          <w:szCs w:val="16"/>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Operations and Maintenance Agreements</w:t>
      </w:r>
    </w:p>
    <w:p>
      <w:pPr>
        <w:spacing w:after="0" w:line="196"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54" w:lineRule="exact"/>
        <w:rPr>
          <w:sz w:val="20"/>
          <w:szCs w:val="20"/>
          <w:color w:val="auto"/>
        </w:rPr>
      </w:pPr>
    </w:p>
    <w:p>
      <w:pPr>
        <w:ind w:left="285" w:hanging="285"/>
        <w:spacing w:after="0"/>
        <w:tabs>
          <w:tab w:leader="none" w:pos="285"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Plant and Equipment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Plant and equipment consisted of the following at December 31:</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H2S removal system</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Wellfield</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Pipeline</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Greentree membranes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cost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73"/>
        </w:trPr>
        <w:tc>
          <w:tcPr>
            <w:tcW w:w="8680" w:type="dxa"/>
            <w:vAlign w:val="bottom"/>
            <w:tcBorders>
              <w:top w:val="single" w:sz="8" w:color="CCEEFF"/>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Plant and equipment, gross</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62,271</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56,853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Plant and equipment, net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 w:firstLine="283"/>
        <w:spacing w:after="0" w:line="261" w:lineRule="auto"/>
        <w:rPr>
          <w:sz w:val="20"/>
          <w:szCs w:val="20"/>
          <w:color w:val="auto"/>
        </w:rPr>
      </w:pPr>
      <w:r>
        <w:rPr>
          <w:rFonts w:ascii="Times New Roman" w:cs="Times New Roman" w:eastAsia="Times New Roman" w:hAnsi="Times New Roman"/>
          <w:sz w:val="16"/>
          <w:szCs w:val="16"/>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79" w:name="page280"/>
    <w:bookmarkEnd w:id="279"/>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BEACON RNG LLC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of dollars)</w:t>
      </w:r>
    </w:p>
    <w:p>
      <w:pPr>
        <w:spacing w:after="0" w:line="175" w:lineRule="exact"/>
        <w:rPr>
          <w:sz w:val="20"/>
          <w:szCs w:val="20"/>
          <w:color w:val="auto"/>
        </w:rPr>
      </w:pPr>
    </w:p>
    <w:p>
      <w:pPr>
        <w:ind w:left="285" w:hanging="285"/>
        <w:spacing w:after="0"/>
        <w:tabs>
          <w:tab w:leader="none" w:pos="285"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Liability Under Gas Sales Agreement</w:t>
      </w:r>
    </w:p>
    <w:p>
      <w:pPr>
        <w:spacing w:after="0" w:line="196"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liability under gas sales agreement consisted of the following at December 31, 2020 and 2019:</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86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Gas Sales Agreement</w:t>
            </w: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w w:val="94"/>
              </w:rPr>
              <w:t>4,115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7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4"/>
              </w:rPr>
              <w:t>(1,829)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8"/>
              </w:rPr>
              <w:t>(2,286)</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Liability under gas sales agreement, net</w:t>
            </w: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center"/>
              <w:ind w:left="321"/>
              <w:spacing w:after="0"/>
              <w:rPr>
                <w:sz w:val="20"/>
                <w:szCs w:val="20"/>
                <w:color w:val="auto"/>
              </w:rPr>
            </w:pPr>
            <w:r>
              <w:rPr>
                <w:rFonts w:ascii="Times New Roman" w:cs="Times New Roman" w:eastAsia="Times New Roman" w:hAnsi="Times New Roman"/>
                <w:sz w:val="16"/>
                <w:szCs w:val="16"/>
                <w:color w:val="auto"/>
                <w:w w:val="94"/>
              </w:rPr>
              <w:t>1,829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Amortization income for 2020 and the period from March 11, 2019 (inception) to December 31, 2019 was $1,829 and $2,286, respectively.</w:t>
      </w:r>
    </w:p>
    <w:p>
      <w:pPr>
        <w:spacing w:after="0" w:line="192" w:lineRule="exact"/>
        <w:rPr>
          <w:sz w:val="20"/>
          <w:szCs w:val="20"/>
          <w:color w:val="auto"/>
        </w:rPr>
      </w:pPr>
    </w:p>
    <w:p>
      <w:pPr>
        <w:ind w:left="285" w:hanging="285"/>
        <w:spacing w:after="0"/>
        <w:tabs>
          <w:tab w:leader="none" w:pos="285"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Ownership and Related Parties</w:t>
      </w:r>
    </w:p>
    <w:p>
      <w:pPr>
        <w:spacing w:after="0" w:line="196"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56"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64"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In June 2020, the Company contracted with TruStar, a related party, to generate and market RINs from RNG produced by Company. The contract term is September 1, 2020 through October 31, 2030.</w:t>
      </w:r>
    </w:p>
    <w:p>
      <w:pPr>
        <w:spacing w:after="0" w:line="143" w:lineRule="exact"/>
        <w:rPr>
          <w:sz w:val="20"/>
          <w:szCs w:val="20"/>
          <w:color w:val="auto"/>
        </w:rPr>
      </w:pPr>
    </w:p>
    <w:p>
      <w:pPr>
        <w:ind w:left="5" w:right="8820" w:hanging="5"/>
        <w:spacing w:after="0" w:line="494" w:lineRule="auto"/>
        <w:tabs>
          <w:tab w:leader="none" w:pos="289"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 and Contingencies Legal Matters</w:t>
      </w:r>
    </w:p>
    <w:p>
      <w:pPr>
        <w:spacing w:after="0" w:line="1" w:lineRule="exact"/>
        <w:rPr>
          <w:sz w:val="20"/>
          <w:szCs w:val="20"/>
          <w:color w:val="auto"/>
        </w:rPr>
      </w:pPr>
    </w:p>
    <w:p>
      <w:pPr>
        <w:jc w:val="both"/>
        <w:ind w:left="5" w:right="20" w:firstLine="283"/>
        <w:spacing w:after="0" w:line="278" w:lineRule="auto"/>
        <w:rPr>
          <w:sz w:val="20"/>
          <w:szCs w:val="20"/>
          <w:color w:val="auto"/>
        </w:rPr>
      </w:pPr>
      <w:r>
        <w:rPr>
          <w:rFonts w:ascii="Times New Roman" w:cs="Times New Roman" w:eastAsia="Times New Roman" w:hAnsi="Times New Roman"/>
          <w:sz w:val="15"/>
          <w:szCs w:val="15"/>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46" w:lineRule="exact"/>
        <w:rPr>
          <w:sz w:val="20"/>
          <w:szCs w:val="20"/>
          <w:color w:val="auto"/>
        </w:rPr>
      </w:pPr>
    </w:p>
    <w:p>
      <w:pPr>
        <w:jc w:val="both"/>
        <w:ind w:left="5" w:firstLine="283"/>
        <w:spacing w:after="0" w:line="275" w:lineRule="auto"/>
        <w:rPr>
          <w:sz w:val="20"/>
          <w:szCs w:val="20"/>
          <w:color w:val="auto"/>
        </w:rPr>
      </w:pPr>
      <w:r>
        <w:rPr>
          <w:rFonts w:ascii="Times New Roman" w:cs="Times New Roman" w:eastAsia="Times New Roman" w:hAnsi="Times New Roman"/>
          <w:sz w:val="16"/>
          <w:szCs w:val="16"/>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45" w:lineRule="exact"/>
        <w:rPr>
          <w:sz w:val="20"/>
          <w:szCs w:val="20"/>
          <w:color w:val="auto"/>
        </w:rPr>
      </w:pPr>
    </w:p>
    <w:p>
      <w:pPr>
        <w:jc w:val="both"/>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143" w:lineRule="exact"/>
        <w:rPr>
          <w:sz w:val="20"/>
          <w:szCs w:val="20"/>
          <w:color w:val="auto"/>
        </w:rPr>
      </w:pPr>
    </w:p>
    <w:p>
      <w:pPr>
        <w:ind w:left="285" w:hanging="285"/>
        <w:spacing w:after="0"/>
        <w:tabs>
          <w:tab w:leader="none" w:pos="285"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96"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45" w:lineRule="exact"/>
        <w:rPr>
          <w:sz w:val="20"/>
          <w:szCs w:val="20"/>
          <w:color w:val="auto"/>
        </w:rPr>
      </w:pPr>
    </w:p>
    <w:p>
      <w:pPr>
        <w:ind w:left="5" w:right="20" w:firstLine="283"/>
        <w:spacing w:after="0" w:line="275" w:lineRule="auto"/>
        <w:rPr>
          <w:sz w:val="20"/>
          <w:szCs w:val="20"/>
          <w:color w:val="auto"/>
        </w:rPr>
      </w:pPr>
      <w:r>
        <w:rPr>
          <w:rFonts w:ascii="Times New Roman" w:cs="Times New Roman" w:eastAsia="Times New Roman" w:hAnsi="Times New Roman"/>
          <w:sz w:val="16"/>
          <w:szCs w:val="16"/>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3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6"/>
          <w:szCs w:val="16"/>
          <w:b w:val="1"/>
          <w:bCs w:val="1"/>
          <w:color w:val="auto"/>
        </w:rPr>
        <w:t>FORM OF WARRANT AMENDMENT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 TO WARRANT AGREEMENT</w:t>
      </w:r>
    </w:p>
    <w:p>
      <w:pPr>
        <w:spacing w:after="0" w:line="192" w:lineRule="exact"/>
        <w:rPr>
          <w:sz w:val="20"/>
          <w:szCs w:val="20"/>
          <w:color w:val="auto"/>
        </w:rPr>
      </w:pPr>
    </w:p>
    <w:p>
      <w:pPr>
        <w:jc w:val="both"/>
        <w:ind w:right="20" w:firstLine="283"/>
        <w:spacing w:after="0" w:line="258" w:lineRule="auto"/>
        <w:rPr>
          <w:sz w:val="20"/>
          <w:szCs w:val="20"/>
          <w:color w:val="auto"/>
        </w:rPr>
      </w:pPr>
      <w:r>
        <w:rPr>
          <w:rFonts w:ascii="Times New Roman" w:cs="Times New Roman" w:eastAsia="Times New Roman" w:hAnsi="Times New Roman"/>
          <w:sz w:val="16"/>
          <w:szCs w:val="16"/>
          <w:color w:val="auto"/>
        </w:rPr>
        <w:t>This amendment (this “</w:t>
      </w:r>
      <w:r>
        <w:rPr>
          <w:rFonts w:ascii="Times New Roman" w:cs="Times New Roman" w:eastAsia="Times New Roman" w:hAnsi="Times New Roman"/>
          <w:sz w:val="16"/>
          <w:szCs w:val="16"/>
          <w:b w:val="1"/>
          <w:bCs w:val="1"/>
          <w:i w:val="1"/>
          <w:iCs w:val="1"/>
          <w:color w:val="auto"/>
        </w:rPr>
        <w:t>Amendment</w:t>
      </w:r>
      <w:r>
        <w:rPr>
          <w:rFonts w:ascii="Times New Roman" w:cs="Times New Roman" w:eastAsia="Times New Roman" w:hAnsi="Times New Roman"/>
          <w:sz w:val="16"/>
          <w:szCs w:val="16"/>
          <w:color w:val="auto"/>
        </w:rPr>
        <w:t>”) is made as of November __, 2022, by and between OPAL Fuels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Continental Stock Transfer &amp; Trust Company, a New York corporation, as warrant agent (the “</w:t>
      </w:r>
      <w:r>
        <w:rPr>
          <w:rFonts w:ascii="Times New Roman" w:cs="Times New Roman" w:eastAsia="Times New Roman" w:hAnsi="Times New Roman"/>
          <w:sz w:val="16"/>
          <w:szCs w:val="16"/>
          <w:b w:val="1"/>
          <w:bCs w:val="1"/>
          <w:i w:val="1"/>
          <w:iCs w:val="1"/>
          <w:color w:val="auto"/>
        </w:rPr>
        <w:t>Warrant Agent</w:t>
      </w:r>
      <w:r>
        <w:rPr>
          <w:rFonts w:ascii="Times New Roman" w:cs="Times New Roman" w:eastAsia="Times New Roman" w:hAnsi="Times New Roman"/>
          <w:sz w:val="16"/>
          <w:szCs w:val="16"/>
          <w:color w:val="auto"/>
        </w:rPr>
        <w:t>”), and constitutes an amendment to that certain Warrant Agreement, dated as of March 25, 2021 (the “</w:t>
      </w:r>
      <w:r>
        <w:rPr>
          <w:rFonts w:ascii="Times New Roman" w:cs="Times New Roman" w:eastAsia="Times New Roman" w:hAnsi="Times New Roman"/>
          <w:sz w:val="16"/>
          <w:szCs w:val="16"/>
          <w:b w:val="1"/>
          <w:bCs w:val="1"/>
          <w:i w:val="1"/>
          <w:iCs w:val="1"/>
          <w:color w:val="auto"/>
        </w:rPr>
        <w:t>Existing Warrant Agreement</w:t>
      </w:r>
      <w:r>
        <w:rPr>
          <w:rFonts w:ascii="Times New Roman" w:cs="Times New Roman" w:eastAsia="Times New Roman" w:hAnsi="Times New Roman"/>
          <w:sz w:val="16"/>
          <w:szCs w:val="16"/>
          <w:color w:val="auto"/>
        </w:rPr>
        <w:t>”), by and between the Company (as successor ArcLight Clean Transition Corp. II (“</w:t>
      </w:r>
      <w:r>
        <w:rPr>
          <w:rFonts w:ascii="Times New Roman" w:cs="Times New Roman" w:eastAsia="Times New Roman" w:hAnsi="Times New Roman"/>
          <w:sz w:val="16"/>
          <w:szCs w:val="16"/>
          <w:b w:val="1"/>
          <w:bCs w:val="1"/>
          <w:i w:val="1"/>
          <w:iCs w:val="1"/>
          <w:color w:val="auto"/>
        </w:rPr>
        <w:t>ACTC II</w:t>
      </w:r>
      <w:r>
        <w:rPr>
          <w:rFonts w:ascii="Times New Roman" w:cs="Times New Roman" w:eastAsia="Times New Roman" w:hAnsi="Times New Roman"/>
          <w:sz w:val="16"/>
          <w:szCs w:val="16"/>
          <w:color w:val="auto"/>
        </w:rPr>
        <w:t>”)) and the Warrant Agent. Capitalized terms used but not otherwise defined in this Amendment shall have the meanings given to such terms in the Existing Warrant Agreement.</w:t>
      </w:r>
    </w:p>
    <w:p>
      <w:pPr>
        <w:spacing w:after="0" w:line="158"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WHEREAS, on July 21, 2022, ACTC II domesticated as a Delaware corporation and changed its name to “Opal Fuels Inc.” and, on July 21, 2021, completed its business combination with OPAL Fuels LLC (the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WHEREAS, in accordance with Section 4.5 of the Existing Warrant Agreement, upon effectiveness of the Business Combination, the holders of the Warrants thereafter had the right to purchase and receive, upon the basis and upon the terms and conditions specified in the Warrants and in lieu of Ordinary Shares of ACTC II immediately theretofore purchasable and receivable upon the exercise of the rights represented thereby, an Alternative Issuance (as defined in the Existing Warrant Agreement) in shares of Class A common stock, par value $0.0001 per share, of the Company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number of then outstanding Public Warrants and, solely with respect to any amendment to the terms of the Private Placement Warrants, 65% of the number of the then outstanding Private Placement Warrants;</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WHEREAS, the Company desires to amend the Existing Warrant Agreement to provide the Company with the right to require the holders of the Warrants to exchange all of the outstanding Warrants for shares of Class A common stock, on the terms and subject to the conditions set forth herein; and</w:t>
      </w:r>
    </w:p>
    <w:p>
      <w:pPr>
        <w:spacing w:after="0" w:line="145"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WHEREAS, in the exchange offer and consent solicitation undertaken by the Company pursuant to the Registration Statement on Form S-4 filed with the U.S. Securities and Exchange Commission, the Registered Holders of more than 65% of each of the then-outstanding Public Warrants and 65% of the then-outstanding Private Placement Warrants consented to and approved this Amendment.</w:t>
      </w:r>
    </w:p>
    <w:p>
      <w:pPr>
        <w:spacing w:after="0" w:line="156"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45" w:lineRule="exact"/>
        <w:rPr>
          <w:sz w:val="20"/>
          <w:szCs w:val="20"/>
          <w:color w:val="auto"/>
        </w:rPr>
      </w:pPr>
    </w:p>
    <w:p>
      <w:pPr>
        <w:ind w:left="440" w:hanging="162"/>
        <w:spacing w:after="0"/>
        <w:tabs>
          <w:tab w:leader="none" w:pos="44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of Existing Warrant Agreement</w:t>
      </w:r>
      <w:r>
        <w:rPr>
          <w:rFonts w:ascii="Times New Roman" w:cs="Times New Roman" w:eastAsia="Times New Roman" w:hAnsi="Times New Roman"/>
          <w:sz w:val="16"/>
          <w:szCs w:val="16"/>
          <w:color w:val="auto"/>
        </w:rPr>
        <w:t>. The Existing Warrant Agreement is hereby amended by adding:</w:t>
      </w:r>
    </w:p>
    <w:p>
      <w:pPr>
        <w:spacing w:after="0" w:line="194" w:lineRule="exact"/>
        <w:rPr>
          <w:rFonts w:ascii="Times New Roman" w:cs="Times New Roman" w:eastAsia="Times New Roman" w:hAnsi="Times New Roman"/>
          <w:sz w:val="16"/>
          <w:szCs w:val="16"/>
          <w:color w:val="auto"/>
        </w:rPr>
      </w:pPr>
    </w:p>
    <w:p>
      <w:pPr>
        <w:ind w:left="280" w:right="9020"/>
        <w:spacing w:after="0" w:line="5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(a) the new </w:t>
      </w:r>
      <w:r>
        <w:rPr>
          <w:rFonts w:ascii="Times New Roman" w:cs="Times New Roman" w:eastAsia="Times New Roman" w:hAnsi="Times New Roman"/>
          <w:sz w:val="15"/>
          <w:szCs w:val="15"/>
          <w:u w:val="single" w:color="auto"/>
          <w:color w:val="auto"/>
        </w:rPr>
        <w:t>Section 6A</w:t>
      </w:r>
      <w:r>
        <w:rPr>
          <w:rFonts w:ascii="Times New Roman" w:cs="Times New Roman" w:eastAsia="Times New Roman" w:hAnsi="Times New Roman"/>
          <w:sz w:val="15"/>
          <w:szCs w:val="15"/>
          <w:color w:val="auto"/>
        </w:rPr>
        <w:t xml:space="preserve"> thereto: “6A </w:t>
      </w:r>
      <w:r>
        <w:rPr>
          <w:rFonts w:ascii="Times New Roman" w:cs="Times New Roman" w:eastAsia="Times New Roman" w:hAnsi="Times New Roman"/>
          <w:sz w:val="15"/>
          <w:szCs w:val="15"/>
          <w:u w:val="single" w:color="auto"/>
          <w:color w:val="auto"/>
        </w:rPr>
        <w:t>Mandatory Exchange</w:t>
      </w:r>
      <w:r>
        <w:rPr>
          <w:rFonts w:ascii="Times New Roman" w:cs="Times New Roman" w:eastAsia="Times New Roman" w:hAnsi="Times New Roman"/>
          <w:sz w:val="15"/>
          <w:szCs w:val="15"/>
          <w:color w:val="auto"/>
        </w:rPr>
        <w:t>.</w:t>
      </w: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 xml:space="preserve">6A.1 </w:t>
      </w:r>
      <w:r>
        <w:rPr>
          <w:rFonts w:ascii="Times New Roman" w:cs="Times New Roman" w:eastAsia="Times New Roman" w:hAnsi="Times New Roman"/>
          <w:sz w:val="16"/>
          <w:szCs w:val="16"/>
          <w:u w:val="single" w:color="auto"/>
          <w:color w:val="auto"/>
        </w:rPr>
        <w:t>The Business Combination</w:t>
      </w:r>
      <w:r>
        <w:rPr>
          <w:rFonts w:ascii="Times New Roman" w:cs="Times New Roman" w:eastAsia="Times New Roman" w:hAnsi="Times New Roman"/>
          <w:sz w:val="16"/>
          <w:szCs w:val="16"/>
          <w:color w:val="auto"/>
        </w:rPr>
        <w:t>. On July 21, 2022, the Company domesticated as a Delaware corporation and changed its name to “OPAL Fuels Inc.” and, on July 21, 2022, completed its business combination with OPAL Fuels LLC (the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 In accordance with Section 4.5 of this Agreement, upon effectiveness of the Business Combination, the holders of the Warrants thereafter had the right to purchase and receive, upon the basis and upon the terms and conditions specified in the Warrants and in lieu of Ordinary Shares of the Company immediately theretofore purchasable and receivable upon the exercise of the rights represented thereby, an Alternative Issuance in shares of Class A common stock, par value $0.0001 per share, of OPAL Fuels Inc.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81" w:name="page282"/>
    <w:bookmarkEnd w:id="281"/>
    <w:p>
      <w:pPr>
        <w:jc w:val="both"/>
        <w:ind w:left="5" w:right="20" w:firstLine="283"/>
        <w:spacing w:after="0" w:line="269" w:lineRule="auto"/>
        <w:rPr>
          <w:sz w:val="20"/>
          <w:szCs w:val="20"/>
          <w:color w:val="auto"/>
        </w:rPr>
      </w:pPr>
      <w:r>
        <w:rPr>
          <w:rFonts w:ascii="Times New Roman" w:cs="Times New Roman" w:eastAsia="Times New Roman" w:hAnsi="Times New Roman"/>
          <w:sz w:val="15"/>
          <w:szCs w:val="15"/>
          <w:color w:val="auto"/>
        </w:rPr>
        <w:t xml:space="preserve">6A.2 </w:t>
      </w:r>
      <w:r>
        <w:rPr>
          <w:rFonts w:ascii="Times New Roman" w:cs="Times New Roman" w:eastAsia="Times New Roman" w:hAnsi="Times New Roman"/>
          <w:sz w:val="15"/>
          <w:szCs w:val="15"/>
          <w:u w:val="single" w:color="auto"/>
          <w:color w:val="auto"/>
        </w:rPr>
        <w:t>Company Election to Exchange</w:t>
      </w:r>
      <w:r>
        <w:rPr>
          <w:rFonts w:ascii="Times New Roman" w:cs="Times New Roman" w:eastAsia="Times New Roman" w:hAnsi="Times New Roman"/>
          <w:sz w:val="15"/>
          <w:szCs w:val="15"/>
          <w:color w:val="auto"/>
        </w:rPr>
        <w:t>.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then-outstanding Warrants, as described in Section 6A.3 below, for shares of Class A common stock (or any Alternative Issuance pursuant to Section 4.5), at the exchange rate of 0.____ shares of Class A common stock (or any Alternative Issuance pursuant to Section 4.5) for each Warrant held by the holder thereof (the “</w:t>
      </w:r>
      <w:r>
        <w:rPr>
          <w:rFonts w:ascii="Times New Roman" w:cs="Times New Roman" w:eastAsia="Times New Roman" w:hAnsi="Times New Roman"/>
          <w:sz w:val="15"/>
          <w:szCs w:val="15"/>
          <w:b w:val="1"/>
          <w:bCs w:val="1"/>
          <w:i w:val="1"/>
          <w:iCs w:val="1"/>
          <w:color w:val="auto"/>
        </w:rPr>
        <w:t>Consideration</w:t>
      </w:r>
      <w:r>
        <w:rPr>
          <w:rFonts w:ascii="Times New Roman" w:cs="Times New Roman" w:eastAsia="Times New Roman" w:hAnsi="Times New Roman"/>
          <w:sz w:val="15"/>
          <w:szCs w:val="15"/>
          <w:color w:val="auto"/>
        </w:rPr>
        <w:t>”)</w:t>
      </w: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(subject to equitable adjustment by the Company in the event of any stock splits, stock dividends, recapitalizations, or similar transaction with respect to the shares of Class A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$[___].</w:t>
      </w:r>
      <w:r>
        <w:rPr>
          <w:rFonts w:ascii="Times New Roman" w:cs="Times New Roman" w:eastAsia="Times New Roman" w:hAnsi="Times New Roman"/>
          <w:sz w:val="26"/>
          <w:szCs w:val="26"/>
          <w:color w:val="auto"/>
          <w:vertAlign w:val="superscript"/>
        </w:rPr>
        <w:t>3</w:t>
      </w:r>
    </w:p>
    <w:p>
      <w:pPr>
        <w:spacing w:after="0" w:line="49" w:lineRule="exact"/>
        <w:rPr>
          <w:sz w:val="20"/>
          <w:szCs w:val="20"/>
          <w:color w:val="auto"/>
        </w:rPr>
      </w:pPr>
    </w:p>
    <w:p>
      <w:pPr>
        <w:jc w:val="both"/>
        <w:ind w:left="5" w:firstLine="283"/>
        <w:spacing w:after="0" w:line="256" w:lineRule="auto"/>
        <w:rPr>
          <w:sz w:val="20"/>
          <w:szCs w:val="20"/>
          <w:color w:val="auto"/>
        </w:rPr>
      </w:pPr>
      <w:r>
        <w:rPr>
          <w:rFonts w:ascii="Times New Roman" w:cs="Times New Roman" w:eastAsia="Times New Roman" w:hAnsi="Times New Roman"/>
          <w:sz w:val="16"/>
          <w:szCs w:val="16"/>
          <w:color w:val="auto"/>
        </w:rPr>
        <w:t xml:space="preserve">6A.3 </w:t>
      </w:r>
      <w:r>
        <w:rPr>
          <w:rFonts w:ascii="Times New Roman" w:cs="Times New Roman" w:eastAsia="Times New Roman" w:hAnsi="Times New Roman"/>
          <w:sz w:val="16"/>
          <w:szCs w:val="16"/>
          <w:u w:val="single" w:color="auto"/>
          <w:color w:val="auto"/>
        </w:rPr>
        <w:t>Date Fixed for, and Notice of, Exchange</w:t>
      </w:r>
      <w:r>
        <w:rPr>
          <w:rFonts w:ascii="Times New Roman" w:cs="Times New Roman" w:eastAsia="Times New Roman" w:hAnsi="Times New Roman"/>
          <w:sz w:val="16"/>
          <w:szCs w:val="16"/>
          <w:color w:val="auto"/>
        </w:rPr>
        <w:t>. In the event that the Company elects to exchange all of the Warrants, the Company shall fix a date for the exchange (the “</w:t>
      </w:r>
      <w:r>
        <w:rPr>
          <w:rFonts w:ascii="Times New Roman" w:cs="Times New Roman" w:eastAsia="Times New Roman" w:hAnsi="Times New Roman"/>
          <w:sz w:val="16"/>
          <w:szCs w:val="16"/>
          <w:b w:val="1"/>
          <w:bCs w:val="1"/>
          <w:i w:val="1"/>
          <w:iCs w:val="1"/>
          <w:color w:val="auto"/>
        </w:rPr>
        <w:t>Exchange Date</w:t>
      </w:r>
      <w:r>
        <w:rPr>
          <w:rFonts w:ascii="Times New Roman" w:cs="Times New Roman" w:eastAsia="Times New Roman" w:hAnsi="Times New Roman"/>
          <w:sz w:val="16"/>
          <w:szCs w:val="16"/>
          <w:color w:val="auto"/>
        </w:rPr>
        <w:t>”). Notice of exchange shall be mailed by first class mail, postage prepaid, by the Company not less than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60"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6A.4 </w:t>
      </w:r>
      <w:r>
        <w:rPr>
          <w:rFonts w:ascii="Times New Roman" w:cs="Times New Roman" w:eastAsia="Times New Roman" w:hAnsi="Times New Roman"/>
          <w:sz w:val="16"/>
          <w:szCs w:val="16"/>
          <w:u w:val="single" w:color="auto"/>
          <w:color w:val="auto"/>
        </w:rPr>
        <w:t>Exercise After Notice of Exchange</w:t>
      </w:r>
      <w:r>
        <w:rPr>
          <w:rFonts w:ascii="Times New Roman" w:cs="Times New Roman" w:eastAsia="Times New Roman" w:hAnsi="Times New Roman"/>
          <w:sz w:val="16"/>
          <w:szCs w:val="16"/>
          <w:color w:val="auto"/>
        </w:rPr>
        <w:t xml:space="preserve">. The Warrants may be exercised, for cash (or on a “cashless basis” in accordance with clause (ii) </w:t>
      </w:r>
      <w:r>
        <w:rPr>
          <w:rFonts w:ascii="Times New Roman" w:cs="Times New Roman" w:eastAsia="Times New Roman" w:hAnsi="Times New Roman"/>
          <w:sz w:val="16"/>
          <w:szCs w:val="16"/>
          <w:u w:val="single" w:color="auto"/>
          <w:color w:val="auto"/>
        </w:rPr>
        <w:t>subsection 3.3.1(c)</w:t>
      </w:r>
      <w:r>
        <w:rPr>
          <w:rFonts w:ascii="Times New Roman" w:cs="Times New Roman" w:eastAsia="Times New Roman" w:hAnsi="Times New Roman"/>
          <w:sz w:val="16"/>
          <w:szCs w:val="16"/>
          <w:color w:val="auto"/>
        </w:rPr>
        <w:t xml:space="preserve"> of this Agreement, with an adjustment to the definition of “Sponsor Fair Market Value” to (A) correct such defined term to “</w:t>
      </w:r>
      <w:r>
        <w:rPr>
          <w:rFonts w:ascii="Times New Roman" w:cs="Times New Roman" w:eastAsia="Times New Roman" w:hAnsi="Times New Roman"/>
          <w:sz w:val="16"/>
          <w:szCs w:val="16"/>
          <w:b w:val="1"/>
          <w:bCs w:val="1"/>
          <w:i w:val="1"/>
          <w:iCs w:val="1"/>
          <w:color w:val="auto"/>
        </w:rPr>
        <w:t>Sponsor Exercise Fair Market Value</w:t>
      </w:r>
      <w:r>
        <w:rPr>
          <w:rFonts w:ascii="Times New Roman" w:cs="Times New Roman" w:eastAsia="Times New Roman" w:hAnsi="Times New Roman"/>
          <w:sz w:val="16"/>
          <w:szCs w:val="16"/>
          <w:color w:val="auto"/>
        </w:rPr>
        <w:t xml:space="preserve">” and (B) to substitute the date on which the notice of exchange is sent for the date on which the notice of exercise is sent) at any time after notice of exchange shall have been given by the Company pursuant to </w:t>
      </w:r>
      <w:r>
        <w:rPr>
          <w:rFonts w:ascii="Times New Roman" w:cs="Times New Roman" w:eastAsia="Times New Roman" w:hAnsi="Times New Roman"/>
          <w:sz w:val="16"/>
          <w:szCs w:val="16"/>
          <w:u w:val="single" w:color="auto"/>
          <w:color w:val="auto"/>
        </w:rPr>
        <w:t>Section 6A.3</w:t>
      </w:r>
      <w:r>
        <w:rPr>
          <w:rFonts w:ascii="Times New Roman" w:cs="Times New Roman" w:eastAsia="Times New Roman" w:hAnsi="Times New Roman"/>
          <w:sz w:val="16"/>
          <w:szCs w:val="16"/>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64" w:lineRule="exact"/>
        <w:rPr>
          <w:sz w:val="20"/>
          <w:szCs w:val="20"/>
          <w:color w:val="auto"/>
        </w:rPr>
      </w:pPr>
    </w:p>
    <w:p>
      <w:pPr>
        <w:ind w:left="445" w:hanging="162"/>
        <w:spacing w:after="0"/>
        <w:tabs>
          <w:tab w:leader="none" w:pos="44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5" w:firstLine="283"/>
        <w:spacing w:after="0" w:line="286"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39" w:lineRule="exact"/>
        <w:rPr>
          <w:sz w:val="20"/>
          <w:szCs w:val="20"/>
          <w:color w:val="auto"/>
        </w:rPr>
      </w:pPr>
    </w:p>
    <w:p>
      <w:pPr>
        <w:jc w:val="both"/>
        <w:ind w:left="5" w:firstLine="283"/>
        <w:spacing w:after="0" w:line="253"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78562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80" w:lineRule="exact"/>
        <w:rPr>
          <w:sz w:val="20"/>
          <w:szCs w:val="20"/>
          <w:color w:val="auto"/>
        </w:rPr>
      </w:pPr>
    </w:p>
    <w:p>
      <w:pPr>
        <w:ind w:left="285" w:right="20" w:hanging="285"/>
        <w:spacing w:after="0" w:line="196" w:lineRule="auto"/>
        <w:tabs>
          <w:tab w:leader="none" w:pos="285" w:val="left"/>
        </w:tabs>
        <w:numPr>
          <w:ilvl w:val="0"/>
          <w:numId w:val="1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will be the last sale price of the Company’s Common Stock on the NASDAQ on the last trading day of the Offer Period (as defined in the Registration Statement on Form S-4 filed with the SEC on November 18, 2022).</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282" w:name="page283"/>
    <w:bookmarkEnd w:id="282"/>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are not part of this Amendment and shall not affect the interpretation thereof.</w:t>
      </w:r>
    </w:p>
    <w:p>
      <w:pPr>
        <w:spacing w:after="0" w:line="19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83" w:name="page284"/>
    <w:bookmarkEnd w:id="283"/>
    <w:p>
      <w:pPr>
        <w:ind w:left="280"/>
        <w:spacing w:after="0"/>
        <w:rPr>
          <w:sz w:val="20"/>
          <w:szCs w:val="20"/>
          <w:color w:val="auto"/>
        </w:rPr>
      </w:pPr>
      <w:r>
        <w:rPr>
          <w:rFonts w:ascii="Times New Roman" w:cs="Times New Roman" w:eastAsia="Times New Roman" w:hAnsi="Times New Roman"/>
          <w:sz w:val="15"/>
          <w:szCs w:val="15"/>
          <w:color w:val="auto"/>
        </w:rPr>
        <w:t>IN WITNESS WHEREOF, each of the parties has caused this Amendment to be duly executed as of the date first above written.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13970</wp:posOffset>
            </wp:positionV>
            <wp:extent cx="257302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as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13970</wp:posOffset>
            </wp:positionV>
            <wp:extent cx="257302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3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39"/>
          </w:cols>
          <w:pgMar w:left="320" w:top="785" w:right="1440"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Offer to Exchange Warrants to Acquire Shares of Class A Common Stock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122555</wp:posOffset>
            </wp:positionV>
            <wp:extent cx="179324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135255</wp:posOffset>
            </wp:positionV>
            <wp:extent cx="179324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Exchange Agent for the Offer and the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Continental Stock Transfer &amp; Trust Company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Attn: Voluntary Corporate Actions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State Street, 30th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17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and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D.F. King &amp; Co.,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Dealer Manager for the Offer and the Consent Solicitation 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362585</wp:posOffset>
            </wp:positionV>
            <wp:extent cx="714946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 Indemnification of Directors and Officers.</w:t>
      </w:r>
    </w:p>
    <w:p>
      <w:pPr>
        <w:spacing w:after="0" w:line="194"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OPAL is governed by the DGCL, as the same exists or may hereafter be amended. Section 145 of the DGCL (“</w:t>
      </w:r>
      <w:r>
        <w:rPr>
          <w:rFonts w:ascii="Times New Roman" w:cs="Times New Roman" w:eastAsia="Times New Roman" w:hAnsi="Times New Roman"/>
          <w:sz w:val="16"/>
          <w:szCs w:val="16"/>
          <w:i w:val="1"/>
          <w:iCs w:val="1"/>
          <w:color w:val="auto"/>
        </w:rPr>
        <w:t>Section 145</w:t>
      </w:r>
      <w:r>
        <w:rPr>
          <w:rFonts w:ascii="Times New Roman" w:cs="Times New Roman" w:eastAsia="Times New Roman" w:hAnsi="Times New Roman"/>
          <w:sz w:val="16"/>
          <w:szCs w:val="16"/>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69" w:lineRule="exact"/>
        <w:rPr>
          <w:sz w:val="20"/>
          <w:szCs w:val="20"/>
          <w:color w:val="auto"/>
        </w:rPr>
      </w:pPr>
    </w:p>
    <w:p>
      <w:pPr>
        <w:jc w:val="both"/>
        <w:ind w:right="20" w:firstLine="283"/>
        <w:spacing w:after="0" w:line="256" w:lineRule="auto"/>
        <w:rPr>
          <w:sz w:val="20"/>
          <w:szCs w:val="20"/>
          <w:color w:val="auto"/>
        </w:rPr>
      </w:pPr>
      <w:r>
        <w:rPr>
          <w:rFonts w:ascii="Times New Roman" w:cs="Times New Roman" w:eastAsia="Times New Roman" w:hAnsi="Times New Roman"/>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160"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6"/>
          <w:szCs w:val="16"/>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56"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6"/>
          <w:szCs w:val="16"/>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provisions may be held not to be enforceable for certain violations of the federal securities laws of the United States.</w:t>
      </w:r>
    </w:p>
    <w:p>
      <w:pPr>
        <w:spacing w:after="0" w:line="19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64"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b w:val="1"/>
          <w:bCs w:val="1"/>
          <w:color w:val="auto"/>
        </w:rPr>
        <w:t>Item 21. Exhibits and Financial Statement Schedules.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Exhibits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exhibits are included in this registration statement on Form S-4: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12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4"/>
        </w:trPr>
        <w:tc>
          <w:tcPr>
            <w:tcW w:w="1020" w:type="dxa"/>
            <w:vAlign w:val="bottom"/>
            <w:tcBorders>
              <w:top w:val="single" w:sz="8" w:color="auto"/>
              <w:bottom w:val="single" w:sz="8" w:color="CCEEFF"/>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2.1†*</w:t>
            </w: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0120" w:type="dxa"/>
            <w:vAlign w:val="bottom"/>
            <w:tcBorders>
              <w:top w:val="single" w:sz="8" w:color="auto"/>
              <w:bottom w:val="single" w:sz="8" w:color="0000EE"/>
              <w:right w:val="single" w:sz="8" w:color="CCEEFF"/>
            </w:tcBorders>
            <w:gridSpan w:val="16"/>
            <w:shd w:val="clear" w:color="auto" w:fill="CCEEFF"/>
          </w:tcPr>
          <w:p>
            <w:pPr>
              <w:spacing w:after="0" w:line="154"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Business Combination Agreement, dated as of December 2, 2021, by and among ArcLight, OPAL Fuels and OPAL Holdco (incorporated by reference to</w:t>
              </w:r>
            </w:hyperlink>
          </w:p>
        </w:tc>
      </w:tr>
      <w:tr>
        <w:trPr>
          <w:trHeight w:val="169"/>
        </w:trPr>
        <w:tc>
          <w:tcPr>
            <w:tcW w:w="10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Exhibit 2.1 of the Company’s Current Report on Form 8-K, filed with the SEC on December 3, 2021).</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CCEEFF"/>
            </w:tcBorders>
            <w:shd w:val="clear" w:color="auto" w:fill="0000EE"/>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9"/>
              </w:rPr>
            </w:pPr>
            <w:hyperlink r:id="rId305">
              <w:r>
                <w:rPr>
                  <w:rFonts w:ascii="Times New Roman" w:cs="Times New Roman" w:eastAsia="Times New Roman" w:hAnsi="Times New Roman"/>
                  <w:sz w:val="16"/>
                  <w:szCs w:val="16"/>
                  <w:color w:val="0000EE"/>
                  <w:w w:val="99"/>
                </w:rPr>
                <w:t>Restated Certificate of Incorporation of OPAL Fuels Inc. (incorporated by reference to Exhibit 3.1 to the Current Report on Form 8-K/A filed by the Company</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on August 10, 2022).</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Bylaws of OPAL Fuels Inc. (incorporated by reference to Exhibit 3.2 to the Current Report on Form 8-K filed by the Company on July 27, 2022)</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0000EE"/>
            </w:tcBorders>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4.1*</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8"/>
              </w:rPr>
            </w:pPr>
            <w:hyperlink r:id="rId307">
              <w:r>
                <w:rPr>
                  <w:rFonts w:ascii="Times New Roman" w:cs="Times New Roman" w:eastAsia="Times New Roman" w:hAnsi="Times New Roman"/>
                  <w:sz w:val="16"/>
                  <w:szCs w:val="16"/>
                  <w:color w:val="0000EE"/>
                  <w:w w:val="98"/>
                </w:rPr>
                <w:t>Specimen Warrant Certificate (incorporated by reference to Exhibit 4.3 to the Registration Statement on Form S-1 (File No. 333-252730) filed by the Registrant</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6"/>
                <w:szCs w:val="16"/>
                <w:color w:val="0000EE"/>
              </w:rPr>
            </w:pPr>
            <w:hyperlink r:id="rId307">
              <w:r>
                <w:rPr>
                  <w:rFonts w:ascii="Times New Roman" w:cs="Times New Roman" w:eastAsia="Times New Roman" w:hAnsi="Times New Roman"/>
                  <w:sz w:val="16"/>
                  <w:szCs w:val="16"/>
                  <w:color w:val="0000EE"/>
                </w:rPr>
                <w:t>on March 8, 2021).</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4.2*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0120" w:type="dxa"/>
            <w:vAlign w:val="bottom"/>
            <w:tcBorders>
              <w:bottom w:val="single" w:sz="8" w:color="0000EE"/>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Warrant Agreement between Continental Stock Transfer &amp; Trust Company and ArcLight Clean Transition Corp. II, dated March 22, 2021 (incorporated by</w:t>
              </w:r>
            </w:hyperlink>
          </w:p>
        </w:tc>
      </w:tr>
      <w:tr>
        <w:trPr>
          <w:trHeight w:val="169"/>
        </w:trPr>
        <w:tc>
          <w:tcPr>
            <w:tcW w:w="10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reference to Exhibit 4.1 to the Current Report on Form 8-K filed by the Company on March 26, 2021).</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5.1**</w:t>
            </w:r>
          </w:p>
        </w:tc>
        <w:tc>
          <w:tcPr>
            <w:tcW w:w="120" w:type="dxa"/>
            <w:vAlign w:val="bottom"/>
          </w:tcPr>
          <w:p>
            <w:pPr>
              <w:spacing w:after="0"/>
              <w:rPr>
                <w:sz w:val="13"/>
                <w:szCs w:val="13"/>
                <w:color w:val="auto"/>
              </w:rPr>
            </w:pPr>
          </w:p>
        </w:tc>
        <w:tc>
          <w:tcPr>
            <w:tcW w:w="10120" w:type="dxa"/>
            <w:vAlign w:val="bottom"/>
            <w:gridSpan w:val="16"/>
          </w:tcPr>
          <w:p>
            <w:pPr>
              <w:spacing w:after="0" w:line="154" w:lineRule="exact"/>
              <w:rPr>
                <w:sz w:val="20"/>
                <w:szCs w:val="20"/>
                <w:color w:val="auto"/>
              </w:rPr>
            </w:pPr>
            <w:r>
              <w:rPr>
                <w:rFonts w:ascii="Times New Roman" w:cs="Times New Roman" w:eastAsia="Times New Roman" w:hAnsi="Times New Roman"/>
                <w:sz w:val="16"/>
                <w:szCs w:val="16"/>
                <w:color w:val="0000EE"/>
              </w:rPr>
              <w:t>Opinion of Sheppard, Mullin, Richter &amp; Hampton LLP</w:t>
            </w: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8.1**</w:t>
            </w: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Tax Opinion of Sheppard, Mullin, Richter &amp; Hampton LLP</w:t>
            </w:r>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40" w:type="dxa"/>
            <w:vAlign w:val="bottom"/>
            <w:tcBorders>
              <w:right w:val="single" w:sz="8" w:color="CCEEFF"/>
            </w:tcBorders>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10.1*</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9"/>
              </w:rPr>
            </w:pPr>
            <w:hyperlink r:id="rId309">
              <w:r>
                <w:rPr>
                  <w:rFonts w:ascii="Times New Roman" w:cs="Times New Roman" w:eastAsia="Times New Roman" w:hAnsi="Times New Roman"/>
                  <w:sz w:val="16"/>
                  <w:szCs w:val="16"/>
                  <w:color w:val="0000EE"/>
                  <w:w w:val="99"/>
                </w:rPr>
                <w:t>Form of OPAL Indemnification Agreement (incorporated by reference to Exhibit 10.1 to the Registration Statement on Form S-4 (File No. 333-262583), filed</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6"/>
                <w:szCs w:val="16"/>
                <w:color w:val="0000EE"/>
              </w:rPr>
            </w:pPr>
            <w:hyperlink r:id="rId309">
              <w:r>
                <w:rPr>
                  <w:rFonts w:ascii="Times New Roman" w:cs="Times New Roman" w:eastAsia="Times New Roman" w:hAnsi="Times New Roman"/>
                  <w:sz w:val="16"/>
                  <w:szCs w:val="16"/>
                  <w:color w:val="0000EE"/>
                </w:rPr>
                <w:t>on May 6, 2022).</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10.2*</w:t>
            </w: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2022 Omnibus Equity Incentive Plan (incorporated by reference to Exhibit 10.2 to the Current Report on Form 8-K filed by the Company on July 27, 2022).</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0000EE"/>
            </w:tcBorders>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10.3*</w:t>
            </w:r>
          </w:p>
        </w:tc>
        <w:tc>
          <w:tcPr>
            <w:tcW w:w="120" w:type="dxa"/>
            <w:vAlign w:val="bottom"/>
          </w:tcPr>
          <w:p>
            <w:pPr>
              <w:spacing w:after="0"/>
              <w:rPr>
                <w:sz w:val="13"/>
                <w:szCs w:val="13"/>
                <w:color w:val="auto"/>
              </w:rPr>
            </w:pPr>
          </w:p>
        </w:tc>
        <w:tc>
          <w:tcPr>
            <w:tcW w:w="10120" w:type="dxa"/>
            <w:vAlign w:val="bottom"/>
            <w:gridSpan w:val="16"/>
          </w:tcPr>
          <w:p>
            <w:pPr>
              <w:spacing w:after="0" w:line="154"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Letter Agreement, dated as of March 25, 2021, by and among ArcLight CTC Holdings II, L.P., ArcLight Clean Transition Corp. II and certain other parties</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tcBorders>
              <w:top w:val="single" w:sz="8" w:color="0000EE"/>
            </w:tcBorders>
            <w:gridSpan w:val="16"/>
          </w:tcPr>
          <w:p>
            <w:pPr>
              <w:spacing w:after="0" w:line="169"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thereto (incorporated by referenced to Exhibit 10.4 to the Company’s Current Report on Form 8-K filed by the Registrant on March 26, 2021).</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840" w:type="dxa"/>
            <w:vAlign w:val="bottom"/>
            <w:tcBorders>
              <w:right w:val="single" w:sz="8" w:color="0000EE"/>
            </w:tcBorders>
            <w:shd w:val="clear" w:color="auto" w:fill="0000EE"/>
          </w:tcPr>
          <w:p>
            <w:pPr>
              <w:spacing w:after="0"/>
              <w:rPr>
                <w:sz w:val="2"/>
                <w:szCs w:val="2"/>
                <w:color w:val="auto"/>
              </w:rPr>
            </w:pPr>
          </w:p>
        </w:tc>
        <w:tc>
          <w:tcPr>
            <w:tcW w:w="1020" w:type="dxa"/>
            <w:vAlign w:val="bottom"/>
            <w:tcBorders>
              <w:right w:val="single" w:sz="8" w:color="0000EE"/>
            </w:tcBorders>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10.4*</w:t>
            </w: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w w:val="98"/>
              </w:rPr>
            </w:pPr>
            <w:hyperlink r:id="rId312">
              <w:r>
                <w:rPr>
                  <w:rFonts w:ascii="Times New Roman" w:cs="Times New Roman" w:eastAsia="Times New Roman" w:hAnsi="Times New Roman"/>
                  <w:sz w:val="16"/>
                  <w:szCs w:val="16"/>
                  <w:color w:val="0000EE"/>
                  <w:w w:val="98"/>
                </w:rPr>
                <w:t>Sponsor Letter Agreement, dated as of December 2, 2021, by and among OPAL Fuels LLC, ArcLight Clean Transition Corp. II and certain other parties thereto</w:t>
              </w:r>
            </w:hyperlink>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120" w:type="dxa"/>
            <w:vAlign w:val="bottom"/>
            <w:tcBorders>
              <w:top w:val="single" w:sz="8" w:color="0000EE"/>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12">
              <w:r>
                <w:rPr>
                  <w:rFonts w:ascii="Times New Roman" w:cs="Times New Roman" w:eastAsia="Times New Roman" w:hAnsi="Times New Roman"/>
                  <w:sz w:val="16"/>
                  <w:szCs w:val="16"/>
                  <w:color w:val="0000EE"/>
                </w:rPr>
                <w:t>(incorporated by referenced to Exhibit 10.2 to the Company’s Current Report on Form 8-K filed by the Registrant on December 3, 2021)</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0000EE"/>
            </w:tcBorders>
            <w:shd w:val="clear" w:color="auto" w:fill="0000EE"/>
          </w:tcPr>
          <w:p>
            <w:pPr>
              <w:spacing w:after="0"/>
              <w:rPr>
                <w:sz w:val="3"/>
                <w:szCs w:val="3"/>
                <w:color w:val="auto"/>
              </w:rPr>
            </w:pPr>
          </w:p>
        </w:tc>
        <w:tc>
          <w:tcPr>
            <w:tcW w:w="112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10.5*</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8"/>
              </w:rPr>
            </w:pPr>
            <w:hyperlink r:id="rId313">
              <w:r>
                <w:rPr>
                  <w:rFonts w:ascii="Times New Roman" w:cs="Times New Roman" w:eastAsia="Times New Roman" w:hAnsi="Times New Roman"/>
                  <w:sz w:val="16"/>
                  <w:szCs w:val="16"/>
                  <w:color w:val="0000EE"/>
                  <w:w w:val="98"/>
                </w:rPr>
                <w:t>Form of Subscription Agreement (incorporated by reference to Exhibit 10.1 of the Company’s Current Report on Form 8-K, filed with the SEC on December 3,</w:t>
              </w:r>
            </w:hyperlink>
          </w:p>
        </w:tc>
      </w:tr>
      <w:tr>
        <w:trPr>
          <w:trHeight w:val="169"/>
        </w:trPr>
        <w:tc>
          <w:tcPr>
            <w:tcW w:w="1020" w:type="dxa"/>
            <w:vAlign w:val="bottom"/>
          </w:tcPr>
          <w:p>
            <w:pPr>
              <w:spacing w:after="0"/>
              <w:rPr>
                <w:sz w:val="14"/>
                <w:szCs w:val="14"/>
                <w:color w:val="auto"/>
              </w:rPr>
            </w:pPr>
          </w:p>
        </w:tc>
        <w:tc>
          <w:tcPr>
            <w:tcW w:w="1200" w:type="dxa"/>
            <w:vAlign w:val="bottom"/>
            <w:gridSpan w:val="3"/>
          </w:tcPr>
          <w:p>
            <w:pPr>
              <w:ind w:left="100"/>
              <w:spacing w:after="0" w:line="169" w:lineRule="exact"/>
              <w:rPr>
                <w:rFonts w:ascii="Times New Roman" w:cs="Times New Roman" w:eastAsia="Times New Roman" w:hAnsi="Times New Roman"/>
                <w:sz w:val="16"/>
                <w:szCs w:val="16"/>
                <w:color w:val="0000EE"/>
              </w:rPr>
            </w:pPr>
            <w:hyperlink r:id="rId313">
              <w:r>
                <w:rPr>
                  <w:rFonts w:ascii="Times New Roman" w:cs="Times New Roman" w:eastAsia="Times New Roman" w:hAnsi="Times New Roman"/>
                  <w:sz w:val="16"/>
                  <w:szCs w:val="16"/>
                  <w:color w:val="0000EE"/>
                </w:rPr>
                <w:t>2021).</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10.6*</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0120" w:type="dxa"/>
            <w:vAlign w:val="bottom"/>
            <w:tcBorders>
              <w:bottom w:val="single" w:sz="8" w:color="0000EE"/>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w w:val="98"/>
              </w:rPr>
            </w:pPr>
            <w:hyperlink r:id="rId314">
              <w:r>
                <w:rPr>
                  <w:rFonts w:ascii="Times New Roman" w:cs="Times New Roman" w:eastAsia="Times New Roman" w:hAnsi="Times New Roman"/>
                  <w:sz w:val="16"/>
                  <w:szCs w:val="16"/>
                  <w:color w:val="0000EE"/>
                  <w:w w:val="98"/>
                </w:rPr>
                <w:t>Form of Amendment No. 1 to the Subscription Agreement (incorporated by reference to Exhibit 10.1 of the Company’s Current Report on Form 8-K, filed with</w:t>
              </w:r>
            </w:hyperlink>
          </w:p>
        </w:tc>
      </w:tr>
      <w:tr>
        <w:trPr>
          <w:trHeight w:val="169"/>
        </w:trPr>
        <w:tc>
          <w:tcPr>
            <w:tcW w:w="10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14">
              <w:r>
                <w:rPr>
                  <w:rFonts w:ascii="Times New Roman" w:cs="Times New Roman" w:eastAsia="Times New Roman" w:hAnsi="Times New Roman"/>
                  <w:sz w:val="16"/>
                  <w:szCs w:val="16"/>
                  <w:color w:val="0000EE"/>
                </w:rPr>
                <w:t>the SEC on May 12, 2022).</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40" w:type="dxa"/>
            <w:vAlign w:val="bottom"/>
            <w:tcBorders>
              <w:right w:val="single" w:sz="8" w:color="CCEEFF"/>
            </w:tcBorders>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10.7*</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9"/>
              </w:rPr>
            </w:pPr>
            <w:hyperlink r:id="rId315">
              <w:r>
                <w:rPr>
                  <w:rFonts w:ascii="Times New Roman" w:cs="Times New Roman" w:eastAsia="Times New Roman" w:hAnsi="Times New Roman"/>
                  <w:sz w:val="16"/>
                  <w:szCs w:val="16"/>
                  <w:color w:val="0000EE"/>
                  <w:w w:val="99"/>
                </w:rPr>
                <w:t>Tax Receivable Agreement, dated July 21, 2022, by and among OPAL Fuels Inc. and the persons named therein (incorporated by reference to Exhibit 10.6 to</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6"/>
                <w:szCs w:val="16"/>
                <w:color w:val="0000EE"/>
              </w:rPr>
            </w:pPr>
            <w:hyperlink r:id="rId315">
              <w:r>
                <w:rPr>
                  <w:rFonts w:ascii="Times New Roman" w:cs="Times New Roman" w:eastAsia="Times New Roman" w:hAnsi="Times New Roman"/>
                  <w:sz w:val="16"/>
                  <w:szCs w:val="16"/>
                  <w:color w:val="0000EE"/>
                </w:rPr>
                <w:t>the Current Report on Form 8-K filed by the Company on July 27, 2022).</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10.8*</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0120" w:type="dxa"/>
            <w:vAlign w:val="bottom"/>
            <w:tcBorders>
              <w:bottom w:val="single" w:sz="8" w:color="0000EE"/>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Investor Rights Agreement, dated July 21, 2022, by and among OPAL Fuels Inc., ArcLight CTC Holdings II, L.P., and the other persons named therein</w:t>
              </w:r>
            </w:hyperlink>
          </w:p>
        </w:tc>
      </w:tr>
      <w:tr>
        <w:trPr>
          <w:trHeight w:val="169"/>
        </w:trPr>
        <w:tc>
          <w:tcPr>
            <w:tcW w:w="10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(incorporated by reference to Exhibit 10.7 to the Current Report on Form 8-K filed by the Company on July 27, 2022).</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0000EE"/>
            </w:tcBorders>
            <w:shd w:val="clear" w:color="auto" w:fill="0000EE"/>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r>
        <w:trPr>
          <w:trHeight w:val="154"/>
        </w:trPr>
        <w:tc>
          <w:tcPr>
            <w:tcW w:w="10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color w:val="auto"/>
                <w:w w:val="99"/>
              </w:rPr>
              <w:t>10.9*</w:t>
            </w:r>
          </w:p>
        </w:tc>
        <w:tc>
          <w:tcPr>
            <w:tcW w:w="120" w:type="dxa"/>
            <w:vAlign w:val="bottom"/>
          </w:tcPr>
          <w:p>
            <w:pPr>
              <w:spacing w:after="0"/>
              <w:rPr>
                <w:sz w:val="13"/>
                <w:szCs w:val="13"/>
                <w:color w:val="auto"/>
              </w:rPr>
            </w:pPr>
          </w:p>
        </w:tc>
        <w:tc>
          <w:tcPr>
            <w:tcW w:w="10120" w:type="dxa"/>
            <w:vAlign w:val="bottom"/>
            <w:tcBorders>
              <w:bottom w:val="single" w:sz="8" w:color="0000EE"/>
            </w:tcBorders>
            <w:gridSpan w:val="16"/>
          </w:tcPr>
          <w:p>
            <w:pPr>
              <w:spacing w:after="0" w:line="154" w:lineRule="exact"/>
              <w:rPr>
                <w:rFonts w:ascii="Times New Roman" w:cs="Times New Roman" w:eastAsia="Times New Roman" w:hAnsi="Times New Roman"/>
                <w:sz w:val="16"/>
                <w:szCs w:val="16"/>
                <w:color w:val="0000EE"/>
                <w:w w:val="99"/>
              </w:rPr>
            </w:pPr>
            <w:hyperlink r:id="rId317">
              <w:r>
                <w:rPr>
                  <w:rFonts w:ascii="Times New Roman" w:cs="Times New Roman" w:eastAsia="Times New Roman" w:hAnsi="Times New Roman"/>
                  <w:sz w:val="16"/>
                  <w:szCs w:val="16"/>
                  <w:color w:val="0000EE"/>
                  <w:w w:val="99"/>
                </w:rPr>
                <w:t>Second A&amp;R LLC Agreement of OPAL Fuels, including any Certificates of Designations (incorporated by reference to Exhibit 10.8 to the Current Report on</w:t>
              </w:r>
            </w:hyperlink>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6"/>
                <w:szCs w:val="16"/>
                <w:color w:val="0000EE"/>
              </w:rPr>
            </w:pPr>
            <w:hyperlink r:id="rId317">
              <w:r>
                <w:rPr>
                  <w:rFonts w:ascii="Times New Roman" w:cs="Times New Roman" w:eastAsia="Times New Roman" w:hAnsi="Times New Roman"/>
                  <w:sz w:val="16"/>
                  <w:szCs w:val="16"/>
                  <w:color w:val="0000EE"/>
                </w:rPr>
                <w:t>Form 8-K filed by the Company on July 27, 2022).</w:t>
              </w:r>
            </w:hyperlink>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1"/>
        </w:trPr>
        <w:tc>
          <w:tcPr>
            <w:tcW w:w="10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10.10*</w:t>
            </w: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1" w:lineRule="exact"/>
              <w:rPr>
                <w:rFonts w:ascii="Times New Roman" w:cs="Times New Roman" w:eastAsia="Times New Roman" w:hAnsi="Times New Roman"/>
                <w:sz w:val="16"/>
                <w:szCs w:val="16"/>
                <w:color w:val="0000EE"/>
                <w:w w:val="99"/>
              </w:rPr>
            </w:pPr>
            <w:hyperlink r:id="rId318">
              <w:r>
                <w:rPr>
                  <w:rFonts w:ascii="Times New Roman" w:cs="Times New Roman" w:eastAsia="Times New Roman" w:hAnsi="Times New Roman"/>
                  <w:sz w:val="16"/>
                  <w:szCs w:val="16"/>
                  <w:color w:val="0000EE"/>
                  <w:w w:val="99"/>
                </w:rPr>
                <w:t>Delayed Draw Term Loan and Guaranty Agreement, dated October 22, 2021, by and among OPAL Fuels Intermediate Holdco LLC, the Guarantors named on</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7480" w:type="dxa"/>
            <w:vAlign w:val="bottom"/>
            <w:tcBorders>
              <w:right w:val="single" w:sz="8" w:color="0000EE"/>
            </w:tcBorders>
            <w:gridSpan w:val="11"/>
            <w:shd w:val="clear" w:color="auto" w:fill="0000EE"/>
          </w:tcPr>
          <w:p>
            <w:pPr>
              <w:spacing w:after="0" w:line="20" w:lineRule="exact"/>
              <w:rPr>
                <w:sz w:val="1"/>
                <w:szCs w:val="1"/>
                <w:color w:val="auto"/>
              </w:rPr>
            </w:pPr>
          </w:p>
        </w:tc>
        <w:tc>
          <w:tcPr>
            <w:tcW w:w="2640" w:type="dxa"/>
            <w:vAlign w:val="bottom"/>
            <w:tcBorders>
              <w:right w:val="single" w:sz="8" w:color="CCEEFF"/>
            </w:tcBorders>
            <w:gridSpan w:val="5"/>
            <w:shd w:val="clear" w:color="auto" w:fill="0000EE"/>
          </w:tcPr>
          <w:p>
            <w:pPr>
              <w:spacing w:after="0" w:line="20" w:lineRule="exact"/>
              <w:rPr>
                <w:sz w:val="1"/>
                <w:szCs w:val="1"/>
                <w:color w:val="auto"/>
              </w:rPr>
            </w:pPr>
          </w:p>
        </w:tc>
      </w:tr>
      <w:tr>
        <w:trPr>
          <w:trHeight w:val="169"/>
        </w:trPr>
        <w:tc>
          <w:tcPr>
            <w:tcW w:w="10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20" w:type="dxa"/>
            <w:vAlign w:val="bottom"/>
            <w:tcBorders>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18">
              <w:r>
                <w:rPr>
                  <w:rFonts w:ascii="Times New Roman" w:cs="Times New Roman" w:eastAsia="Times New Roman" w:hAnsi="Times New Roman"/>
                  <w:sz w:val="16"/>
                  <w:szCs w:val="16"/>
                  <w:color w:val="0000EE"/>
                </w:rPr>
                <w:t>the signature pages thereto, and the Lenders (as defined therein), and Bank of America, N.A., as Administrative Agent for the Lenders (incorporated by</w:t>
              </w:r>
            </w:hyperlink>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120" w:type="dxa"/>
            <w:vAlign w:val="bottom"/>
            <w:tcBorders>
              <w:top w:val="single" w:sz="8" w:color="0000EE"/>
              <w:right w:val="single" w:sz="8" w:color="CCEEFF"/>
            </w:tcBorders>
            <w:gridSpan w:val="16"/>
            <w:shd w:val="clear" w:color="auto" w:fill="CCEEFF"/>
          </w:tcPr>
          <w:p>
            <w:pPr>
              <w:spacing w:after="0" w:line="169" w:lineRule="exact"/>
              <w:rPr>
                <w:rFonts w:ascii="Times New Roman" w:cs="Times New Roman" w:eastAsia="Times New Roman" w:hAnsi="Times New Roman"/>
                <w:sz w:val="16"/>
                <w:szCs w:val="16"/>
                <w:color w:val="0000EE"/>
              </w:rPr>
            </w:pPr>
            <w:hyperlink r:id="rId318">
              <w:r>
                <w:rPr>
                  <w:rFonts w:ascii="Times New Roman" w:cs="Times New Roman" w:eastAsia="Times New Roman" w:hAnsi="Times New Roman"/>
                  <w:sz w:val="16"/>
                  <w:szCs w:val="16"/>
                  <w:color w:val="0000EE"/>
                </w:rPr>
                <w:t>reference to Exhibit 10.8 to the Registration Statement on Form S-4 (File No. 333-262583), filed on March 25, 2022).</w:t>
              </w:r>
            </w:hyperlink>
          </w:p>
        </w:tc>
      </w:tr>
      <w:tr>
        <w:trPr>
          <w:trHeight w:val="35"/>
        </w:trPr>
        <w:tc>
          <w:tcPr>
            <w:tcW w:w="10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840" w:type="dxa"/>
            <w:vAlign w:val="bottom"/>
            <w:tcBorders>
              <w:right w:val="single" w:sz="8" w:color="0000EE"/>
            </w:tcBorders>
            <w:shd w:val="clear" w:color="auto" w:fill="0000EE"/>
          </w:tcPr>
          <w:p>
            <w:pPr>
              <w:spacing w:after="0"/>
              <w:rPr>
                <w:sz w:val="3"/>
                <w:szCs w:val="3"/>
                <w:color w:val="auto"/>
              </w:rPr>
            </w:pPr>
          </w:p>
        </w:tc>
        <w:tc>
          <w:tcPr>
            <w:tcW w:w="1020" w:type="dxa"/>
            <w:vAlign w:val="bottom"/>
            <w:tcBorders>
              <w:right w:val="single" w:sz="8" w:color="CCEEFF"/>
            </w:tcBorders>
            <w:shd w:val="clear" w:color="auto" w:fill="0000EE"/>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CCEEFF"/>
            </w:tcBorders>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9"/>
              </w:rPr>
              <w:t>10.11*</w:t>
            </w:r>
          </w:p>
        </w:tc>
        <w:tc>
          <w:tcPr>
            <w:tcW w:w="10140" w:type="dxa"/>
            <w:vAlign w:val="bottom"/>
            <w:tcBorders>
              <w:bottom w:val="single" w:sz="8" w:color="0000EE"/>
            </w:tcBorders>
            <w:gridSpan w:val="23"/>
            <w:shd w:val="clear" w:color="auto" w:fill="CCEEFF"/>
          </w:tcPr>
          <w:p>
            <w:pPr>
              <w:spacing w:after="0"/>
              <w:rPr>
                <w:rFonts w:ascii="Times New Roman" w:cs="Times New Roman" w:eastAsia="Times New Roman" w:hAnsi="Times New Roman"/>
                <w:sz w:val="16"/>
                <w:szCs w:val="16"/>
                <w:color w:val="0000EE"/>
                <w:w w:val="99"/>
              </w:rPr>
            </w:pPr>
            <w:hyperlink r:id="rId320">
              <w:r>
                <w:rPr>
                  <w:rFonts w:ascii="Times New Roman" w:cs="Times New Roman" w:eastAsia="Times New Roman" w:hAnsi="Times New Roman"/>
                  <w:sz w:val="16"/>
                  <w:szCs w:val="16"/>
                  <w:color w:val="0000EE"/>
                  <w:w w:val="99"/>
                </w:rPr>
                <w:t>Amendment No. 1 to Delayed Draw Term Loan and Guaranty Agreement and Waiver, dated February 1, 2022 (incorporated by reference to Exhibit 10.9 to the</w:t>
              </w:r>
            </w:hyperlink>
          </w:p>
        </w:tc>
      </w:tr>
      <w:tr>
        <w:trPr>
          <w:trHeight w:val="169"/>
        </w:trPr>
        <w:tc>
          <w:tcPr>
            <w:tcW w:w="1120" w:type="dxa"/>
            <w:vAlign w:val="bottom"/>
            <w:shd w:val="clear" w:color="auto" w:fill="CCEEFF"/>
          </w:tcPr>
          <w:p>
            <w:pPr>
              <w:spacing w:after="0"/>
              <w:rPr>
                <w:sz w:val="14"/>
                <w:szCs w:val="14"/>
                <w:color w:val="auto"/>
              </w:rPr>
            </w:pPr>
          </w:p>
        </w:tc>
        <w:tc>
          <w:tcPr>
            <w:tcW w:w="1014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20">
              <w:r>
                <w:rPr>
                  <w:rFonts w:ascii="Times New Roman" w:cs="Times New Roman" w:eastAsia="Times New Roman" w:hAnsi="Times New Roman"/>
                  <w:sz w:val="16"/>
                  <w:szCs w:val="16"/>
                  <w:color w:val="0000EE"/>
                </w:rPr>
                <w:t>Registration Statement on Form S-4 (File No. 333-262583), filed on March 25, 2022).</w:t>
              </w:r>
            </w:hyperlink>
          </w:p>
        </w:tc>
      </w:tr>
      <w:tr>
        <w:trPr>
          <w:trHeight w:val="35"/>
        </w:trPr>
        <w:tc>
          <w:tcPr>
            <w:tcW w:w="1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10.12#*</w:t>
            </w:r>
          </w:p>
        </w:tc>
        <w:tc>
          <w:tcPr>
            <w:tcW w:w="10140" w:type="dxa"/>
            <w:vAlign w:val="bottom"/>
            <w:tcBorders>
              <w:bottom w:val="single" w:sz="8" w:color="0000EE"/>
            </w:tcBorders>
            <w:gridSpan w:val="23"/>
          </w:tcPr>
          <w:p>
            <w:pPr>
              <w:spacing w:after="0" w:line="154" w:lineRule="exact"/>
              <w:rPr>
                <w:rFonts w:ascii="Times New Roman" w:cs="Times New Roman" w:eastAsia="Times New Roman" w:hAnsi="Times New Roman"/>
                <w:sz w:val="16"/>
                <w:szCs w:val="16"/>
                <w:color w:val="0000EE"/>
                <w:w w:val="98"/>
              </w:rPr>
            </w:pPr>
            <w:hyperlink r:id="rId321">
              <w:r>
                <w:rPr>
                  <w:rFonts w:ascii="Times New Roman" w:cs="Times New Roman" w:eastAsia="Times New Roman" w:hAnsi="Times New Roman"/>
                  <w:sz w:val="16"/>
                  <w:szCs w:val="16"/>
                  <w:color w:val="0000EE"/>
                  <w:w w:val="98"/>
                </w:rPr>
                <w:t>Environmental Attributes Purchase and Sale Agreement, dated November 29, 2021, by and between, on the one hand, NextEra Energy Marketing, LLC and, on</w:t>
              </w:r>
            </w:hyperlink>
          </w:p>
        </w:tc>
      </w:tr>
      <w:tr>
        <w:trPr>
          <w:trHeight w:val="169"/>
        </w:trPr>
        <w:tc>
          <w:tcPr>
            <w:tcW w:w="1120" w:type="dxa"/>
            <w:vAlign w:val="bottom"/>
          </w:tcPr>
          <w:p>
            <w:pPr>
              <w:spacing w:after="0"/>
              <w:rPr>
                <w:sz w:val="14"/>
                <w:szCs w:val="14"/>
                <w:color w:val="auto"/>
              </w:rPr>
            </w:pPr>
          </w:p>
        </w:tc>
        <w:tc>
          <w:tcPr>
            <w:tcW w:w="10140" w:type="dxa"/>
            <w:vAlign w:val="bottom"/>
            <w:gridSpan w:val="23"/>
          </w:tcPr>
          <w:p>
            <w:pPr>
              <w:spacing w:after="0" w:line="169" w:lineRule="exact"/>
              <w:rPr>
                <w:rFonts w:ascii="Times New Roman" w:cs="Times New Roman" w:eastAsia="Times New Roman" w:hAnsi="Times New Roman"/>
                <w:sz w:val="16"/>
                <w:szCs w:val="16"/>
                <w:color w:val="0000EE"/>
                <w:w w:val="98"/>
              </w:rPr>
            </w:pPr>
            <w:hyperlink r:id="rId321">
              <w:r>
                <w:rPr>
                  <w:rFonts w:ascii="Times New Roman" w:cs="Times New Roman" w:eastAsia="Times New Roman" w:hAnsi="Times New Roman"/>
                  <w:sz w:val="16"/>
                  <w:szCs w:val="16"/>
                  <w:color w:val="0000EE"/>
                  <w:w w:val="98"/>
                </w:rPr>
                <w:t>the other hand, TruStar Energy LLC and OPAL Fuels LLC (incorporated by reference to Exhibit 10.10 to the Registration Statement on Form S-4 (File No. 333-</w:t>
              </w:r>
            </w:hyperlink>
          </w:p>
        </w:tc>
      </w:tr>
      <w:tr>
        <w:trPr>
          <w:trHeight w:val="169"/>
        </w:trPr>
        <w:tc>
          <w:tcPr>
            <w:tcW w:w="1120" w:type="dxa"/>
            <w:vAlign w:val="bottom"/>
          </w:tcPr>
          <w:p>
            <w:pPr>
              <w:spacing w:after="0"/>
              <w:rPr>
                <w:sz w:val="14"/>
                <w:szCs w:val="14"/>
                <w:color w:val="auto"/>
              </w:rPr>
            </w:pPr>
          </w:p>
        </w:tc>
        <w:tc>
          <w:tcPr>
            <w:tcW w:w="2240" w:type="dxa"/>
            <w:vAlign w:val="bottom"/>
            <w:tcBorders>
              <w:top w:val="single" w:sz="8" w:color="0000EE"/>
              <w:bottom w:val="single" w:sz="8" w:color="0000EE"/>
            </w:tcBorders>
            <w:gridSpan w:val="5"/>
          </w:tcPr>
          <w:p>
            <w:pPr>
              <w:spacing w:after="0" w:line="169" w:lineRule="exact"/>
              <w:rPr>
                <w:rFonts w:ascii="Times New Roman" w:cs="Times New Roman" w:eastAsia="Times New Roman" w:hAnsi="Times New Roman"/>
                <w:sz w:val="16"/>
                <w:szCs w:val="16"/>
                <w:color w:val="0000EE"/>
                <w:w w:val="98"/>
              </w:rPr>
            </w:pPr>
            <w:hyperlink r:id="rId321">
              <w:r>
                <w:rPr>
                  <w:rFonts w:ascii="Times New Roman" w:cs="Times New Roman" w:eastAsia="Times New Roman" w:hAnsi="Times New Roman"/>
                  <w:sz w:val="16"/>
                  <w:szCs w:val="16"/>
                  <w:color w:val="0000EE"/>
                  <w:w w:val="98"/>
                </w:rPr>
                <w:t>262583)</w:t>
              </w:r>
              <w:r>
                <w:rPr>
                  <w:rFonts w:ascii="Times New Roman" w:cs="Times New Roman" w:eastAsia="Times New Roman" w:hAnsi="Times New Roman"/>
                  <w:sz w:val="16"/>
                  <w:szCs w:val="16"/>
                  <w:u w:val="single" w:color="auto"/>
                  <w:color w:val="0000EE"/>
                  <w:w w:val="98"/>
                </w:rPr>
                <w:t>,</w:t>
              </w:r>
              <w:r>
                <w:rPr>
                  <w:rFonts w:ascii="Times New Roman" w:cs="Times New Roman" w:eastAsia="Times New Roman" w:hAnsi="Times New Roman"/>
                  <w:sz w:val="16"/>
                  <w:szCs w:val="16"/>
                  <w:color w:val="0000EE"/>
                  <w:w w:val="98"/>
                </w:rPr>
                <w:t xml:space="preserve"> filed on March 25, 2022).</w:t>
              </w:r>
            </w:hyperlink>
          </w:p>
        </w:tc>
        <w:tc>
          <w:tcPr>
            <w:tcW w:w="788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10.13#*</w:t>
            </w:r>
          </w:p>
        </w:tc>
        <w:tc>
          <w:tcPr>
            <w:tcW w:w="10140" w:type="dxa"/>
            <w:vAlign w:val="bottom"/>
            <w:tcBorders>
              <w:bottom w:val="single" w:sz="8" w:color="0000EE"/>
            </w:tcBorders>
            <w:gridSpan w:val="23"/>
            <w:shd w:val="clear" w:color="auto" w:fill="CCEEFF"/>
          </w:tcPr>
          <w:p>
            <w:pPr>
              <w:spacing w:after="0" w:line="169" w:lineRule="exact"/>
              <w:rPr>
                <w:rFonts w:ascii="Times New Roman" w:cs="Times New Roman" w:eastAsia="Times New Roman" w:hAnsi="Times New Roman"/>
                <w:sz w:val="16"/>
                <w:szCs w:val="16"/>
                <w:color w:val="0000EE"/>
                <w:w w:val="98"/>
              </w:rPr>
            </w:pPr>
            <w:hyperlink r:id="rId322">
              <w:r>
                <w:rPr>
                  <w:rFonts w:ascii="Times New Roman" w:cs="Times New Roman" w:eastAsia="Times New Roman" w:hAnsi="Times New Roman"/>
                  <w:sz w:val="16"/>
                  <w:szCs w:val="16"/>
                  <w:color w:val="0000EE"/>
                  <w:w w:val="98"/>
                </w:rPr>
                <w:t>Administrative Services Agreement, dated December 31, 2021, by and between OPAL Fuels and Fortistar Services 2 LLC (incorporated by reference to Exhibit</w:t>
              </w:r>
            </w:hyperlink>
          </w:p>
        </w:tc>
      </w:tr>
      <w:tr>
        <w:trPr>
          <w:trHeight w:val="169"/>
        </w:trPr>
        <w:tc>
          <w:tcPr>
            <w:tcW w:w="1120" w:type="dxa"/>
            <w:vAlign w:val="bottom"/>
            <w:shd w:val="clear" w:color="auto" w:fill="CCEEFF"/>
          </w:tcPr>
          <w:p>
            <w:pPr>
              <w:spacing w:after="0"/>
              <w:rPr>
                <w:sz w:val="14"/>
                <w:szCs w:val="14"/>
                <w:color w:val="auto"/>
              </w:rPr>
            </w:pPr>
          </w:p>
        </w:tc>
        <w:tc>
          <w:tcPr>
            <w:tcW w:w="1014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2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11</w:t>
              </w:r>
              <w:r>
                <w:rPr>
                  <w:rFonts w:ascii="Times New Roman" w:cs="Times New Roman" w:eastAsia="Times New Roman" w:hAnsi="Times New Roman"/>
                  <w:sz w:val="16"/>
                  <w:szCs w:val="16"/>
                  <w:color w:val="0000EE"/>
                </w:rPr>
                <w:t xml:space="preserve"> to the Registration Statement on Form S-4 (File No. 333-262583), filed on March 25, 2022).</w:t>
              </w:r>
            </w:hyperlink>
          </w:p>
        </w:tc>
      </w:tr>
      <w:tr>
        <w:trPr>
          <w:trHeight w:val="35"/>
        </w:trPr>
        <w:tc>
          <w:tcPr>
            <w:tcW w:w="1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10.14#*</w:t>
            </w:r>
          </w:p>
        </w:tc>
        <w:tc>
          <w:tcPr>
            <w:tcW w:w="10140" w:type="dxa"/>
            <w:vAlign w:val="bottom"/>
            <w:tcBorders>
              <w:bottom w:val="single" w:sz="8" w:color="0000EE"/>
            </w:tcBorders>
            <w:gridSpan w:val="23"/>
          </w:tcPr>
          <w:p>
            <w:pPr>
              <w:spacing w:after="0" w:line="154" w:lineRule="exact"/>
              <w:rPr>
                <w:rFonts w:ascii="Times New Roman" w:cs="Times New Roman" w:eastAsia="Times New Roman" w:hAnsi="Times New Roman"/>
                <w:sz w:val="16"/>
                <w:szCs w:val="16"/>
                <w:color w:val="0000EE"/>
                <w:w w:val="99"/>
              </w:rPr>
            </w:pPr>
            <w:hyperlink r:id="rId323">
              <w:r>
                <w:rPr>
                  <w:rFonts w:ascii="Times New Roman" w:cs="Times New Roman" w:eastAsia="Times New Roman" w:hAnsi="Times New Roman"/>
                  <w:sz w:val="16"/>
                  <w:szCs w:val="16"/>
                  <w:color w:val="0000EE"/>
                  <w:w w:val="99"/>
                </w:rPr>
                <w:t>Indemnification and Hold Harmless Agreement, dated December 31, 2020, by and between OPAL Fuels LLC and Fortistar LLC (incorporated by reference to</w:t>
              </w:r>
            </w:hyperlink>
          </w:p>
        </w:tc>
      </w:tr>
      <w:tr>
        <w:trPr>
          <w:trHeight w:val="169"/>
        </w:trPr>
        <w:tc>
          <w:tcPr>
            <w:tcW w:w="1120" w:type="dxa"/>
            <w:vAlign w:val="bottom"/>
          </w:tcPr>
          <w:p>
            <w:pPr>
              <w:spacing w:after="0"/>
              <w:rPr>
                <w:sz w:val="14"/>
                <w:szCs w:val="14"/>
                <w:color w:val="auto"/>
              </w:rPr>
            </w:pPr>
          </w:p>
        </w:tc>
        <w:tc>
          <w:tcPr>
            <w:tcW w:w="6740" w:type="dxa"/>
            <w:vAlign w:val="bottom"/>
            <w:tcBorders>
              <w:bottom w:val="single" w:sz="8" w:color="0000EE"/>
            </w:tcBorders>
            <w:gridSpan w:val="18"/>
          </w:tcPr>
          <w:p>
            <w:pPr>
              <w:spacing w:after="0" w:line="169" w:lineRule="exact"/>
              <w:rPr>
                <w:rFonts w:ascii="Times New Roman" w:cs="Times New Roman" w:eastAsia="Times New Roman" w:hAnsi="Times New Roman"/>
                <w:sz w:val="16"/>
                <w:szCs w:val="16"/>
                <w:color w:val="0000EE"/>
                <w:w w:val="98"/>
              </w:rPr>
            </w:pPr>
            <w:hyperlink r:id="rId323">
              <w:r>
                <w:rPr>
                  <w:rFonts w:ascii="Times New Roman" w:cs="Times New Roman" w:eastAsia="Times New Roman" w:hAnsi="Times New Roman"/>
                  <w:sz w:val="16"/>
                  <w:szCs w:val="16"/>
                  <w:color w:val="0000EE"/>
                  <w:w w:val="98"/>
                </w:rPr>
                <w:t>Exhibit 10.12 to the Registration Statement on Form S-4 (File No. 333-262583), filed on March 25, 2022).</w:t>
              </w:r>
            </w:hyperlink>
          </w:p>
        </w:tc>
        <w:tc>
          <w:tcPr>
            <w:tcW w:w="3400" w:type="dxa"/>
            <w:vAlign w:val="bottom"/>
            <w:gridSpan w:val="5"/>
          </w:tcPr>
          <w:p>
            <w:pPr>
              <w:spacing w:after="0"/>
              <w:rPr>
                <w:sz w:val="14"/>
                <w:szCs w:val="14"/>
                <w:color w:val="auto"/>
              </w:rPr>
            </w:pPr>
          </w:p>
        </w:tc>
      </w:tr>
      <w:tr>
        <w:trPr>
          <w:trHeight w:val="169"/>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10.15#*</w:t>
            </w:r>
          </w:p>
        </w:tc>
        <w:tc>
          <w:tcPr>
            <w:tcW w:w="10140" w:type="dxa"/>
            <w:vAlign w:val="bottom"/>
            <w:tcBorders>
              <w:bottom w:val="single" w:sz="8" w:color="0000EE"/>
            </w:tcBorders>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24">
              <w:r>
                <w:rPr>
                  <w:rFonts w:ascii="Times New Roman" w:cs="Times New Roman" w:eastAsia="Times New Roman" w:hAnsi="Times New Roman"/>
                  <w:sz w:val="16"/>
                  <w:szCs w:val="16"/>
                  <w:color w:val="0000EE"/>
                </w:rPr>
                <w:t>Flue Gas Offtake and Preferred Partner Agreement, dated November 29, 2021, by and between CarbonFree Chemicals Holdings, LLC and OPAL Fuels LLC</w:t>
              </w:r>
            </w:hyperlink>
          </w:p>
        </w:tc>
      </w:tr>
      <w:tr>
        <w:trPr>
          <w:trHeight w:val="169"/>
        </w:trPr>
        <w:tc>
          <w:tcPr>
            <w:tcW w:w="1120" w:type="dxa"/>
            <w:vAlign w:val="bottom"/>
            <w:shd w:val="clear" w:color="auto" w:fill="CCEEFF"/>
          </w:tcPr>
          <w:p>
            <w:pPr>
              <w:spacing w:after="0"/>
              <w:rPr>
                <w:sz w:val="14"/>
                <w:szCs w:val="14"/>
                <w:color w:val="auto"/>
              </w:rPr>
            </w:pPr>
          </w:p>
        </w:tc>
        <w:tc>
          <w:tcPr>
            <w:tcW w:w="1014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24">
              <w:r>
                <w:rPr>
                  <w:rFonts w:ascii="Times New Roman" w:cs="Times New Roman" w:eastAsia="Times New Roman" w:hAnsi="Times New Roman"/>
                  <w:sz w:val="16"/>
                  <w:szCs w:val="16"/>
                  <w:color w:val="0000EE"/>
                </w:rPr>
                <w:t>(incorporated by reference to Exhibit 10.13 to the Registration Statement on Form S-4 (File No. 333-262583), filed on March 25, 2022).</w:t>
              </w:r>
            </w:hyperlink>
          </w:p>
        </w:tc>
      </w:tr>
      <w:tr>
        <w:trPr>
          <w:trHeight w:val="35"/>
        </w:trPr>
        <w:tc>
          <w:tcPr>
            <w:tcW w:w="1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6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10.16*</w:t>
            </w:r>
          </w:p>
        </w:tc>
        <w:tc>
          <w:tcPr>
            <w:tcW w:w="10140" w:type="dxa"/>
            <w:vAlign w:val="bottom"/>
            <w:tcBorders>
              <w:bottom w:val="single" w:sz="8" w:color="0000EE"/>
            </w:tcBorders>
            <w:gridSpan w:val="23"/>
          </w:tcPr>
          <w:p>
            <w:pPr>
              <w:spacing w:after="0" w:line="154" w:lineRule="exact"/>
              <w:rPr>
                <w:rFonts w:ascii="Times New Roman" w:cs="Times New Roman" w:eastAsia="Times New Roman" w:hAnsi="Times New Roman"/>
                <w:sz w:val="16"/>
                <w:szCs w:val="16"/>
                <w:color w:val="0000EE"/>
                <w:w w:val="99"/>
              </w:rPr>
            </w:pPr>
            <w:hyperlink r:id="rId325">
              <w:r>
                <w:rPr>
                  <w:rFonts w:ascii="Times New Roman" w:cs="Times New Roman" w:eastAsia="Times New Roman" w:hAnsi="Times New Roman"/>
                  <w:sz w:val="16"/>
                  <w:szCs w:val="16"/>
                  <w:color w:val="0000EE"/>
                  <w:w w:val="99"/>
                </w:rPr>
                <w:t>Amendment No. 3 to Delayed Draw Term Loan and Guaranty Agreement, dated September 29, 2022 (incorporated by reference to Exhibit 10.1 to the Current</w:t>
              </w:r>
            </w:hyperlink>
          </w:p>
        </w:tc>
      </w:tr>
      <w:tr>
        <w:trPr>
          <w:trHeight w:val="169"/>
        </w:trPr>
        <w:tc>
          <w:tcPr>
            <w:tcW w:w="1120" w:type="dxa"/>
            <w:vAlign w:val="bottom"/>
          </w:tcPr>
          <w:p>
            <w:pPr>
              <w:spacing w:after="0"/>
              <w:rPr>
                <w:sz w:val="14"/>
                <w:szCs w:val="14"/>
                <w:color w:val="auto"/>
              </w:rPr>
            </w:pPr>
          </w:p>
        </w:tc>
        <w:tc>
          <w:tcPr>
            <w:tcW w:w="4060" w:type="dxa"/>
            <w:vAlign w:val="bottom"/>
            <w:tcBorders>
              <w:bottom w:val="single" w:sz="8" w:color="0000EE"/>
            </w:tcBorders>
            <w:gridSpan w:val="9"/>
          </w:tcPr>
          <w:p>
            <w:pPr>
              <w:spacing w:after="0" w:line="169" w:lineRule="exact"/>
              <w:rPr>
                <w:rFonts w:ascii="Times New Roman" w:cs="Times New Roman" w:eastAsia="Times New Roman" w:hAnsi="Times New Roman"/>
                <w:sz w:val="16"/>
                <w:szCs w:val="16"/>
                <w:color w:val="0000EE"/>
                <w:w w:val="98"/>
              </w:rPr>
            </w:pPr>
            <w:hyperlink r:id="rId325">
              <w:r>
                <w:rPr>
                  <w:rFonts w:ascii="Times New Roman" w:cs="Times New Roman" w:eastAsia="Times New Roman" w:hAnsi="Times New Roman"/>
                  <w:sz w:val="16"/>
                  <w:szCs w:val="16"/>
                  <w:color w:val="0000EE"/>
                  <w:w w:val="98"/>
                </w:rPr>
                <w:t>Report on Form 8-K filed by the Company on October 3, 2022).</w:t>
              </w:r>
            </w:hyperlink>
          </w:p>
        </w:tc>
        <w:tc>
          <w:tcPr>
            <w:tcW w:w="6080" w:type="dxa"/>
            <w:vAlign w:val="bottom"/>
            <w:gridSpan w:val="14"/>
          </w:tcPr>
          <w:p>
            <w:pPr>
              <w:spacing w:after="0"/>
              <w:rPr>
                <w:sz w:val="14"/>
                <w:szCs w:val="14"/>
                <w:color w:val="auto"/>
              </w:rPr>
            </w:pPr>
          </w:p>
        </w:tc>
      </w:tr>
      <w:tr>
        <w:trPr>
          <w:trHeight w:val="169"/>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10.17*</w:t>
            </w:r>
          </w:p>
        </w:tc>
        <w:tc>
          <w:tcPr>
            <w:tcW w:w="10140" w:type="dxa"/>
            <w:vAlign w:val="bottom"/>
            <w:tcBorders>
              <w:bottom w:val="single" w:sz="8" w:color="0000EE"/>
            </w:tcBorders>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26">
              <w:r>
                <w:rPr>
                  <w:rFonts w:ascii="Times New Roman" w:cs="Times New Roman" w:eastAsia="Times New Roman" w:hAnsi="Times New Roman"/>
                  <w:sz w:val="16"/>
                  <w:szCs w:val="16"/>
                  <w:color w:val="0000EE"/>
                </w:rPr>
                <w:t>Form of Stock Award Agreement dated September 15, 2022 (incorporated by reference to Exhibit 10.1 to the Current Report on Form 8-K filed by the</w:t>
              </w:r>
            </w:hyperlink>
          </w:p>
        </w:tc>
      </w:tr>
      <w:tr>
        <w:trPr>
          <w:trHeight w:val="184"/>
        </w:trPr>
        <w:tc>
          <w:tcPr>
            <w:tcW w:w="11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0000EE"/>
            </w:tcBorders>
            <w:gridSpan w:val="4"/>
            <w:shd w:val="clear" w:color="auto" w:fill="CCEEFF"/>
          </w:tcPr>
          <w:p>
            <w:pPr>
              <w:spacing w:after="0" w:line="169" w:lineRule="exact"/>
              <w:rPr>
                <w:rFonts w:ascii="Times New Roman" w:cs="Times New Roman" w:eastAsia="Times New Roman" w:hAnsi="Times New Roman"/>
                <w:sz w:val="16"/>
                <w:szCs w:val="16"/>
                <w:color w:val="0000EE"/>
                <w:w w:val="98"/>
              </w:rPr>
            </w:pPr>
            <w:hyperlink r:id="rId326">
              <w:r>
                <w:rPr>
                  <w:rFonts w:ascii="Times New Roman" w:cs="Times New Roman" w:eastAsia="Times New Roman" w:hAnsi="Times New Roman"/>
                  <w:sz w:val="16"/>
                  <w:szCs w:val="16"/>
                  <w:color w:val="0000EE"/>
                  <w:w w:val="98"/>
                </w:rPr>
                <w:t>Company on September 19, 2022).</w:t>
              </w:r>
            </w:hyperlink>
          </w:p>
        </w:tc>
        <w:tc>
          <w:tcPr>
            <w:tcW w:w="7920" w:type="dxa"/>
            <w:vAlign w:val="bottom"/>
            <w:tcBorders>
              <w:bottom w:val="single" w:sz="8" w:color="CCEEFF"/>
            </w:tcBorders>
            <w:gridSpan w:val="19"/>
            <w:shd w:val="clear" w:color="auto" w:fill="CCEEFF"/>
          </w:tcPr>
          <w:p>
            <w:pPr>
              <w:spacing w:after="0"/>
              <w:rPr>
                <w:sz w:val="16"/>
                <w:szCs w:val="16"/>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10.18*</w:t>
            </w:r>
          </w:p>
        </w:tc>
        <w:tc>
          <w:tcPr>
            <w:tcW w:w="10140" w:type="dxa"/>
            <w:vAlign w:val="bottom"/>
            <w:gridSpan w:val="23"/>
          </w:tcPr>
          <w:p>
            <w:pPr>
              <w:spacing w:after="0" w:line="154" w:lineRule="exact"/>
              <w:rPr>
                <w:rFonts w:ascii="Times New Roman" w:cs="Times New Roman" w:eastAsia="Times New Roman" w:hAnsi="Times New Roman"/>
                <w:sz w:val="16"/>
                <w:szCs w:val="16"/>
                <w:color w:val="0000EE"/>
                <w:w w:val="98"/>
              </w:rPr>
            </w:pPr>
            <w:hyperlink r:id="rId327">
              <w:r>
                <w:rPr>
                  <w:rFonts w:ascii="Times New Roman" w:cs="Times New Roman" w:eastAsia="Times New Roman" w:hAnsi="Times New Roman"/>
                  <w:sz w:val="16"/>
                  <w:szCs w:val="16"/>
                  <w:color w:val="0000EE"/>
                  <w:w w:val="98"/>
                </w:rPr>
                <w:t>Forward Purchase Agreement, dated July 18, 2022, among ArcLight Clean Transition Corp. II, Meteora Special Opportunity Fund I, LP, Meteora Select Trading</w:t>
              </w:r>
            </w:hyperlink>
          </w:p>
        </w:tc>
      </w:tr>
      <w:tr>
        <w:trPr>
          <w:trHeight w:val="20"/>
        </w:trPr>
        <w:tc>
          <w:tcPr>
            <w:tcW w:w="1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10140" w:type="dxa"/>
            <w:vAlign w:val="bottom"/>
            <w:gridSpan w:val="23"/>
          </w:tcPr>
          <w:p>
            <w:pPr>
              <w:spacing w:after="0" w:line="169" w:lineRule="exact"/>
              <w:rPr>
                <w:rFonts w:ascii="Times New Roman" w:cs="Times New Roman" w:eastAsia="Times New Roman" w:hAnsi="Times New Roman"/>
                <w:sz w:val="16"/>
                <w:szCs w:val="16"/>
                <w:color w:val="0000EE"/>
                <w:w w:val="98"/>
              </w:rPr>
            </w:pPr>
            <w:hyperlink r:id="rId327">
              <w:r>
                <w:rPr>
                  <w:rFonts w:ascii="Times New Roman" w:cs="Times New Roman" w:eastAsia="Times New Roman" w:hAnsi="Times New Roman"/>
                  <w:sz w:val="16"/>
                  <w:szCs w:val="16"/>
                  <w:color w:val="0000EE"/>
                  <w:w w:val="98"/>
                </w:rPr>
                <w:t>Opportunities Master, LP and Meteora Capital Partners, LP (incorporated by reference to Exhibit 10.1 to the Current Report on Form 8-K filed by the Company</w:t>
              </w:r>
            </w:hyperlink>
          </w:p>
        </w:tc>
      </w:tr>
      <w:tr>
        <w:trPr>
          <w:trHeight w:val="169"/>
        </w:trPr>
        <w:tc>
          <w:tcPr>
            <w:tcW w:w="112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3"/>
          </w:tcPr>
          <w:p>
            <w:pPr>
              <w:spacing w:after="0" w:line="169" w:lineRule="exact"/>
              <w:rPr>
                <w:rFonts w:ascii="Times New Roman" w:cs="Times New Roman" w:eastAsia="Times New Roman" w:hAnsi="Times New Roman"/>
                <w:sz w:val="16"/>
                <w:szCs w:val="16"/>
                <w:color w:val="0000EE"/>
                <w:w w:val="98"/>
              </w:rPr>
            </w:pPr>
            <w:hyperlink r:id="rId327">
              <w:r>
                <w:rPr>
                  <w:rFonts w:ascii="Times New Roman" w:cs="Times New Roman" w:eastAsia="Times New Roman" w:hAnsi="Times New Roman"/>
                  <w:sz w:val="16"/>
                  <w:szCs w:val="16"/>
                  <w:color w:val="0000EE"/>
                  <w:w w:val="98"/>
                </w:rPr>
                <w:t>on July 18, 2022).</w:t>
              </w:r>
            </w:hyperlink>
          </w:p>
        </w:tc>
        <w:tc>
          <w:tcPr>
            <w:tcW w:w="896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10.19*</w:t>
            </w:r>
          </w:p>
        </w:tc>
        <w:tc>
          <w:tcPr>
            <w:tcW w:w="10140" w:type="dxa"/>
            <w:vAlign w:val="bottom"/>
            <w:tcBorders>
              <w:bottom w:val="single" w:sz="8" w:color="0000EE"/>
            </w:tcBorders>
            <w:gridSpan w:val="23"/>
            <w:shd w:val="clear" w:color="auto" w:fill="CCEEFF"/>
          </w:tcPr>
          <w:p>
            <w:pPr>
              <w:spacing w:after="0" w:line="169" w:lineRule="exact"/>
              <w:rPr>
                <w:rFonts w:ascii="Times New Roman" w:cs="Times New Roman" w:eastAsia="Times New Roman" w:hAnsi="Times New Roman"/>
                <w:sz w:val="16"/>
                <w:szCs w:val="16"/>
                <w:color w:val="0000EE"/>
                <w:w w:val="99"/>
              </w:rPr>
            </w:pPr>
            <w:hyperlink r:id="rId328">
              <w:r>
                <w:rPr>
                  <w:rFonts w:ascii="Times New Roman" w:cs="Times New Roman" w:eastAsia="Times New Roman" w:hAnsi="Times New Roman"/>
                  <w:sz w:val="16"/>
                  <w:szCs w:val="16"/>
                  <w:color w:val="0000EE"/>
                  <w:w w:val="99"/>
                </w:rPr>
                <w:t>Credit Agreement, dated August 4, 2022, made by and among OPAL Intermediate Holdco 2 as Borrower, the guarantors, the lenders thereto, Bank of Montreal</w:t>
              </w:r>
            </w:hyperlink>
          </w:p>
        </w:tc>
      </w:tr>
      <w:tr>
        <w:trPr>
          <w:trHeight w:val="169"/>
        </w:trPr>
        <w:tc>
          <w:tcPr>
            <w:tcW w:w="1120" w:type="dxa"/>
            <w:vAlign w:val="bottom"/>
            <w:tcBorders>
              <w:bottom w:val="single" w:sz="8" w:color="CCEEFF"/>
            </w:tcBorders>
            <w:shd w:val="clear" w:color="auto" w:fill="CCEEFF"/>
          </w:tcPr>
          <w:p>
            <w:pPr>
              <w:spacing w:after="0"/>
              <w:rPr>
                <w:sz w:val="14"/>
                <w:szCs w:val="14"/>
                <w:color w:val="auto"/>
              </w:rPr>
            </w:pPr>
          </w:p>
        </w:tc>
        <w:tc>
          <w:tcPr>
            <w:tcW w:w="10140" w:type="dxa"/>
            <w:vAlign w:val="bottom"/>
            <w:tcBorders>
              <w:bottom w:val="single" w:sz="8" w:color="0000EE"/>
            </w:tcBorders>
            <w:gridSpan w:val="23"/>
            <w:shd w:val="clear" w:color="auto" w:fill="CCEEFF"/>
          </w:tcPr>
          <w:p>
            <w:pPr>
              <w:spacing w:after="0" w:line="169" w:lineRule="exact"/>
              <w:rPr>
                <w:rFonts w:ascii="Times New Roman" w:cs="Times New Roman" w:eastAsia="Times New Roman" w:hAnsi="Times New Roman"/>
                <w:sz w:val="16"/>
                <w:szCs w:val="16"/>
                <w:color w:val="0000EE"/>
                <w:w w:val="99"/>
              </w:rPr>
            </w:pPr>
            <w:hyperlink r:id="rId328">
              <w:r>
                <w:rPr>
                  <w:rFonts w:ascii="Times New Roman" w:cs="Times New Roman" w:eastAsia="Times New Roman" w:hAnsi="Times New Roman"/>
                  <w:sz w:val="16"/>
                  <w:szCs w:val="16"/>
                  <w:color w:val="0000EE"/>
                  <w:w w:val="99"/>
                </w:rPr>
                <w:t>as the administration agent, Wilmington Trust as collateral agent and Bank of Montreal, Investec Inc. and Comerica Bank as joint lead arrangers (incorporated</w:t>
              </w:r>
            </w:hyperlink>
          </w:p>
        </w:tc>
      </w:tr>
      <w:tr>
        <w:trPr>
          <w:trHeight w:val="184"/>
        </w:trPr>
        <w:tc>
          <w:tcPr>
            <w:tcW w:w="1120" w:type="dxa"/>
            <w:vAlign w:val="bottom"/>
            <w:tcBorders>
              <w:bottom w:val="single" w:sz="8" w:color="CCEEFF"/>
            </w:tcBorders>
            <w:shd w:val="clear" w:color="auto" w:fill="CCEEFF"/>
          </w:tcPr>
          <w:p>
            <w:pPr>
              <w:spacing w:after="0"/>
              <w:rPr>
                <w:sz w:val="16"/>
                <w:szCs w:val="16"/>
                <w:color w:val="auto"/>
              </w:rPr>
            </w:pPr>
          </w:p>
        </w:tc>
        <w:tc>
          <w:tcPr>
            <w:tcW w:w="6720" w:type="dxa"/>
            <w:vAlign w:val="bottom"/>
            <w:tcBorders>
              <w:bottom w:val="single" w:sz="8" w:color="0000EE"/>
            </w:tcBorders>
            <w:gridSpan w:val="17"/>
            <w:shd w:val="clear" w:color="auto" w:fill="CCEEFF"/>
          </w:tcPr>
          <w:p>
            <w:pPr>
              <w:spacing w:after="0" w:line="169" w:lineRule="exact"/>
              <w:rPr>
                <w:rFonts w:ascii="Times New Roman" w:cs="Times New Roman" w:eastAsia="Times New Roman" w:hAnsi="Times New Roman"/>
                <w:sz w:val="16"/>
                <w:szCs w:val="16"/>
                <w:color w:val="0000EE"/>
                <w:w w:val="98"/>
              </w:rPr>
            </w:pPr>
            <w:hyperlink r:id="rId328">
              <w:r>
                <w:rPr>
                  <w:rFonts w:ascii="Times New Roman" w:cs="Times New Roman" w:eastAsia="Times New Roman" w:hAnsi="Times New Roman"/>
                  <w:sz w:val="16"/>
                  <w:szCs w:val="16"/>
                  <w:color w:val="0000EE"/>
                  <w:w w:val="98"/>
                </w:rPr>
                <w:t>by reference to Exhibit 10.1 to the Current Report on Form 8-K filed by the Company on August 8, 2022).</w:t>
              </w:r>
            </w:hyperlink>
          </w:p>
        </w:tc>
        <w:tc>
          <w:tcPr>
            <w:tcW w:w="3420" w:type="dxa"/>
            <w:vAlign w:val="bottom"/>
            <w:tcBorders>
              <w:bottom w:val="single" w:sz="8" w:color="CCEEFF"/>
            </w:tcBorders>
            <w:gridSpan w:val="6"/>
            <w:shd w:val="clear" w:color="auto" w:fill="CCEEFF"/>
          </w:tcPr>
          <w:p>
            <w:pPr>
              <w:spacing w:after="0"/>
              <w:rPr>
                <w:sz w:val="16"/>
                <w:szCs w:val="16"/>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10.20*</w:t>
            </w:r>
          </w:p>
        </w:tc>
        <w:tc>
          <w:tcPr>
            <w:tcW w:w="10140" w:type="dxa"/>
            <w:vAlign w:val="bottom"/>
            <w:tcBorders>
              <w:bottom w:val="single" w:sz="8" w:color="0000EE"/>
            </w:tcBorders>
            <w:gridSpan w:val="23"/>
          </w:tcPr>
          <w:p>
            <w:pPr>
              <w:spacing w:after="0" w:line="154" w:lineRule="exact"/>
              <w:rPr>
                <w:rFonts w:ascii="Times New Roman" w:cs="Times New Roman" w:eastAsia="Times New Roman" w:hAnsi="Times New Roman"/>
                <w:sz w:val="16"/>
                <w:szCs w:val="16"/>
                <w:color w:val="0000EE"/>
                <w:w w:val="99"/>
              </w:rPr>
            </w:pPr>
            <w:hyperlink r:id="rId329">
              <w:r>
                <w:rPr>
                  <w:rFonts w:ascii="Times New Roman" w:cs="Times New Roman" w:eastAsia="Times New Roman" w:hAnsi="Times New Roman"/>
                  <w:sz w:val="16"/>
                  <w:szCs w:val="16"/>
                  <w:color w:val="0000EE"/>
                  <w:w w:val="99"/>
                </w:rPr>
                <w:t>Promissory Note, dated as of May 16, 2022, by and between Arclight and Sponsor (incorporated by reference to Exhibit 10.6 to the Quarterly Report on Form</w:t>
              </w:r>
            </w:hyperlink>
          </w:p>
        </w:tc>
      </w:tr>
      <w:tr>
        <w:trPr>
          <w:trHeight w:val="169"/>
        </w:trPr>
        <w:tc>
          <w:tcPr>
            <w:tcW w:w="1120" w:type="dxa"/>
            <w:vAlign w:val="bottom"/>
          </w:tcPr>
          <w:p>
            <w:pPr>
              <w:spacing w:after="0"/>
              <w:rPr>
                <w:sz w:val="14"/>
                <w:szCs w:val="14"/>
                <w:color w:val="auto"/>
              </w:rPr>
            </w:pPr>
          </w:p>
        </w:tc>
        <w:tc>
          <w:tcPr>
            <w:tcW w:w="3120" w:type="dxa"/>
            <w:vAlign w:val="bottom"/>
            <w:tcBorders>
              <w:bottom w:val="single" w:sz="8" w:color="0000EE"/>
            </w:tcBorders>
            <w:gridSpan w:val="8"/>
          </w:tcPr>
          <w:p>
            <w:pPr>
              <w:spacing w:after="0" w:line="169" w:lineRule="exact"/>
              <w:rPr>
                <w:rFonts w:ascii="Times New Roman" w:cs="Times New Roman" w:eastAsia="Times New Roman" w:hAnsi="Times New Roman"/>
                <w:sz w:val="16"/>
                <w:szCs w:val="16"/>
                <w:color w:val="0000EE"/>
                <w:w w:val="98"/>
              </w:rPr>
            </w:pPr>
            <w:hyperlink r:id="rId329">
              <w:r>
                <w:rPr>
                  <w:rFonts w:ascii="Times New Roman" w:cs="Times New Roman" w:eastAsia="Times New Roman" w:hAnsi="Times New Roman"/>
                  <w:sz w:val="16"/>
                  <w:szCs w:val="16"/>
                  <w:color w:val="0000EE"/>
                  <w:w w:val="98"/>
                </w:rPr>
                <w:t>10-Q filed by the Company on August 10, 2022).</w:t>
              </w:r>
            </w:hyperlink>
          </w:p>
        </w:tc>
        <w:tc>
          <w:tcPr>
            <w:tcW w:w="7020" w:type="dxa"/>
            <w:vAlign w:val="bottom"/>
            <w:gridSpan w:val="15"/>
          </w:tcPr>
          <w:p>
            <w:pPr>
              <w:spacing w:after="0"/>
              <w:rPr>
                <w:sz w:val="14"/>
                <w:szCs w:val="14"/>
                <w:color w:val="auto"/>
              </w:rPr>
            </w:pPr>
          </w:p>
        </w:tc>
      </w:tr>
      <w:tr>
        <w:trPr>
          <w:trHeight w:val="169"/>
        </w:trPr>
        <w:tc>
          <w:tcPr>
            <w:tcW w:w="1120" w:type="dxa"/>
            <w:vAlign w:val="bottom"/>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10.21**</w:t>
            </w:r>
          </w:p>
        </w:tc>
        <w:tc>
          <w:tcPr>
            <w:tcW w:w="10140" w:type="dxa"/>
            <w:vAlign w:val="bottom"/>
            <w:gridSpan w:val="2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rPr>
              <w:t>Dealer Manager Agreement, dated as of November 18, 2022, by and between OPAL Fuels Inc. and BofA Securities, Inc., as dealer manager.</w:t>
            </w:r>
          </w:p>
        </w:tc>
      </w:tr>
      <w:tr>
        <w:trPr>
          <w:trHeight w:val="35"/>
        </w:trPr>
        <w:tc>
          <w:tcPr>
            <w:tcW w:w="1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10.22**</w:t>
            </w:r>
          </w:p>
        </w:tc>
        <w:tc>
          <w:tcPr>
            <w:tcW w:w="10140" w:type="dxa"/>
            <w:vAlign w:val="bottom"/>
            <w:gridSpan w:val="23"/>
          </w:tcPr>
          <w:p>
            <w:pPr>
              <w:spacing w:after="0" w:line="154" w:lineRule="exact"/>
              <w:rPr>
                <w:sz w:val="20"/>
                <w:szCs w:val="20"/>
                <w:color w:val="auto"/>
              </w:rPr>
            </w:pPr>
            <w:r>
              <w:rPr>
                <w:rFonts w:ascii="Times New Roman" w:cs="Times New Roman" w:eastAsia="Times New Roman" w:hAnsi="Times New Roman"/>
                <w:sz w:val="16"/>
                <w:szCs w:val="16"/>
                <w:color w:val="0000EE"/>
              </w:rPr>
              <w:t>Tender and Support Agreement, dated as of November 18, 2022, by and among OPAL Fuels Inc. and the public warrant holders and private warrant holders</w:t>
            </w:r>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EE"/>
            </w:tcBorders>
            <w:gridSpan w:val="22"/>
          </w:tcPr>
          <w:p>
            <w:pPr>
              <w:spacing w:after="0" w:line="169" w:lineRule="exact"/>
              <w:rPr>
                <w:sz w:val="20"/>
                <w:szCs w:val="20"/>
                <w:color w:val="auto"/>
              </w:rPr>
            </w:pPr>
            <w:r>
              <w:rPr>
                <w:rFonts w:ascii="Times New Roman" w:cs="Times New Roman" w:eastAsia="Times New Roman" w:hAnsi="Times New Roman"/>
                <w:sz w:val="16"/>
                <w:szCs w:val="16"/>
                <w:color w:val="0000EE"/>
              </w:rPr>
              <w:t>party thereto.</w:t>
            </w: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1120" w:type="dxa"/>
            <w:vAlign w:val="bottom"/>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21.1*</w:t>
            </w:r>
          </w:p>
        </w:tc>
        <w:tc>
          <w:tcPr>
            <w:tcW w:w="10140" w:type="dxa"/>
            <w:vAlign w:val="bottom"/>
            <w:gridSpan w:val="23"/>
            <w:shd w:val="clear" w:color="auto" w:fill="CCEEFF"/>
          </w:tcPr>
          <w:p>
            <w:pPr>
              <w:spacing w:after="0" w:line="169" w:lineRule="exact"/>
              <w:rPr>
                <w:rFonts w:ascii="Times New Roman" w:cs="Times New Roman" w:eastAsia="Times New Roman" w:hAnsi="Times New Roman"/>
                <w:sz w:val="16"/>
                <w:szCs w:val="16"/>
                <w:color w:val="0000EE"/>
              </w:rPr>
            </w:pPr>
            <w:hyperlink r:id="rId330">
              <w:r>
                <w:rPr>
                  <w:rFonts w:ascii="Times New Roman" w:cs="Times New Roman" w:eastAsia="Times New Roman" w:hAnsi="Times New Roman"/>
                  <w:sz w:val="16"/>
                  <w:szCs w:val="16"/>
                  <w:color w:val="0000EE"/>
                </w:rPr>
                <w:t>List of subsidiaries (incorporated by reference to Exhibit 21.1 to the Current Report on Form 8-K filed by the Company on July 27, 2022).</w:t>
              </w:r>
            </w:hyperlink>
          </w:p>
        </w:tc>
      </w:tr>
      <w:tr>
        <w:trPr>
          <w:trHeight w:val="154"/>
        </w:trPr>
        <w:tc>
          <w:tcPr>
            <w:tcW w:w="1120" w:type="dxa"/>
            <w:vAlign w:val="bottom"/>
            <w:tcBorders>
              <w:top w:val="single" w:sz="8" w:color="CCEEFF"/>
            </w:tcBorders>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23.1**</w:t>
            </w:r>
          </w:p>
        </w:tc>
        <w:tc>
          <w:tcPr>
            <w:tcW w:w="5640" w:type="dxa"/>
            <w:vAlign w:val="bottom"/>
            <w:tcBorders>
              <w:top w:val="single" w:sz="8" w:color="0000EE"/>
              <w:bottom w:val="single" w:sz="8" w:color="0000EE"/>
            </w:tcBorders>
            <w:gridSpan w:val="13"/>
          </w:tcPr>
          <w:p>
            <w:pPr>
              <w:spacing w:after="0" w:line="154" w:lineRule="exact"/>
              <w:rPr>
                <w:sz w:val="20"/>
                <w:szCs w:val="20"/>
                <w:color w:val="auto"/>
              </w:rPr>
            </w:pPr>
            <w:r>
              <w:rPr>
                <w:rFonts w:ascii="Times New Roman" w:cs="Times New Roman" w:eastAsia="Times New Roman" w:hAnsi="Times New Roman"/>
                <w:sz w:val="16"/>
                <w:szCs w:val="16"/>
                <w:color w:val="0000EE"/>
                <w:w w:val="97"/>
              </w:rPr>
              <w:t>Consent of BDO USA, LLP, independent registered accounting firm for OPAL Fuels Inc.</w:t>
            </w:r>
          </w:p>
        </w:tc>
        <w:tc>
          <w:tcPr>
            <w:tcW w:w="3080" w:type="dxa"/>
            <w:vAlign w:val="bottom"/>
            <w:tcBorders>
              <w:top w:val="single" w:sz="8" w:color="0000EE"/>
            </w:tcBorders>
            <w:gridSpan w:val="7"/>
          </w:tcPr>
          <w:p>
            <w:pPr>
              <w:spacing w:after="0"/>
              <w:rPr>
                <w:sz w:val="13"/>
                <w:szCs w:val="13"/>
                <w:color w:val="auto"/>
              </w:rPr>
            </w:pPr>
          </w:p>
        </w:tc>
        <w:tc>
          <w:tcPr>
            <w:tcW w:w="1420" w:type="dxa"/>
            <w:vAlign w:val="bottom"/>
            <w:tcBorders>
              <w:top w:val="single" w:sz="8" w:color="CCEEFF"/>
            </w:tcBorders>
            <w:gridSpan w:val="3"/>
          </w:tcPr>
          <w:p>
            <w:pPr>
              <w:spacing w:after="0"/>
              <w:rPr>
                <w:sz w:val="13"/>
                <w:szCs w:val="13"/>
                <w:color w:val="auto"/>
              </w:rPr>
            </w:pPr>
          </w:p>
        </w:tc>
      </w:tr>
      <w:tr>
        <w:trPr>
          <w:trHeight w:val="184"/>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23.2**</w:t>
            </w:r>
          </w:p>
        </w:tc>
        <w:tc>
          <w:tcPr>
            <w:tcW w:w="4580" w:type="dxa"/>
            <w:vAlign w:val="bottom"/>
            <w:tcBorders>
              <w:bottom w:val="single" w:sz="8" w:color="0000EE"/>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7"/>
              </w:rPr>
              <w:t>Consent of BDO USA, LLP, independent auditor for Beacon RNG LLC.</w:t>
            </w:r>
          </w:p>
        </w:tc>
        <w:tc>
          <w:tcPr>
            <w:tcW w:w="5560" w:type="dxa"/>
            <w:vAlign w:val="bottom"/>
            <w:tcBorders>
              <w:bottom w:val="single" w:sz="8" w:color="CCEEFF"/>
            </w:tcBorders>
            <w:gridSpan w:val="13"/>
            <w:shd w:val="clear" w:color="auto" w:fill="CCEEFF"/>
          </w:tcPr>
          <w:p>
            <w:pPr>
              <w:spacing w:after="0"/>
              <w:rPr>
                <w:sz w:val="16"/>
                <w:szCs w:val="16"/>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23.3**</w:t>
            </w:r>
          </w:p>
        </w:tc>
        <w:tc>
          <w:tcPr>
            <w:tcW w:w="5580" w:type="dxa"/>
            <w:vAlign w:val="bottom"/>
            <w:tcBorders>
              <w:bottom w:val="single" w:sz="8" w:color="0000EE"/>
            </w:tcBorders>
            <w:gridSpan w:val="12"/>
          </w:tcPr>
          <w:p>
            <w:pPr>
              <w:spacing w:after="0" w:line="154" w:lineRule="exact"/>
              <w:rPr>
                <w:sz w:val="20"/>
                <w:szCs w:val="20"/>
                <w:color w:val="auto"/>
              </w:rPr>
            </w:pPr>
            <w:r>
              <w:rPr>
                <w:rFonts w:ascii="Times New Roman" w:cs="Times New Roman" w:eastAsia="Times New Roman" w:hAnsi="Times New Roman"/>
                <w:sz w:val="16"/>
                <w:szCs w:val="16"/>
                <w:color w:val="0000EE"/>
                <w:w w:val="98"/>
              </w:rPr>
              <w:t>Consent of Sheppard, Mullin, Richter &amp; Hampton LLP (included as part of Exhibit 5.1).</w:t>
            </w:r>
          </w:p>
        </w:tc>
        <w:tc>
          <w:tcPr>
            <w:tcW w:w="4560" w:type="dxa"/>
            <w:vAlign w:val="bottom"/>
            <w:gridSpan w:val="11"/>
          </w:tcPr>
          <w:p>
            <w:pPr>
              <w:spacing w:after="0"/>
              <w:rPr>
                <w:sz w:val="13"/>
                <w:szCs w:val="13"/>
                <w:color w:val="auto"/>
              </w:rPr>
            </w:pPr>
          </w:p>
        </w:tc>
      </w:tr>
      <w:tr>
        <w:trPr>
          <w:trHeight w:val="184"/>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24.1**</w:t>
            </w:r>
          </w:p>
        </w:tc>
        <w:tc>
          <w:tcPr>
            <w:tcW w:w="6080" w:type="dxa"/>
            <w:vAlign w:val="bottom"/>
            <w:tcBorders>
              <w:bottom w:val="single" w:sz="8" w:color="0000EE"/>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8"/>
              </w:rPr>
              <w:t>Power of Attorney (included on signature page to the initial filing of this registration statement).</w:t>
            </w:r>
          </w:p>
        </w:tc>
        <w:tc>
          <w:tcPr>
            <w:tcW w:w="4060" w:type="dxa"/>
            <w:vAlign w:val="bottom"/>
            <w:tcBorders>
              <w:bottom w:val="single" w:sz="8" w:color="CCEEFF"/>
            </w:tcBorders>
            <w:gridSpan w:val="8"/>
            <w:shd w:val="clear" w:color="auto" w:fill="CCEEFF"/>
          </w:tcPr>
          <w:p>
            <w:pPr>
              <w:spacing w:after="0"/>
              <w:rPr>
                <w:sz w:val="16"/>
                <w:szCs w:val="16"/>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99.1**</w:t>
            </w:r>
          </w:p>
        </w:tc>
        <w:tc>
          <w:tcPr>
            <w:tcW w:w="10140" w:type="dxa"/>
            <w:vAlign w:val="bottom"/>
            <w:gridSpan w:val="23"/>
          </w:tcPr>
          <w:p>
            <w:pPr>
              <w:spacing w:after="0" w:line="154" w:lineRule="exact"/>
              <w:rPr>
                <w:sz w:val="20"/>
                <w:szCs w:val="20"/>
                <w:color w:val="auto"/>
              </w:rPr>
            </w:pPr>
            <w:r>
              <w:rPr>
                <w:rFonts w:ascii="Times New Roman" w:cs="Times New Roman" w:eastAsia="Times New Roman" w:hAnsi="Times New Roman"/>
                <w:sz w:val="16"/>
                <w:szCs w:val="16"/>
                <w:color w:val="0000EE"/>
              </w:rPr>
              <w:t>Form of Letter of Transmittal and Consent.</w:t>
            </w:r>
          </w:p>
        </w:tc>
      </w:tr>
      <w:tr>
        <w:trPr>
          <w:trHeight w:val="184"/>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2540" w:type="dxa"/>
            <w:vAlign w:val="bottom"/>
            <w:tcBorders>
              <w:top w:val="single" w:sz="8" w:color="0000EE"/>
              <w:bottom w:val="single" w:sz="8" w:color="0000EE"/>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7"/>
              </w:rPr>
              <w:t>Form of Notice of Guaranteed Delivery.</w:t>
            </w: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7420" w:type="dxa"/>
            <w:vAlign w:val="bottom"/>
            <w:tcBorders>
              <w:bottom w:val="single" w:sz="8" w:color="CCEEFF"/>
            </w:tcBorders>
            <w:gridSpan w:val="16"/>
            <w:shd w:val="clear" w:color="auto" w:fill="CCEEFF"/>
          </w:tcPr>
          <w:p>
            <w:pPr>
              <w:spacing w:after="0"/>
              <w:rPr>
                <w:sz w:val="16"/>
                <w:szCs w:val="16"/>
                <w:color w:val="auto"/>
              </w:rPr>
            </w:pP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99.3**</w:t>
            </w:r>
          </w:p>
        </w:tc>
        <w:tc>
          <w:tcPr>
            <w:tcW w:w="6060" w:type="dxa"/>
            <w:vAlign w:val="bottom"/>
            <w:tcBorders>
              <w:bottom w:val="single" w:sz="8" w:color="0000EE"/>
            </w:tcBorders>
            <w:gridSpan w:val="14"/>
          </w:tcPr>
          <w:p>
            <w:pPr>
              <w:spacing w:after="0" w:line="154" w:lineRule="exact"/>
              <w:rPr>
                <w:sz w:val="20"/>
                <w:szCs w:val="20"/>
                <w:color w:val="auto"/>
              </w:rPr>
            </w:pPr>
            <w:r>
              <w:rPr>
                <w:rFonts w:ascii="Times New Roman" w:cs="Times New Roman" w:eastAsia="Times New Roman" w:hAnsi="Times New Roman"/>
                <w:sz w:val="16"/>
                <w:szCs w:val="16"/>
                <w:color w:val="0000EE"/>
                <w:w w:val="98"/>
              </w:rPr>
              <w:t>Form of Letter to Brokers, Dealers, Commercial Banks, Trust Companies, and Other Nominees.</w:t>
            </w:r>
          </w:p>
        </w:tc>
        <w:tc>
          <w:tcPr>
            <w:tcW w:w="4080" w:type="dxa"/>
            <w:vAlign w:val="bottom"/>
            <w:gridSpan w:val="9"/>
          </w:tcPr>
          <w:p>
            <w:pPr>
              <w:spacing w:after="0"/>
              <w:rPr>
                <w:sz w:val="13"/>
                <w:szCs w:val="13"/>
                <w:color w:val="auto"/>
              </w:rPr>
            </w:pPr>
          </w:p>
        </w:tc>
      </w:tr>
      <w:tr>
        <w:trPr>
          <w:trHeight w:val="184"/>
        </w:trPr>
        <w:tc>
          <w:tcPr>
            <w:tcW w:w="1120" w:type="dxa"/>
            <w:vAlign w:val="bottom"/>
            <w:tcBorders>
              <w:bottom w:val="single" w:sz="8" w:color="CCEEFF"/>
            </w:tcBorders>
            <w:shd w:val="clear" w:color="auto" w:fill="CCEEFF"/>
          </w:tcPr>
          <w:p>
            <w:pPr>
              <w:jc w:val="center"/>
              <w:ind w:right="41"/>
              <w:spacing w:after="0" w:line="169" w:lineRule="exact"/>
              <w:rPr>
                <w:sz w:val="20"/>
                <w:szCs w:val="20"/>
                <w:color w:val="auto"/>
              </w:rPr>
            </w:pPr>
            <w:r>
              <w:rPr>
                <w:rFonts w:ascii="Times New Roman" w:cs="Times New Roman" w:eastAsia="Times New Roman" w:hAnsi="Times New Roman"/>
                <w:sz w:val="16"/>
                <w:szCs w:val="16"/>
                <w:color w:val="auto"/>
                <w:w w:val="99"/>
              </w:rPr>
              <w:t>99.4**</w:t>
            </w:r>
          </w:p>
        </w:tc>
        <w:tc>
          <w:tcPr>
            <w:tcW w:w="6720" w:type="dxa"/>
            <w:vAlign w:val="bottom"/>
            <w:tcBorders>
              <w:bottom w:val="single" w:sz="8" w:color="0000EE"/>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EE"/>
                <w:w w:val="98"/>
              </w:rPr>
              <w:t>Form of Letter to Clients of Brokers, Dealers, Commercial Banks, Trust Companies, and Other Nominees.</w:t>
            </w:r>
          </w:p>
        </w:tc>
        <w:tc>
          <w:tcPr>
            <w:tcW w:w="3420" w:type="dxa"/>
            <w:vAlign w:val="bottom"/>
            <w:tcBorders>
              <w:bottom w:val="single" w:sz="8" w:color="CCEEFF"/>
            </w:tcBorders>
            <w:gridSpan w:val="6"/>
            <w:shd w:val="clear" w:color="auto" w:fill="CCEEFF"/>
          </w:tcPr>
          <w:p>
            <w:pPr>
              <w:spacing w:after="0"/>
              <w:rPr>
                <w:sz w:val="16"/>
                <w:szCs w:val="16"/>
                <w:color w:val="auto"/>
              </w:rPr>
            </w:pPr>
          </w:p>
        </w:tc>
      </w:tr>
      <w:tr>
        <w:trPr>
          <w:trHeight w:val="172"/>
        </w:trPr>
        <w:tc>
          <w:tcPr>
            <w:tcW w:w="1120" w:type="dxa"/>
            <w:vAlign w:val="bottom"/>
          </w:tcPr>
          <w:p>
            <w:pPr>
              <w:jc w:val="center"/>
              <w:ind w:right="41"/>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0140" w:type="dxa"/>
            <w:vAlign w:val="bottom"/>
            <w:gridSpan w:val="23"/>
          </w:tcPr>
          <w:p>
            <w:pPr>
              <w:spacing w:after="0" w:line="172" w:lineRule="exact"/>
              <w:rPr>
                <w:sz w:val="20"/>
                <w:szCs w:val="20"/>
                <w:color w:val="auto"/>
              </w:rPr>
            </w:pPr>
            <w:r>
              <w:rPr>
                <w:rFonts w:ascii="Times New Roman" w:cs="Times New Roman" w:eastAsia="Times New Roman" w:hAnsi="Times New Roman"/>
                <w:sz w:val="16"/>
                <w:szCs w:val="16"/>
                <w:color w:val="auto"/>
              </w:rPr>
              <w:t>The following materials from OPAL Fuels Inc.’s Quarterly Report on Form 10Q for the quarter ended September 30, 2022, formatted in eXtensible Business</w:t>
            </w:r>
          </w:p>
        </w:tc>
      </w:tr>
      <w:tr>
        <w:trPr>
          <w:trHeight w:val="189"/>
        </w:trPr>
        <w:tc>
          <w:tcPr>
            <w:tcW w:w="1120" w:type="dxa"/>
            <w:vAlign w:val="bottom"/>
          </w:tcPr>
          <w:p>
            <w:pPr>
              <w:spacing w:after="0"/>
              <w:rPr>
                <w:sz w:val="16"/>
                <w:szCs w:val="16"/>
                <w:color w:val="auto"/>
              </w:rPr>
            </w:pPr>
          </w:p>
        </w:tc>
        <w:tc>
          <w:tcPr>
            <w:tcW w:w="10140" w:type="dxa"/>
            <w:vAlign w:val="bottom"/>
            <w:gridSpan w:val="23"/>
          </w:tcPr>
          <w:p>
            <w:pPr>
              <w:spacing w:after="0"/>
              <w:rPr>
                <w:sz w:val="20"/>
                <w:szCs w:val="20"/>
                <w:color w:val="auto"/>
              </w:rPr>
            </w:pPr>
            <w:r>
              <w:rPr>
                <w:rFonts w:ascii="Times New Roman" w:cs="Times New Roman" w:eastAsia="Times New Roman" w:hAnsi="Times New Roman"/>
                <w:sz w:val="16"/>
                <w:szCs w:val="16"/>
                <w:color w:val="auto"/>
                <w:w w:val="99"/>
              </w:rPr>
              <w:t>Reporting Language (XBRL): (i) Condensed Consolidated Balance Sheets (unaudited), (ii) Condensed Consolidated Statements of Operations (unaudited), (iii)</w:t>
            </w:r>
          </w:p>
        </w:tc>
      </w:tr>
      <w:tr>
        <w:trPr>
          <w:trHeight w:val="189"/>
        </w:trPr>
        <w:tc>
          <w:tcPr>
            <w:tcW w:w="1120" w:type="dxa"/>
            <w:vAlign w:val="bottom"/>
          </w:tcPr>
          <w:p>
            <w:pPr>
              <w:spacing w:after="0"/>
              <w:rPr>
                <w:sz w:val="16"/>
                <w:szCs w:val="16"/>
                <w:color w:val="auto"/>
              </w:rPr>
            </w:pPr>
          </w:p>
        </w:tc>
        <w:tc>
          <w:tcPr>
            <w:tcW w:w="10140" w:type="dxa"/>
            <w:vAlign w:val="bottom"/>
            <w:gridSpan w:val="23"/>
          </w:tcPr>
          <w:p>
            <w:pPr>
              <w:spacing w:after="0"/>
              <w:rPr>
                <w:sz w:val="20"/>
                <w:szCs w:val="20"/>
                <w:color w:val="auto"/>
              </w:rPr>
            </w:pPr>
            <w:r>
              <w:rPr>
                <w:rFonts w:ascii="Times New Roman" w:cs="Times New Roman" w:eastAsia="Times New Roman" w:hAnsi="Times New Roman"/>
                <w:sz w:val="16"/>
                <w:szCs w:val="16"/>
                <w:color w:val="auto"/>
                <w:w w:val="99"/>
              </w:rPr>
              <w:t>Condensed Consolidated Statements of Comprehensive Income (unaudited), (iv) Condensed Consolidated Statements of Stockholders’ Equity (unaudited), (v)</w:t>
            </w:r>
          </w:p>
        </w:tc>
      </w:tr>
      <w:tr>
        <w:trPr>
          <w:trHeight w:val="206"/>
        </w:trPr>
        <w:tc>
          <w:tcPr>
            <w:tcW w:w="1120" w:type="dxa"/>
            <w:vAlign w:val="bottom"/>
          </w:tcPr>
          <w:p>
            <w:pPr>
              <w:spacing w:after="0"/>
              <w:rPr>
                <w:sz w:val="17"/>
                <w:szCs w:val="17"/>
                <w:color w:val="auto"/>
              </w:rPr>
            </w:pPr>
          </w:p>
        </w:tc>
        <w:tc>
          <w:tcPr>
            <w:tcW w:w="1014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 and (vi) Notes to Condensed Consolidated Financial Statements (unaudited)</w:t>
            </w:r>
          </w:p>
        </w:tc>
      </w:tr>
      <w:tr>
        <w:trPr>
          <w:trHeight w:val="189"/>
        </w:trPr>
        <w:tc>
          <w:tcPr>
            <w:tcW w:w="112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9"/>
              </w:rPr>
              <w:t>104**</w:t>
            </w:r>
          </w:p>
        </w:tc>
        <w:tc>
          <w:tcPr>
            <w:tcW w:w="101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r>
        <w:trPr>
          <w:trHeight w:val="154"/>
        </w:trPr>
        <w:tc>
          <w:tcPr>
            <w:tcW w:w="1120" w:type="dxa"/>
            <w:vAlign w:val="bottom"/>
          </w:tcPr>
          <w:p>
            <w:pPr>
              <w:jc w:val="center"/>
              <w:ind w:right="41"/>
              <w:spacing w:after="0" w:line="154" w:lineRule="exact"/>
              <w:rPr>
                <w:sz w:val="20"/>
                <w:szCs w:val="20"/>
                <w:color w:val="auto"/>
              </w:rPr>
            </w:pPr>
            <w:r>
              <w:rPr>
                <w:rFonts w:ascii="Times New Roman" w:cs="Times New Roman" w:eastAsia="Times New Roman" w:hAnsi="Times New Roman"/>
                <w:sz w:val="16"/>
                <w:szCs w:val="16"/>
                <w:color w:val="auto"/>
                <w:w w:val="99"/>
              </w:rPr>
              <w:t>107**</w:t>
            </w:r>
          </w:p>
        </w:tc>
        <w:tc>
          <w:tcPr>
            <w:tcW w:w="1040" w:type="dxa"/>
            <w:vAlign w:val="bottom"/>
            <w:tcBorders>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6"/>
                <w:szCs w:val="16"/>
                <w:color w:val="0000EE"/>
                <w:w w:val="96"/>
              </w:rPr>
              <w:t>Filing Fee Table</w:t>
            </w:r>
          </w:p>
        </w:tc>
        <w:tc>
          <w:tcPr>
            <w:tcW w:w="9100" w:type="dxa"/>
            <w:vAlign w:val="bottom"/>
            <w:gridSpan w:val="21"/>
          </w:tcPr>
          <w:p>
            <w:pPr>
              <w:spacing w:after="0"/>
              <w:rPr>
                <w:sz w:val="13"/>
                <w:szCs w:val="13"/>
                <w:color w:val="auto"/>
              </w:rPr>
            </w:pPr>
          </w:p>
        </w:tc>
      </w:tr>
    </w:tbl>
    <w:p>
      <w:pPr>
        <w:spacing w:after="0" w:line="220" w:lineRule="exact"/>
        <w:rPr>
          <w:sz w:val="20"/>
          <w:szCs w:val="20"/>
          <w:color w:val="auto"/>
        </w:rPr>
      </w:pPr>
    </w:p>
    <w:p>
      <w:pPr>
        <w:ind w:left="20" w:right="9900" w:hanging="10"/>
        <w:spacing w:after="0" w:line="328" w:lineRule="auto"/>
        <w:tabs>
          <w:tab w:leader="none" w:pos="327"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 Filed herewith.</w:t>
      </w:r>
    </w:p>
    <w:p>
      <w:pPr>
        <w:spacing w:after="0" w:line="1" w:lineRule="exact"/>
        <w:rPr>
          <w:sz w:val="20"/>
          <w:szCs w:val="20"/>
          <w:color w:val="auto"/>
        </w:rPr>
      </w:pPr>
    </w:p>
    <w:p>
      <w:pPr>
        <w:ind w:left="320" w:right="20" w:hanging="310"/>
        <w:spacing w:after="0" w:line="275" w:lineRule="auto"/>
        <w:tabs>
          <w:tab w:leader="none" w:pos="3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to this Exhibit omitted pursuant to Regulation S-K Item 601(b)(2). The Company agrees to furnish supplementally a copy of any omitted schedule or exhibit to the SEC upon request.</w:t>
      </w:r>
    </w:p>
    <w:p>
      <w:pPr>
        <w:spacing w:after="0" w:line="4" w:lineRule="exact"/>
        <w:rPr>
          <w:sz w:val="20"/>
          <w:szCs w:val="20"/>
          <w:color w:val="auto"/>
        </w:rPr>
      </w:pPr>
    </w:p>
    <w:p>
      <w:pPr>
        <w:ind w:left="320" w:right="20" w:hanging="310"/>
        <w:spacing w:after="0" w:line="275" w:lineRule="auto"/>
        <w:tabs>
          <w:tab w:leader="none" w:pos="3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71" w:right="3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b w:val="1"/>
          <w:bCs w:val="1"/>
          <w:color w:val="auto"/>
        </w:rPr>
        <w:t>Item 22. Undertakings.</w:t>
      </w:r>
    </w:p>
    <w:p>
      <w:pPr>
        <w:spacing w:after="0" w:line="196" w:lineRule="exact"/>
        <w:rPr>
          <w:sz w:val="20"/>
          <w:szCs w:val="20"/>
          <w:color w:val="auto"/>
        </w:rPr>
      </w:pPr>
    </w:p>
    <w:p>
      <w:pPr>
        <w:ind w:left="840" w:hanging="278"/>
        <w:spacing w:after="0"/>
        <w:tabs>
          <w:tab w:leader="none" w:pos="8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94" w:lineRule="exact"/>
        <w:rPr>
          <w:rFonts w:ascii="Times New Roman" w:cs="Times New Roman" w:eastAsia="Times New Roman" w:hAnsi="Times New Roman"/>
          <w:sz w:val="16"/>
          <w:szCs w:val="16"/>
          <w:color w:val="auto"/>
        </w:rPr>
      </w:pPr>
    </w:p>
    <w:p>
      <w:pPr>
        <w:ind w:left="1120" w:hanging="275"/>
        <w:spacing w:after="0"/>
        <w:tabs>
          <w:tab w:leader="none" w:pos="11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during which offers or sales are being made, a post-effective amendment to this registration statement:</w:t>
      </w:r>
    </w:p>
    <w:p>
      <w:pPr>
        <w:spacing w:after="0" w:line="192" w:lineRule="exact"/>
        <w:rPr>
          <w:rFonts w:ascii="Times New Roman" w:cs="Times New Roman" w:eastAsia="Times New Roman" w:hAnsi="Times New Roman"/>
          <w:sz w:val="16"/>
          <w:szCs w:val="16"/>
          <w:color w:val="auto"/>
        </w:rPr>
      </w:pPr>
    </w:p>
    <w:p>
      <w:pPr>
        <w:ind w:left="1420" w:hanging="291"/>
        <w:spacing w:after="0"/>
        <w:tabs>
          <w:tab w:leader="none" w:pos="1420"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U.S. Securities Act of 1933, as amended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jc w:val="both"/>
        <w:ind w:left="1420" w:hanging="291"/>
        <w:spacing w:after="0" w:line="272" w:lineRule="auto"/>
        <w:tabs>
          <w:tab w:leader="none" w:pos="1420" w:val="left"/>
        </w:tabs>
        <w:numPr>
          <w:ilvl w:val="2"/>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 230.424(b) of this chapter) if, in the aggregate, the changes in volume and price represent no more than 20% change in the maximum aggregate offering price set forth in the “</w:t>
      </w:r>
      <w:r>
        <w:rPr>
          <w:rFonts w:ascii="Times New Roman" w:cs="Times New Roman" w:eastAsia="Times New Roman" w:hAnsi="Times New Roman"/>
          <w:sz w:val="15"/>
          <w:szCs w:val="15"/>
          <w:i w:val="1"/>
          <w:iCs w:val="1"/>
          <w:color w:val="auto"/>
        </w:rPr>
        <w:t>Calculation of Registration Fee</w:t>
      </w:r>
      <w:r>
        <w:rPr>
          <w:rFonts w:ascii="Times New Roman" w:cs="Times New Roman" w:eastAsia="Times New Roman" w:hAnsi="Times New Roman"/>
          <w:sz w:val="15"/>
          <w:szCs w:val="15"/>
          <w:color w:val="auto"/>
        </w:rPr>
        <w:t>” table in the effective registration statement; and</w:t>
      </w:r>
    </w:p>
    <w:p>
      <w:pPr>
        <w:spacing w:after="0" w:line="150" w:lineRule="exact"/>
        <w:rPr>
          <w:rFonts w:ascii="Times New Roman" w:cs="Times New Roman" w:eastAsia="Times New Roman" w:hAnsi="Times New Roman"/>
          <w:sz w:val="15"/>
          <w:szCs w:val="15"/>
          <w:color w:val="auto"/>
        </w:rPr>
      </w:pPr>
    </w:p>
    <w:p>
      <w:pPr>
        <w:ind w:left="1420" w:right="20" w:hanging="291"/>
        <w:spacing w:after="0" w:line="275" w:lineRule="auto"/>
        <w:tabs>
          <w:tab w:leader="none" w:pos="1420"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45" w:lineRule="exact"/>
        <w:rPr>
          <w:rFonts w:ascii="Times New Roman" w:cs="Times New Roman" w:eastAsia="Times New Roman" w:hAnsi="Times New Roman"/>
          <w:sz w:val="16"/>
          <w:szCs w:val="16"/>
          <w:color w:val="auto"/>
        </w:rPr>
      </w:pPr>
    </w:p>
    <w:p>
      <w:pPr>
        <w:ind w:left="1120" w:hanging="275"/>
        <w:spacing w:after="0" w:line="275" w:lineRule="auto"/>
        <w:tabs>
          <w:tab w:leader="none" w:pos="11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5" w:lineRule="exact"/>
        <w:rPr>
          <w:rFonts w:ascii="Times New Roman" w:cs="Times New Roman" w:eastAsia="Times New Roman" w:hAnsi="Times New Roman"/>
          <w:sz w:val="16"/>
          <w:szCs w:val="16"/>
          <w:color w:val="auto"/>
        </w:rPr>
      </w:pPr>
    </w:p>
    <w:p>
      <w:pPr>
        <w:ind w:left="1120" w:right="20" w:hanging="275"/>
        <w:spacing w:after="0" w:line="275" w:lineRule="auto"/>
        <w:tabs>
          <w:tab w:leader="none" w:pos="11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45" w:lineRule="exact"/>
        <w:rPr>
          <w:rFonts w:ascii="Times New Roman" w:cs="Times New Roman" w:eastAsia="Times New Roman" w:hAnsi="Times New Roman"/>
          <w:sz w:val="16"/>
          <w:szCs w:val="16"/>
          <w:color w:val="auto"/>
        </w:rPr>
      </w:pPr>
    </w:p>
    <w:p>
      <w:pPr>
        <w:jc w:val="both"/>
        <w:ind w:left="1120" w:hanging="275"/>
        <w:spacing w:after="0" w:line="251" w:lineRule="auto"/>
        <w:tabs>
          <w:tab w:leader="none" w:pos="11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289" w:name="page290"/>
    <w:bookmarkEnd w:id="289"/>
    <w:p>
      <w:pPr>
        <w:jc w:val="both"/>
        <w:ind w:left="1120" w:hanging="275"/>
        <w:spacing w:after="0" w:line="256" w:lineRule="auto"/>
        <w:tabs>
          <w:tab w:leader="none" w:pos="1120"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0" w:lineRule="exact"/>
        <w:rPr>
          <w:rFonts w:ascii="Times New Roman" w:cs="Times New Roman" w:eastAsia="Times New Roman" w:hAnsi="Times New Roman"/>
          <w:sz w:val="16"/>
          <w:szCs w:val="16"/>
          <w:color w:val="auto"/>
        </w:rPr>
      </w:pPr>
    </w:p>
    <w:p>
      <w:pPr>
        <w:ind w:left="1420" w:hanging="291"/>
        <w:spacing w:after="0"/>
        <w:tabs>
          <w:tab w:leader="none" w:pos="1420"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194" w:lineRule="exact"/>
        <w:rPr>
          <w:rFonts w:ascii="Times New Roman" w:cs="Times New Roman" w:eastAsia="Times New Roman" w:hAnsi="Times New Roman"/>
          <w:sz w:val="16"/>
          <w:szCs w:val="16"/>
          <w:color w:val="auto"/>
        </w:rPr>
      </w:pPr>
    </w:p>
    <w:p>
      <w:pPr>
        <w:ind w:left="1420" w:hanging="291"/>
        <w:spacing w:after="0" w:line="275" w:lineRule="auto"/>
        <w:tabs>
          <w:tab w:leader="none" w:pos="1420"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145" w:lineRule="exact"/>
        <w:rPr>
          <w:rFonts w:ascii="Times New Roman" w:cs="Times New Roman" w:eastAsia="Times New Roman" w:hAnsi="Times New Roman"/>
          <w:sz w:val="16"/>
          <w:szCs w:val="16"/>
          <w:color w:val="auto"/>
        </w:rPr>
      </w:pPr>
    </w:p>
    <w:p>
      <w:pPr>
        <w:ind w:left="1420" w:hanging="291"/>
        <w:spacing w:after="0" w:line="275" w:lineRule="auto"/>
        <w:tabs>
          <w:tab w:leader="none" w:pos="1420"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5" w:lineRule="exact"/>
        <w:rPr>
          <w:rFonts w:ascii="Times New Roman" w:cs="Times New Roman" w:eastAsia="Times New Roman" w:hAnsi="Times New Roman"/>
          <w:sz w:val="16"/>
          <w:szCs w:val="16"/>
          <w:color w:val="auto"/>
        </w:rPr>
      </w:pPr>
    </w:p>
    <w:p>
      <w:pPr>
        <w:ind w:left="1420" w:hanging="291"/>
        <w:spacing w:after="0"/>
        <w:tabs>
          <w:tab w:leader="none" w:pos="1420"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194" w:lineRule="exact"/>
        <w:rPr>
          <w:rFonts w:ascii="Times New Roman" w:cs="Times New Roman" w:eastAsia="Times New Roman" w:hAnsi="Times New Roman"/>
          <w:sz w:val="16"/>
          <w:szCs w:val="16"/>
          <w:color w:val="auto"/>
        </w:rPr>
      </w:pPr>
    </w:p>
    <w:p>
      <w:pPr>
        <w:jc w:val="both"/>
        <w:ind w:firstLine="562"/>
        <w:spacing w:after="0" w:line="256" w:lineRule="auto"/>
        <w:tabs>
          <w:tab w:leader="none" w:pos="85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160" w:lineRule="exact"/>
        <w:rPr>
          <w:rFonts w:ascii="Times New Roman" w:cs="Times New Roman" w:eastAsia="Times New Roman" w:hAnsi="Times New Roman"/>
          <w:sz w:val="16"/>
          <w:szCs w:val="16"/>
          <w:color w:val="auto"/>
        </w:rPr>
      </w:pPr>
    </w:p>
    <w:p>
      <w:pPr>
        <w:ind w:left="820" w:hanging="258"/>
        <w:spacing w:after="0"/>
        <w:tabs>
          <w:tab w:leader="none" w:pos="8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w:t>
      </w:r>
    </w:p>
    <w:p>
      <w:pPr>
        <w:spacing w:after="0" w:line="194" w:lineRule="exact"/>
        <w:rPr>
          <w:rFonts w:ascii="Times New Roman" w:cs="Times New Roman" w:eastAsia="Times New Roman" w:hAnsi="Times New Roman"/>
          <w:sz w:val="16"/>
          <w:szCs w:val="16"/>
          <w:color w:val="auto"/>
        </w:rPr>
      </w:pPr>
    </w:p>
    <w:p>
      <w:pPr>
        <w:jc w:val="both"/>
        <w:ind w:left="1120" w:hanging="275"/>
        <w:spacing w:after="0" w:line="256" w:lineRule="auto"/>
        <w:tabs>
          <w:tab w:leader="none" w:pos="11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and</w:t>
      </w:r>
    </w:p>
    <w:p>
      <w:pPr>
        <w:spacing w:after="0" w:line="160" w:lineRule="exact"/>
        <w:rPr>
          <w:rFonts w:ascii="Times New Roman" w:cs="Times New Roman" w:eastAsia="Times New Roman" w:hAnsi="Times New Roman"/>
          <w:sz w:val="16"/>
          <w:szCs w:val="16"/>
          <w:color w:val="auto"/>
        </w:rPr>
      </w:pPr>
    </w:p>
    <w:p>
      <w:pPr>
        <w:jc w:val="both"/>
        <w:ind w:left="1120" w:hanging="275"/>
        <w:spacing w:after="0" w:line="253" w:lineRule="auto"/>
        <w:tabs>
          <w:tab w:leader="none" w:pos="112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Times New Roman" w:cs="Times New Roman" w:eastAsia="Times New Roman" w:hAnsi="Times New Roman"/>
          <w:sz w:val="16"/>
          <w:szCs w:val="16"/>
          <w:color w:val="auto"/>
        </w:rPr>
      </w:pPr>
    </w:p>
    <w:p>
      <w:pPr>
        <w:jc w:val="both"/>
        <w:ind w:right="20" w:firstLine="562"/>
        <w:spacing w:after="0" w:line="251" w:lineRule="auto"/>
        <w:tabs>
          <w:tab w:leader="none" w:pos="83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jc w:val="both"/>
        <w:ind w:firstLine="283"/>
        <w:spacing w:after="0" w:line="27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in the City of White Plains, State of New York, on November 18, 2022.</w:t>
      </w:r>
    </w:p>
    <w:p>
      <w:pPr>
        <w:spacing w:after="0" w:line="1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196"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13970</wp:posOffset>
            </wp:positionV>
            <wp:extent cx="257302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Name: Jonathan Maurer</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Title:  Co-Chief Executive Officer</w:t>
      </w:r>
    </w:p>
    <w:p>
      <w:pPr>
        <w:spacing w:after="0" w:line="177"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1260"/>
          </w:cols>
          <w:pgMar w:left="320" w:top="782" w:right="319" w:bottom="1440" w:gutter="0" w:footer="0" w:header="0"/>
        </w:sectPr>
      </w:pP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250571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Jonathan Maurer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Adam Comora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 Anthony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50571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Comora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Betsy L.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Betsy L. Battle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Scott Dols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Scott Dols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Kevin M. Fogarty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M. Fogarty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Marco F. Gatti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Nadeem Nisar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Nadeem Nisar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Ashok Vemuri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50571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2505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Ashok Vemuri</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20" w:type="dxa"/>
            <w:vAlign w:val="bottom"/>
          </w:tcPr>
          <w:p>
            <w:pPr>
              <w:spacing w:after="0"/>
              <w:rPr>
                <w:sz w:val="18"/>
                <w:szCs w:val="18"/>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614"/>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r>
        <w:trPr>
          <w:trHeight w:val="5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2022</w:t>
            </w:r>
          </w:p>
        </w:tc>
      </w:tr>
    </w:tbl>
    <w:p>
      <w:pPr>
        <w:spacing w:after="0" w:line="378" w:lineRule="exact"/>
        <w:rPr>
          <w:sz w:val="20"/>
          <w:szCs w:val="20"/>
          <w:color w:val="auto"/>
        </w:rPr>
      </w:pPr>
    </w:p>
    <w:p>
      <w:pPr>
        <w:sectPr>
          <w:pgSz w:w="11900" w:h="16838" w:orient="portrait"/>
          <w:cols w:equalWidth="0" w:num="2">
            <w:col w:w="3340" w:space="720"/>
            <w:col w:w="7200"/>
          </w:cols>
          <w:pgMar w:left="320" w:top="782" w:right="319" w:bottom="1440" w:gutter="0" w:footer="0" w:header="0"/>
          <w:type w:val="continuous"/>
        </w:sectPr>
      </w:pP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4946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type w:val="continuous"/>
        </w:sectPr>
      </w:pPr>
    </w:p>
    <w:bookmarkStart w:id="291" w:name="page292"/>
    <w:bookmarkEnd w:id="291"/>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19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1725295" cy="2324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1725295" cy="232410"/>
                    </a:xfrm>
                    <a:prstGeom prst="rect">
                      <a:avLst/>
                    </a:prstGeom>
                    <a:noFill/>
                  </pic:spPr>
                </pic:pic>
              </a:graphicData>
            </a:graphic>
          </wp:anchor>
        </w:drawing>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30 Rockefeller Plaza</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New York, New York 10112-0015</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212.653.8700 main</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212.653.8701 fax</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www.sheppardmullin.com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VIA ELECTRONIC MAIL ONLY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North Lexington Avenue, Suite 1450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New York 10601</w:t>
      </w:r>
    </w:p>
    <w:p>
      <w:pPr>
        <w:spacing w:after="0" w:line="17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u w:val="single" w:color="auto"/>
          <w:color w:val="auto"/>
        </w:rPr>
        <w:t>Registration Statement on Form S-4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2" w:lineRule="exact"/>
        <w:rPr>
          <w:sz w:val="20"/>
          <w:szCs w:val="20"/>
          <w:color w:val="auto"/>
        </w:rPr>
      </w:pPr>
    </w:p>
    <w:p>
      <w:pPr>
        <w:jc w:val="both"/>
        <w:ind w:right="20" w:firstLine="567"/>
        <w:spacing w:after="0" w:line="267" w:lineRule="auto"/>
        <w:rPr>
          <w:sz w:val="20"/>
          <w:szCs w:val="20"/>
          <w:color w:val="auto"/>
        </w:rPr>
      </w:pPr>
      <w:r>
        <w:rPr>
          <w:rFonts w:ascii="Times New Roman" w:cs="Times New Roman" w:eastAsia="Times New Roman" w:hAnsi="Times New Roman"/>
          <w:sz w:val="15"/>
          <w:szCs w:val="15"/>
          <w:color w:val="auto"/>
        </w:rPr>
        <w:t>We have acted as counsel to OPAL Fuels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in connection with the filing by the Company of a Registration Statement (as defined below)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with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relating to (a) the Company’s offer to exchange (the “</w:t>
      </w:r>
      <w:r>
        <w:rPr>
          <w:rFonts w:ascii="Times New Roman" w:cs="Times New Roman" w:eastAsia="Times New Roman" w:hAnsi="Times New Roman"/>
          <w:sz w:val="15"/>
          <w:szCs w:val="15"/>
          <w:b w:val="1"/>
          <w:bCs w:val="1"/>
          <w:color w:val="auto"/>
        </w:rPr>
        <w:t>Exchange Offer</w:t>
      </w:r>
      <w:r>
        <w:rPr>
          <w:rFonts w:ascii="Times New Roman" w:cs="Times New Roman" w:eastAsia="Times New Roman" w:hAnsi="Times New Roman"/>
          <w:sz w:val="15"/>
          <w:szCs w:val="15"/>
          <w:color w:val="auto"/>
        </w:rPr>
        <w:t>”) 0.250 shares of Class A common stock, par value $0.0001 per share (“</w:t>
      </w:r>
      <w:r>
        <w:rPr>
          <w:rFonts w:ascii="Times New Roman" w:cs="Times New Roman" w:eastAsia="Times New Roman" w:hAnsi="Times New Roman"/>
          <w:sz w:val="15"/>
          <w:szCs w:val="15"/>
          <w:b w:val="1"/>
          <w:bCs w:val="1"/>
          <w:color w:val="auto"/>
        </w:rPr>
        <w:t>Class A Common Stock</w:t>
      </w:r>
      <w:r>
        <w:rPr>
          <w:rFonts w:ascii="Times New Roman" w:cs="Times New Roman" w:eastAsia="Times New Roman" w:hAnsi="Times New Roman"/>
          <w:sz w:val="15"/>
          <w:szCs w:val="15"/>
          <w:color w:val="auto"/>
        </w:rPr>
        <w:t>”), of the Company for each of the Company’s warrants that were (i) sold in connection with the initial public offering (the “</w:t>
      </w:r>
      <w:r>
        <w:rPr>
          <w:rFonts w:ascii="Times New Roman" w:cs="Times New Roman" w:eastAsia="Times New Roman" w:hAnsi="Times New Roman"/>
          <w:sz w:val="15"/>
          <w:szCs w:val="15"/>
          <w:b w:val="1"/>
          <w:bCs w:val="1"/>
          <w:color w:val="auto"/>
        </w:rPr>
        <w:t>IPO</w:t>
      </w:r>
      <w:r>
        <w:rPr>
          <w:rFonts w:ascii="Times New Roman" w:cs="Times New Roman" w:eastAsia="Times New Roman" w:hAnsi="Times New Roman"/>
          <w:sz w:val="15"/>
          <w:szCs w:val="15"/>
          <w:color w:val="auto"/>
        </w:rPr>
        <w:t>”) of ArcLight Clean Transition Corp. II, a Cayman Islands exempted company and the Company’s predecessor (“</w:t>
      </w:r>
      <w:r>
        <w:rPr>
          <w:rFonts w:ascii="Times New Roman" w:cs="Times New Roman" w:eastAsia="Times New Roman" w:hAnsi="Times New Roman"/>
          <w:sz w:val="15"/>
          <w:szCs w:val="15"/>
          <w:b w:val="1"/>
          <w:bCs w:val="1"/>
          <w:color w:val="auto"/>
        </w:rPr>
        <w:t>ArcLight</w:t>
      </w:r>
      <w:r>
        <w:rPr>
          <w:rFonts w:ascii="Times New Roman" w:cs="Times New Roman" w:eastAsia="Times New Roman" w:hAnsi="Times New Roman"/>
          <w:sz w:val="15"/>
          <w:szCs w:val="15"/>
          <w:color w:val="auto"/>
        </w:rPr>
        <w:t>”) and issued under the Warrant Agreement (the “</w:t>
      </w:r>
      <w:r>
        <w:rPr>
          <w:rFonts w:ascii="Times New Roman" w:cs="Times New Roman" w:eastAsia="Times New Roman" w:hAnsi="Times New Roman"/>
          <w:sz w:val="15"/>
          <w:szCs w:val="15"/>
          <w:b w:val="1"/>
          <w:bCs w:val="1"/>
          <w:color w:val="auto"/>
        </w:rPr>
        <w:t>Warrant Agreement</w:t>
      </w:r>
      <w:r>
        <w:rPr>
          <w:rFonts w:ascii="Times New Roman" w:cs="Times New Roman" w:eastAsia="Times New Roman" w:hAnsi="Times New Roman"/>
          <w:sz w:val="15"/>
          <w:szCs w:val="15"/>
          <w:color w:val="auto"/>
        </w:rPr>
        <w:t>”), dated as of March 25, 2021, by and between the Company (as successor to ArcLight) and Continental Stock Transfer &amp; Trust Company, as warrant agent (the “</w:t>
      </w:r>
      <w:r>
        <w:rPr>
          <w:rFonts w:ascii="Times New Roman" w:cs="Times New Roman" w:eastAsia="Times New Roman" w:hAnsi="Times New Roman"/>
          <w:sz w:val="15"/>
          <w:szCs w:val="15"/>
          <w:b w:val="1"/>
          <w:bCs w:val="1"/>
          <w:color w:val="auto"/>
        </w:rPr>
        <w:t>Public Warrants</w:t>
      </w:r>
      <w:r>
        <w:rPr>
          <w:rFonts w:ascii="Times New Roman" w:cs="Times New Roman" w:eastAsia="Times New Roman" w:hAnsi="Times New Roman"/>
          <w:sz w:val="15"/>
          <w:szCs w:val="15"/>
          <w:color w:val="auto"/>
        </w:rPr>
        <w:t>”) and (ii) initially issued as private placement warrants to certain parties in connection with the IPO (the “</w:t>
      </w:r>
      <w:r>
        <w:rPr>
          <w:rFonts w:ascii="Times New Roman" w:cs="Times New Roman" w:eastAsia="Times New Roman" w:hAnsi="Times New Roman"/>
          <w:sz w:val="15"/>
          <w:szCs w:val="15"/>
          <w:b w:val="1"/>
          <w:bCs w:val="1"/>
          <w:color w:val="auto"/>
        </w:rPr>
        <w:t>Private Placement Warrants</w:t>
      </w:r>
      <w:r>
        <w:rPr>
          <w:rFonts w:ascii="Times New Roman" w:cs="Times New Roman" w:eastAsia="Times New Roman" w:hAnsi="Times New Roman"/>
          <w:sz w:val="15"/>
          <w:szCs w:val="15"/>
          <w:color w:val="auto"/>
        </w:rPr>
        <w:t>” and, together with the Public Warrants, the “</w:t>
      </w:r>
      <w:r>
        <w:rPr>
          <w:rFonts w:ascii="Times New Roman" w:cs="Times New Roman" w:eastAsia="Times New Roman" w:hAnsi="Times New Roman"/>
          <w:sz w:val="15"/>
          <w:szCs w:val="15"/>
          <w:b w:val="1"/>
          <w:bCs w:val="1"/>
          <w:color w:val="auto"/>
        </w:rPr>
        <w:t>Warrants</w:t>
      </w:r>
      <w:r>
        <w:rPr>
          <w:rFonts w:ascii="Times New Roman" w:cs="Times New Roman" w:eastAsia="Times New Roman" w:hAnsi="Times New Roman"/>
          <w:sz w:val="15"/>
          <w:szCs w:val="15"/>
          <w:color w:val="auto"/>
        </w:rPr>
        <w:t>”); and (b) the solicitation of consents (the “</w:t>
      </w:r>
      <w:r>
        <w:rPr>
          <w:rFonts w:ascii="Times New Roman" w:cs="Times New Roman" w:eastAsia="Times New Roman" w:hAnsi="Times New Roman"/>
          <w:sz w:val="15"/>
          <w:szCs w:val="15"/>
          <w:b w:val="1"/>
          <w:bCs w:val="1"/>
          <w:color w:val="auto"/>
        </w:rPr>
        <w:t>Consent Solicitation</w:t>
      </w:r>
      <w:r>
        <w:rPr>
          <w:rFonts w:ascii="Times New Roman" w:cs="Times New Roman" w:eastAsia="Times New Roman" w:hAnsi="Times New Roman"/>
          <w:sz w:val="15"/>
          <w:szCs w:val="15"/>
          <w:color w:val="auto"/>
        </w:rPr>
        <w:t>”) from the holders of the Public Warrants and the holders of the Private Placement Warrants to amend the Warrant Agreement to permit the Company to require that each Warrant that is outstanding upon the closing of the Exchange Offer be exchanged for 0.225 shares of Class A Common Stock, in each case upon the terms and subject to the conditions set forth in the Preliminary Prospectus (as defined below) and the Letter of Transmittal (as defined below). The shares of Class A Common Stock issuable upon exchange of the Warrants pursuant to the Exchange Offer and the Warrant Amendment (as defined below) are referred to herein collectively as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opinion letter is being furnished in accordance with the requirements of Item 601(b)(5) of Regulation S-K under the Securities Act.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In our capacity as counsel to the Company, we have examined, among other things, originals, or copies identified to our satisfaction as being true copies of the following:</w:t>
      </w:r>
    </w:p>
    <w:p>
      <w:pPr>
        <w:spacing w:after="0" w:line="393" w:lineRule="exact"/>
        <w:rPr>
          <w:sz w:val="20"/>
          <w:szCs w:val="20"/>
          <w:color w:val="auto"/>
        </w:rPr>
      </w:pPr>
    </w:p>
    <w:p>
      <w:pPr>
        <w:ind w:left="560" w:hanging="282"/>
        <w:spacing w:after="0"/>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on Form S-4 of the Company filed on the date hereof with the SEC under the Securities Act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preliminary prospectus/offer to exchange, dated November 18, 2022, relating to the Exchange Offer and Consent Solicitation (such preliminary prospectus/offer to exchange being hereinafter referred to as the “</w:t>
      </w:r>
      <w:r>
        <w:rPr>
          <w:rFonts w:ascii="Times New Roman" w:cs="Times New Roman" w:eastAsia="Times New Roman" w:hAnsi="Times New Roman"/>
          <w:sz w:val="16"/>
          <w:szCs w:val="16"/>
          <w:b w:val="1"/>
          <w:bCs w:val="1"/>
          <w:color w:val="auto"/>
        </w:rPr>
        <w:t>Preliminary Prospectus</w:t>
      </w:r>
      <w:r>
        <w:rPr>
          <w:rFonts w:ascii="Times New Roman" w:cs="Times New Roman" w:eastAsia="Times New Roman" w:hAnsi="Times New Roman"/>
          <w:sz w:val="16"/>
          <w:szCs w:val="16"/>
          <w:color w:val="auto"/>
        </w:rPr>
        <w:t>”), which forms a part of and is included in the Registration Statement;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2" w:name="page293"/>
    <w:bookmarkEnd w:id="292"/>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Schedule TO initially filed with the SEC on November 18, 2022 (as so filed and as amended, together with the exhibits thereto;</w:t>
      </w:r>
    </w:p>
    <w:p>
      <w:pPr>
        <w:spacing w:after="0" w:line="19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letter of transmittal and consent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relating to the Exchange Offer and Consent Solicitation;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the amendment to the Warrant Agreement (the “</w:t>
      </w:r>
      <w:r>
        <w:rPr>
          <w:rFonts w:ascii="Times New Roman" w:cs="Times New Roman" w:eastAsia="Times New Roman" w:hAnsi="Times New Roman"/>
          <w:sz w:val="16"/>
          <w:szCs w:val="16"/>
          <w:b w:val="1"/>
          <w:bCs w:val="1"/>
          <w:color w:val="auto"/>
        </w:rPr>
        <w:t>Warrant Amendment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executed copy of the Dealer Manager Agreement;</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executed copy of a certificate for the Company of its chief executive officer, dated the date hereof;</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Company’s certificate of incorporation, certified by the Secretary of State of the State of Delaware as of November 16, 2022;</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Company’s bylaws, as in effect as of the date hereof;</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certain resolutions of the Board of Directors of the Company, adopted on November 1, 2022;</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certain resolutions of a Designated Directors Committee of the Board of Directors of the Company, adopted on November 17, 2022;</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of Good Standing for the Company, as certified by the Secretary of State of Delaware on November 16, 2022; and</w:t>
      </w:r>
    </w:p>
    <w:p>
      <w:pPr>
        <w:spacing w:after="0" w:line="194"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records, certificates, documents and instruments, certified or otherwise identified to our satisfaction, as we have considered necessary or appropriate for the purposes of this opinion letter.</w:t>
      </w:r>
    </w:p>
    <w:p>
      <w:pPr>
        <w:spacing w:after="0" w:line="14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6"/>
          <w:szCs w:val="16"/>
          <w:color w:val="auto"/>
        </w:rPr>
        <w:t>We have also examined the originals, or copies identified to our satisfaction, of such corporate records of the Company, certificates of public officials, officers of the Company and other persons, and such other documents, agreements and instruments as we have deemed relevant and necessary for the basis of the opinions hereinafter expressed. In such examination, we have assumed the following: (i) the authenticity of original documents and the genuineness of all signatures; (ii) the conformity to the originals of all documents submitted to us as copies; (iii) the legal competence of all signatories to such documents; and (iv) the truth, accuracy and completeness of the information, factual matters, representations and warranties contained in the records, documents, instruments and certificates we have reviewed.</w:t>
      </w:r>
    </w:p>
    <w:p>
      <w:pPr>
        <w:spacing w:after="0" w:line="16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On the basis of the foregoing, and in reliance thereon, we are of the opinion that the Shares have been duly authorized by all necessary corporate action of the Company and, when issued by the Company in accordance with the terms of the Exchange Offer and the Warrant Amendment and in the manner contemplated by the Registration Statement, will be validly issued, fully paid and nonassessable.</w:t>
      </w:r>
    </w:p>
    <w:p>
      <w:pPr>
        <w:spacing w:after="0" w:line="1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We consent to the filing of this opinion letter as Exhibit 5.1 to the Registration Statement and to the reference to our firm under the heading “Legal Matters” in the prospectus forming part of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spacing w:after="0" w:line="156" w:lineRule="exact"/>
        <w:rPr>
          <w:sz w:val="20"/>
          <w:szCs w:val="20"/>
          <w:color w:val="auto"/>
        </w:rPr>
      </w:pPr>
    </w:p>
    <w:p>
      <w:pPr>
        <w:jc w:val="both"/>
        <w:ind w:right="20" w:firstLine="567"/>
        <w:spacing w:after="0" w:line="275" w:lineRule="auto"/>
        <w:rPr>
          <w:sz w:val="20"/>
          <w:szCs w:val="20"/>
          <w:color w:val="auto"/>
        </w:rPr>
      </w:pPr>
      <w:r>
        <w:rPr>
          <w:rFonts w:ascii="Times New Roman" w:cs="Times New Roman" w:eastAsia="Times New Roman" w:hAnsi="Times New Roman"/>
          <w:sz w:val="16"/>
          <w:szCs w:val="16"/>
          <w:color w:val="auto"/>
        </w:rPr>
        <w:t>We express no opinion as to matters governed by any laws other than the Delaware General Corporation Law and reported decisions of the Delaware courts interpreting such law.</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93" w:name="page294"/>
    <w:bookmarkEnd w:id="293"/>
    <w:p>
      <w:pPr>
        <w:jc w:val="both"/>
        <w:ind w:firstLine="567"/>
        <w:spacing w:after="0" w:line="256" w:lineRule="auto"/>
        <w:rPr>
          <w:sz w:val="20"/>
          <w:szCs w:val="20"/>
          <w:color w:val="auto"/>
        </w:rPr>
      </w:pPr>
      <w:r>
        <w:rPr>
          <w:rFonts w:ascii="Times New Roman" w:cs="Times New Roman" w:eastAsia="Times New Roman" w:hAnsi="Times New Roman"/>
          <w:sz w:val="16"/>
          <w:szCs w:val="16"/>
          <w:color w:val="auto"/>
        </w:rPr>
        <w:t>This opinion letter is rendered as of the date first written above, and we disclaim any obligation to advise you of facts, circumstances, events or developments which hereafter may be brought to our attention and which may alter, affect or modify the opinions expressed herein. Our opinions are expressly limited to the matters set forth above, and we render no opinion, whether by implication or otherwise, as to any other matters relating to the Company, the Shares, the Plan, the award agreements related to the Shares or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Respectfully Submitted,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Sheppard, Mullin, Richter &amp; Hampton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SHEPPARD, MULLIN, RICHTER &amp; HAMPTON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19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1725295" cy="2324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1725295" cy="232410"/>
                    </a:xfrm>
                    <a:prstGeom prst="rect">
                      <a:avLst/>
                    </a:prstGeom>
                    <a:noFill/>
                  </pic:spPr>
                </pic:pic>
              </a:graphicData>
            </a:graphic>
          </wp:anchor>
        </w:drawing>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30 Rockefeller Plaza</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New York, New York 10112-0015</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212.653.8700 main</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212.653.8701 fax</w:t>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www.sheppardmullin.com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VIA ELECTRONIC MAIL ONLY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North Lexington Avenue, Suite 1450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New York 10601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Registration Statement on Form S-4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2" w:lineRule="exact"/>
        <w:rPr>
          <w:sz w:val="20"/>
          <w:szCs w:val="20"/>
          <w:color w:val="auto"/>
        </w:rPr>
      </w:pPr>
    </w:p>
    <w:p>
      <w:pPr>
        <w:jc w:val="both"/>
        <w:ind w:firstLine="283"/>
        <w:spacing w:after="0" w:line="249" w:lineRule="auto"/>
        <w:rPr>
          <w:sz w:val="20"/>
          <w:szCs w:val="20"/>
          <w:color w:val="auto"/>
        </w:rPr>
      </w:pPr>
      <w:r>
        <w:rPr>
          <w:rFonts w:ascii="Times New Roman" w:cs="Times New Roman" w:eastAsia="Times New Roman" w:hAnsi="Times New Roman"/>
          <w:sz w:val="16"/>
          <w:szCs w:val="16"/>
          <w:color w:val="auto"/>
        </w:rPr>
        <w:t>We have acted as counsel to OPAL Fuels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filing by the Company of a Registration Statement (as defined below)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relating to (a) the Company’s offer to exchange (the “</w:t>
      </w:r>
      <w:r>
        <w:rPr>
          <w:rFonts w:ascii="Times New Roman" w:cs="Times New Roman" w:eastAsia="Times New Roman" w:hAnsi="Times New Roman"/>
          <w:sz w:val="16"/>
          <w:szCs w:val="16"/>
          <w:b w:val="1"/>
          <w:bCs w:val="1"/>
          <w:color w:val="auto"/>
        </w:rPr>
        <w:t>Exchange Offer</w:t>
      </w:r>
      <w:r>
        <w:rPr>
          <w:rFonts w:ascii="Times New Roman" w:cs="Times New Roman" w:eastAsia="Times New Roman" w:hAnsi="Times New Roman"/>
          <w:sz w:val="16"/>
          <w:szCs w:val="16"/>
          <w:color w:val="auto"/>
        </w:rPr>
        <w:t>”) 0.250 shares of Class A common stock, par value $0.0001 per share (“</w:t>
      </w:r>
      <w:r>
        <w:rPr>
          <w:rFonts w:ascii="Times New Roman" w:cs="Times New Roman" w:eastAsia="Times New Roman" w:hAnsi="Times New Roman"/>
          <w:sz w:val="16"/>
          <w:szCs w:val="16"/>
          <w:b w:val="1"/>
          <w:bCs w:val="1"/>
          <w:color w:val="auto"/>
        </w:rPr>
        <w:t>Class A Common Stock</w:t>
      </w:r>
      <w:r>
        <w:rPr>
          <w:rFonts w:ascii="Times New Roman" w:cs="Times New Roman" w:eastAsia="Times New Roman" w:hAnsi="Times New Roman"/>
          <w:sz w:val="16"/>
          <w:szCs w:val="16"/>
          <w:color w:val="auto"/>
        </w:rPr>
        <w:t>”), of the Company for each of the Company’s warrants that were (i) sold in connection with the initial public offering (the “</w:t>
      </w:r>
      <w:r>
        <w:rPr>
          <w:rFonts w:ascii="Times New Roman" w:cs="Times New Roman" w:eastAsia="Times New Roman" w:hAnsi="Times New Roman"/>
          <w:sz w:val="16"/>
          <w:szCs w:val="16"/>
          <w:b w:val="1"/>
          <w:bCs w:val="1"/>
          <w:color w:val="auto"/>
        </w:rPr>
        <w:t>IPO</w:t>
      </w:r>
      <w:r>
        <w:rPr>
          <w:rFonts w:ascii="Times New Roman" w:cs="Times New Roman" w:eastAsia="Times New Roman" w:hAnsi="Times New Roman"/>
          <w:sz w:val="16"/>
          <w:szCs w:val="16"/>
          <w:color w:val="auto"/>
        </w:rPr>
        <w:t>”) of ArcLight Clean Transition Corp. II, a Cayman Islands exempted company and the Company’s predecessor (“</w:t>
      </w:r>
      <w:r>
        <w:rPr>
          <w:rFonts w:ascii="Times New Roman" w:cs="Times New Roman" w:eastAsia="Times New Roman" w:hAnsi="Times New Roman"/>
          <w:sz w:val="16"/>
          <w:szCs w:val="16"/>
          <w:b w:val="1"/>
          <w:bCs w:val="1"/>
          <w:color w:val="auto"/>
        </w:rPr>
        <w:t>ArcLight</w:t>
      </w:r>
      <w:r>
        <w:rPr>
          <w:rFonts w:ascii="Times New Roman" w:cs="Times New Roman" w:eastAsia="Times New Roman" w:hAnsi="Times New Roman"/>
          <w:sz w:val="16"/>
          <w:szCs w:val="16"/>
          <w:color w:val="auto"/>
        </w:rPr>
        <w:t>”) and issued under the Warrant Agreement (the “</w:t>
      </w:r>
      <w:r>
        <w:rPr>
          <w:rFonts w:ascii="Times New Roman" w:cs="Times New Roman" w:eastAsia="Times New Roman" w:hAnsi="Times New Roman"/>
          <w:sz w:val="16"/>
          <w:szCs w:val="16"/>
          <w:b w:val="1"/>
          <w:bCs w:val="1"/>
          <w:color w:val="auto"/>
        </w:rPr>
        <w:t>Warrant Agreement</w:t>
      </w:r>
      <w:r>
        <w:rPr>
          <w:rFonts w:ascii="Times New Roman" w:cs="Times New Roman" w:eastAsia="Times New Roman" w:hAnsi="Times New Roman"/>
          <w:sz w:val="16"/>
          <w:szCs w:val="16"/>
          <w:color w:val="auto"/>
        </w:rPr>
        <w:t>”), dated as of March 25, 2021, by and between the Company (as successor to ArcLight) and Continental Stock Transfer &amp; Trust Company, as warrant agent (the “</w:t>
      </w:r>
      <w:r>
        <w:rPr>
          <w:rFonts w:ascii="Times New Roman" w:cs="Times New Roman" w:eastAsia="Times New Roman" w:hAnsi="Times New Roman"/>
          <w:sz w:val="16"/>
          <w:szCs w:val="16"/>
          <w:b w:val="1"/>
          <w:bCs w:val="1"/>
          <w:color w:val="auto"/>
        </w:rPr>
        <w:t>Public Warrants</w:t>
      </w:r>
      <w:r>
        <w:rPr>
          <w:rFonts w:ascii="Times New Roman" w:cs="Times New Roman" w:eastAsia="Times New Roman" w:hAnsi="Times New Roman"/>
          <w:sz w:val="16"/>
          <w:szCs w:val="16"/>
          <w:color w:val="auto"/>
        </w:rPr>
        <w:t>”) and (ii) initially issued as private placement warrants to certain parties in connection with the IPO (the “</w:t>
      </w:r>
      <w:r>
        <w:rPr>
          <w:rFonts w:ascii="Times New Roman" w:cs="Times New Roman" w:eastAsia="Times New Roman" w:hAnsi="Times New Roman"/>
          <w:sz w:val="16"/>
          <w:szCs w:val="16"/>
          <w:b w:val="1"/>
          <w:bCs w:val="1"/>
          <w:color w:val="auto"/>
        </w:rPr>
        <w:t>Private Placement Warrants</w:t>
      </w:r>
      <w:r>
        <w:rPr>
          <w:rFonts w:ascii="Times New Roman" w:cs="Times New Roman" w:eastAsia="Times New Roman" w:hAnsi="Times New Roman"/>
          <w:sz w:val="16"/>
          <w:szCs w:val="16"/>
          <w:color w:val="auto"/>
        </w:rPr>
        <w:t>” and, together with the Public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and such exchange,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and (b) the solicitation of consents (the “</w:t>
      </w:r>
      <w:r>
        <w:rPr>
          <w:rFonts w:ascii="Times New Roman" w:cs="Times New Roman" w:eastAsia="Times New Roman" w:hAnsi="Times New Roman"/>
          <w:sz w:val="16"/>
          <w:szCs w:val="16"/>
          <w:b w:val="1"/>
          <w:bCs w:val="1"/>
          <w:color w:val="auto"/>
        </w:rPr>
        <w:t>Consent Solicitation</w:t>
      </w:r>
      <w:r>
        <w:rPr>
          <w:rFonts w:ascii="Times New Roman" w:cs="Times New Roman" w:eastAsia="Times New Roman" w:hAnsi="Times New Roman"/>
          <w:sz w:val="16"/>
          <w:szCs w:val="16"/>
          <w:color w:val="auto"/>
        </w:rPr>
        <w:t>”) from the holders of the Public Warrants and the holders of the Private Placement Warrants to amend the Warrant Agreement to permit the Company to require that each Warrant that is outstanding upon the closing of the Exchange Offer be exchanged for 0.225 shares of Class A Common Stock, in each case upon the terms and subject to the conditions set forth in the Preliminary Prospectus (as defined below) and the Letter of Transmittal (as defined below). The shares of Class A Common Stock issuable upon exchange of the Warrants pursuant to the Exchange Offer and the Warrant Amendment are referred to herein collectively as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Unless otherwise indicated, each capitalized term used herein has the meaning ascribed to it in the Registration Statement (defined below).</w:t>
      </w:r>
    </w:p>
    <w:p>
      <w:pPr>
        <w:spacing w:after="0" w:line="169" w:lineRule="exact"/>
        <w:rPr>
          <w:sz w:val="20"/>
          <w:szCs w:val="20"/>
          <w:color w:val="auto"/>
        </w:rPr>
      </w:pPr>
    </w:p>
    <w:p>
      <w:pPr>
        <w:jc w:val="both"/>
        <w:ind w:right="20" w:firstLine="283"/>
        <w:spacing w:after="0" w:line="261" w:lineRule="auto"/>
        <w:rPr>
          <w:sz w:val="20"/>
          <w:szCs w:val="20"/>
          <w:color w:val="auto"/>
        </w:rPr>
      </w:pPr>
      <w:r>
        <w:rPr>
          <w:rFonts w:ascii="Times New Roman" w:cs="Times New Roman" w:eastAsia="Times New Roman" w:hAnsi="Times New Roman"/>
          <w:sz w:val="16"/>
          <w:szCs w:val="16"/>
          <w:color w:val="auto"/>
        </w:rPr>
        <w:t>This Opinion is being delivered in connection with the Registration Statement. As such, and for purposes of rendering this opinion, we have examined and are relying upon (without any independent investigation or review of any factual statements therein) the truth, completeness, and accuracy, at all relevant times, of the statements, covenants, representations and warranties contained in the following documents (including all exhibit and schedules attached thereto):</w:t>
      </w:r>
    </w:p>
    <w:p>
      <w:pPr>
        <w:spacing w:after="0" w:line="154" w:lineRule="exact"/>
        <w:rPr>
          <w:sz w:val="20"/>
          <w:szCs w:val="20"/>
          <w:color w:val="auto"/>
        </w:rPr>
      </w:pPr>
    </w:p>
    <w:p>
      <w:pPr>
        <w:ind w:left="560" w:hanging="282"/>
        <w:spacing w:after="0"/>
        <w:tabs>
          <w:tab w:leader="none" w:pos="5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on Form S-4 of the Company filed on the date hereof with the SEC under the Securities Act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560" w:right="20" w:hanging="282"/>
        <w:spacing w:after="0" w:line="275" w:lineRule="auto"/>
        <w:tabs>
          <w:tab w:leader="none" w:pos="5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preliminary prospectus/offer to exchange, dated November 18, 2022, relating to the Exchange Offer and Consent Solicitation (such preliminary prospectus/offer to exchange being hereinafter referred to as the “</w:t>
      </w:r>
      <w:r>
        <w:rPr>
          <w:rFonts w:ascii="Times New Roman" w:cs="Times New Roman" w:eastAsia="Times New Roman" w:hAnsi="Times New Roman"/>
          <w:sz w:val="16"/>
          <w:szCs w:val="16"/>
          <w:b w:val="1"/>
          <w:bCs w:val="1"/>
          <w:color w:val="auto"/>
        </w:rPr>
        <w:t>Preliminary Prospectus</w:t>
      </w:r>
      <w:r>
        <w:rPr>
          <w:rFonts w:ascii="Times New Roman" w:cs="Times New Roman" w:eastAsia="Times New Roman" w:hAnsi="Times New Roman"/>
          <w:sz w:val="16"/>
          <w:szCs w:val="16"/>
          <w:color w:val="auto"/>
        </w:rPr>
        <w:t>”), which forms a part of and is included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714946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5" w:name="page296"/>
    <w:bookmarkEnd w:id="295"/>
    <w:p>
      <w:pPr>
        <w:ind w:left="565" w:hanging="282"/>
        <w:spacing w:after="0"/>
        <w:tabs>
          <w:tab w:leader="none" w:pos="565" w:val="left"/>
        </w:tabs>
        <w:numPr>
          <w:ilvl w:val="0"/>
          <w:numId w:val="15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letter of transmittal and consent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relating to the Exchange Offer and Consent Solicitation;</w:t>
      </w:r>
      <w:r>
        <w:rPr>
          <w:rFonts w:ascii="Times New Roman" w:cs="Times New Roman" w:eastAsia="Times New Roman" w:hAnsi="Times New Roman"/>
          <w:sz w:val="26"/>
          <w:szCs w:val="26"/>
          <w:color w:val="auto"/>
          <w:vertAlign w:val="superscript"/>
        </w:rPr>
        <w:t>1</w:t>
      </w:r>
    </w:p>
    <w:p>
      <w:pPr>
        <w:spacing w:after="0" w:line="66" w:lineRule="exact"/>
        <w:rPr>
          <w:rFonts w:ascii="Times New Roman" w:cs="Times New Roman" w:eastAsia="Times New Roman" w:hAnsi="Times New Roman"/>
          <w:sz w:val="31"/>
          <w:szCs w:val="31"/>
          <w:color w:val="auto"/>
          <w:vertAlign w:val="superscript"/>
        </w:rPr>
      </w:pPr>
    </w:p>
    <w:p>
      <w:pPr>
        <w:ind w:left="565" w:hanging="282"/>
        <w:spacing w:after="0"/>
        <w:tabs>
          <w:tab w:leader="none" w:pos="56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the amendment to the Warrant Agreement (the “</w:t>
      </w:r>
      <w:r>
        <w:rPr>
          <w:rFonts w:ascii="Times New Roman" w:cs="Times New Roman" w:eastAsia="Times New Roman" w:hAnsi="Times New Roman"/>
          <w:sz w:val="16"/>
          <w:szCs w:val="16"/>
          <w:b w:val="1"/>
          <w:bCs w:val="1"/>
          <w:color w:val="auto"/>
        </w:rPr>
        <w:t>Warrant Amendment</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color w:val="auto"/>
        </w:rPr>
      </w:pPr>
    </w:p>
    <w:p>
      <w:pPr>
        <w:ind w:left="565" w:right="20" w:hanging="282"/>
        <w:spacing w:after="0" w:line="278" w:lineRule="auto"/>
        <w:tabs>
          <w:tab w:leader="none" w:pos="56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executed copy of a certificate for the Company of its chief executive officer and the principal financial or accounting offer, dated the date hereof (the “</w:t>
      </w:r>
      <w:r>
        <w:rPr>
          <w:rFonts w:ascii="Times New Roman" w:cs="Times New Roman" w:eastAsia="Times New Roman" w:hAnsi="Times New Roman"/>
          <w:sz w:val="16"/>
          <w:szCs w:val="16"/>
          <w:b w:val="1"/>
          <w:bCs w:val="1"/>
          <w:color w:val="auto"/>
        </w:rPr>
        <w:t>Officers’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Certificate</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color w:val="auto"/>
        </w:rPr>
      </w:pPr>
    </w:p>
    <w:p>
      <w:pPr>
        <w:ind w:left="565" w:right="20" w:hanging="282"/>
        <w:spacing w:after="0" w:line="275" w:lineRule="auto"/>
        <w:tabs>
          <w:tab w:leader="none" w:pos="56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records, certificates, documents and instruments, certified or otherwise identified to our satisfaction, as we have considered necessary or appropriate for the purposes of this opinion.</w:t>
      </w:r>
    </w:p>
    <w:p>
      <w:pPr>
        <w:spacing w:after="0" w:line="14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In connection with rendering this opinion, we have, with your permission, assumed (without any independent investigation or review thereof) that:</w:t>
      </w:r>
    </w:p>
    <w:p>
      <w:pPr>
        <w:spacing w:after="0" w:line="194" w:lineRule="exact"/>
        <w:rPr>
          <w:sz w:val="20"/>
          <w:szCs w:val="20"/>
          <w:color w:val="auto"/>
        </w:rPr>
      </w:pPr>
    </w:p>
    <w:p>
      <w:pPr>
        <w:jc w:val="both"/>
        <w:ind w:left="5" w:firstLine="278"/>
        <w:spacing w:after="0" w:line="261" w:lineRule="auto"/>
        <w:tabs>
          <w:tab w:leader="none" w:pos="50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 documents submitted to us (including signatures thereto) are authentic, documents submitted to us as copies conform to the original documents, and that all such documents have been (or will be by the effective time of the Exchange) duly and validly executed and delivered where due execution and delivery are a prerequisite to the effectiveness thereof;</w:t>
      </w:r>
    </w:p>
    <w:p>
      <w:pPr>
        <w:spacing w:after="0" w:line="155" w:lineRule="exact"/>
        <w:rPr>
          <w:rFonts w:ascii="Times New Roman" w:cs="Times New Roman" w:eastAsia="Times New Roman" w:hAnsi="Times New Roman"/>
          <w:sz w:val="16"/>
          <w:szCs w:val="16"/>
          <w:color w:val="auto"/>
        </w:rPr>
      </w:pPr>
    </w:p>
    <w:p>
      <w:pPr>
        <w:jc w:val="both"/>
        <w:ind w:left="5" w:right="20" w:firstLine="278"/>
        <w:spacing w:after="0" w:line="261" w:lineRule="auto"/>
        <w:tabs>
          <w:tab w:leader="none" w:pos="52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representations, warranties and statements made or agreed to by the Company and their management employees, officers, directors and shareholders in connection with the Exchange Offer and the related transactions, including, but not limited to, those set forth in the Warrant Agreement and the Warrant Amendment and the Officers’ Tax Certificate are and will continue to be true, correct, complete and accurate at all relevant times;</w:t>
      </w:r>
    </w:p>
    <w:p>
      <w:pPr>
        <w:spacing w:after="0" w:line="155" w:lineRule="exact"/>
        <w:rPr>
          <w:rFonts w:ascii="Times New Roman" w:cs="Times New Roman" w:eastAsia="Times New Roman" w:hAnsi="Times New Roman"/>
          <w:sz w:val="16"/>
          <w:szCs w:val="16"/>
          <w:color w:val="auto"/>
        </w:rPr>
      </w:pPr>
    </w:p>
    <w:p>
      <w:pPr>
        <w:jc w:val="both"/>
        <w:ind w:left="5" w:right="20" w:firstLine="278"/>
        <w:spacing w:after="0" w:line="261" w:lineRule="auto"/>
        <w:tabs>
          <w:tab w:leader="none" w:pos="51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covenants contained in the Warrant Agreement, the Warrant Amendment and the Officers’ Tax Certificate are performed without waiver or breach of any material provision thereof or that any such waiver of a term or condition, at the time of the Closing, would not affect our opinion rendered herein, and that the Exchange Offer as described in the Registration Statement will not be amended, modified or supplemented in any respect after the date hereof;</w:t>
      </w:r>
    </w:p>
    <w:p>
      <w:pPr>
        <w:spacing w:after="0" w:line="155" w:lineRule="exact"/>
        <w:rPr>
          <w:rFonts w:ascii="Times New Roman" w:cs="Times New Roman" w:eastAsia="Times New Roman" w:hAnsi="Times New Roman"/>
          <w:sz w:val="16"/>
          <w:szCs w:val="16"/>
          <w:color w:val="auto"/>
        </w:rPr>
      </w:pPr>
    </w:p>
    <w:p>
      <w:pPr>
        <w:ind w:left="5" w:firstLine="278"/>
        <w:spacing w:after="0" w:line="275" w:lineRule="auto"/>
        <w:tabs>
          <w:tab w:leader="none" w:pos="52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will be consummated in the manner contemplated by the Exchange Offer, the Warrant Amendment, and Registration Statement without any waiver or breach of any material provision thereof, and the Exchange will be effective under applicable state law; and</w:t>
      </w:r>
    </w:p>
    <w:p>
      <w:pPr>
        <w:spacing w:after="0" w:line="145" w:lineRule="exact"/>
        <w:rPr>
          <w:rFonts w:ascii="Times New Roman" w:cs="Times New Roman" w:eastAsia="Times New Roman" w:hAnsi="Times New Roman"/>
          <w:sz w:val="16"/>
          <w:szCs w:val="16"/>
          <w:color w:val="auto"/>
        </w:rPr>
      </w:pPr>
    </w:p>
    <w:p>
      <w:pPr>
        <w:ind w:left="505" w:hanging="222"/>
        <w:spacing w:after="0"/>
        <w:tabs>
          <w:tab w:leader="none" w:pos="50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statement made “to the knowledge of” or similarly qualified is correct without such qualification.</w:t>
      </w:r>
    </w:p>
    <w:p>
      <w:pPr>
        <w:spacing w:after="0" w:line="194" w:lineRule="exact"/>
        <w:rPr>
          <w:sz w:val="20"/>
          <w:szCs w:val="20"/>
          <w:color w:val="auto"/>
        </w:rPr>
      </w:pPr>
    </w:p>
    <w:p>
      <w:pPr>
        <w:jc w:val="both"/>
        <w:ind w:left="5" w:right="20" w:firstLine="283"/>
        <w:spacing w:after="0" w:line="261" w:lineRule="auto"/>
        <w:rPr>
          <w:sz w:val="20"/>
          <w:szCs w:val="20"/>
          <w:color w:val="auto"/>
        </w:rPr>
      </w:pPr>
      <w:r>
        <w:rPr>
          <w:rFonts w:ascii="Times New Roman" w:cs="Times New Roman" w:eastAsia="Times New Roman" w:hAnsi="Times New Roman"/>
          <w:sz w:val="16"/>
          <w:szCs w:val="16"/>
          <w:color w:val="auto"/>
        </w:rPr>
        <w:t>We confirm to you that the discussion set forth in the Registration Statement under the caption “Material U.S. Federal Income Tax Consequences” insofar as it is related to U.S. federal income tax law and legal conclusions with respect thereto, is our opinion, subject to the exceptions, assumptions, qualifications and limitations set forth therein and herein, as to the material U.S. federal income tax consequences of the Exchange pursuant to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85620"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114" w:lineRule="exact"/>
        <w:rPr>
          <w:sz w:val="20"/>
          <w:szCs w:val="20"/>
          <w:color w:val="auto"/>
        </w:rPr>
      </w:pPr>
    </w:p>
    <w:p>
      <w:pPr>
        <w:ind w:left="105" w:hanging="105"/>
        <w:spacing w:after="0"/>
        <w:tabs>
          <w:tab w:leader="none" w:pos="105" w:val="left"/>
        </w:tabs>
        <w:numPr>
          <w:ilvl w:val="0"/>
          <w:numId w:val="1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Note to SMRH Corp: Please provide for our review.</w:t>
      </w:r>
    </w:p>
    <w:p>
      <w:pPr>
        <w:spacing w:after="0" w:line="3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2" w:right="319" w:bottom="1440" w:gutter="0" w:footer="0" w:header="0"/>
        </w:sectPr>
      </w:pPr>
    </w:p>
    <w:bookmarkStart w:id="296" w:name="page297"/>
    <w:bookmarkEnd w:id="296"/>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This opinion does not address the various state, local or foreign tax consequences that may result from the Exchange, and does not address the federal tax consequences of any transaction other than the Exchange as described in the Exchange Offer and the Warrant Amendment. In addition, no opinion is expressed about the federal tax treatment of the Exchange under other provisions of the Code, about the federal income tax treatment of any conditions existing at the time of, or effects resulting from, the Exchange that are not specifically covered by the above opinion, nor about any tax effects of the Exchange other than its status as a reorganization for federal income tax purposes, and this opinion may not be relied upon except with respect to the consequences specifically discussed herein.</w:t>
      </w:r>
    </w:p>
    <w:p>
      <w:pPr>
        <w:spacing w:after="0" w:line="164" w:lineRule="exact"/>
        <w:rPr>
          <w:sz w:val="20"/>
          <w:szCs w:val="20"/>
          <w:color w:val="auto"/>
        </w:rPr>
      </w:pPr>
    </w:p>
    <w:p>
      <w:pPr>
        <w:jc w:val="both"/>
        <w:ind w:right="20" w:firstLine="283"/>
        <w:spacing w:after="0" w:line="275" w:lineRule="auto"/>
        <w:rPr>
          <w:sz w:val="20"/>
          <w:szCs w:val="20"/>
          <w:color w:val="auto"/>
        </w:rPr>
      </w:pPr>
      <w:r>
        <w:rPr>
          <w:rFonts w:ascii="Times New Roman" w:cs="Times New Roman" w:eastAsia="Times New Roman" w:hAnsi="Times New Roman"/>
          <w:sz w:val="16"/>
          <w:szCs w:val="16"/>
          <w:color w:val="auto"/>
        </w:rPr>
        <w:t>No opinion is expressed as to any transaction whatsoever, including the Exchange, if any of the representations, warranties, statements and assumptions material to our opinion and upon which we have relied are not accurate and complete in all material respects at all relevant times.</w:t>
      </w:r>
    </w:p>
    <w:p>
      <w:pPr>
        <w:spacing w:after="0" w:line="145"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6"/>
          <w:szCs w:val="16"/>
          <w:color w:val="auto"/>
        </w:rPr>
        <w:t>This opinion is not binding on the Internal Revenue Service or any court of law, tribunal, administrative agency or other governmental body. The opinion expressed herein is based upon laws, judicial decisions and administrative regulations, rulings and practice, all as in effect on the date hereof and all of which are subject to change, either on a prospective or retroactive basis. New developments in any such administrative matters, court decisions, legislative changes, or changes in the facts, assumptions or other information upon which our opinion is based may have an adverse effect on the legal or tax consequences described herein, and we do not accept any responsibility for updating or revising our opinion in consequence of any such new development or changes. In addition, our opinion is based upon facts and circumstances as they exist as of the date hereof, and any change in the facts as set forth herein could affect the opinion expressed herein, perhaps adversely. We assume no obligation to update or supplement our opinion to reflect any change in facts or circumstances which may hereafter come to our attention.</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opinion has been prepared solely in connection with the Registration Statement and may not be relied upon or utilized for any other purpose without our prior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consent. We hereby consent to the filing of this opinion with the SEC as an exhibit to the Registration Statement, and to the references therein to us. In giving this consent we do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hereby admit that we are in the category of persons whose consent is required under Section 7 of the Securities Act of 1933, as amended, or the rules and regulations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thereunder.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Respectfully Submitted,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Sheppard, Mullin, Richter &amp; Hampton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SHEPPARD, MULLIN, RICHTER &amp; HAMPTON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6"/>
          <w:szCs w:val="16"/>
          <w:b w:val="1"/>
          <w:bCs w:val="1"/>
          <w:color w:val="auto"/>
        </w:rPr>
        <w:t>Exhibit 10.21</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OPAL Fuels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Dealer Manager and Solicitation Agent Agreement</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November 18,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as Dealer Manager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BofA Securities,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6"/>
          <w:szCs w:val="16"/>
          <w:color w:val="auto"/>
        </w:rPr>
        <w:t>OPAL Fuels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we</w:t>
      </w:r>
      <w:r>
        <w:rPr>
          <w:rFonts w:ascii="Times New Roman" w:cs="Times New Roman" w:eastAsia="Times New Roman" w:hAnsi="Times New Roman"/>
          <w:sz w:val="16"/>
          <w:szCs w:val="16"/>
          <w:color w:val="auto"/>
        </w:rPr>
        <w:t>”), plans to make an offer (such offer as described in the Prospectus (as defined below), together with the related Consent Solicitation (as defined below), the “</w:t>
      </w:r>
      <w:r>
        <w:rPr>
          <w:rFonts w:ascii="Times New Roman" w:cs="Times New Roman" w:eastAsia="Times New Roman" w:hAnsi="Times New Roman"/>
          <w:sz w:val="16"/>
          <w:szCs w:val="16"/>
          <w:u w:val="single" w:color="auto"/>
          <w:color w:val="auto"/>
        </w:rPr>
        <w:t>Exchange Offer</w:t>
      </w:r>
      <w:r>
        <w:rPr>
          <w:rFonts w:ascii="Times New Roman" w:cs="Times New Roman" w:eastAsia="Times New Roman" w:hAnsi="Times New Roman"/>
          <w:sz w:val="16"/>
          <w:szCs w:val="16"/>
          <w:color w:val="auto"/>
        </w:rPr>
        <w:t>”), for any and all of its outstanding public warrants and private placement warrants (as set forth in the Prospectus) (collectively, the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in exchange for consideration consisting of 0.250 shares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Class A common stock for each Warrant tendered, on the terms and subject to the conditions set forth in the Offering Documents. Certain terms used herein are defined in Section 19 of this Dealer Manager and Solicitation Agent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567"/>
        <w:spacing w:after="0" w:line="272" w:lineRule="auto"/>
        <w:rPr>
          <w:sz w:val="20"/>
          <w:szCs w:val="20"/>
          <w:color w:val="auto"/>
        </w:rPr>
      </w:pPr>
      <w:r>
        <w:rPr>
          <w:rFonts w:ascii="Times New Roman" w:cs="Times New Roman" w:eastAsia="Times New Roman" w:hAnsi="Times New Roman"/>
          <w:sz w:val="15"/>
          <w:szCs w:val="15"/>
          <w:color w:val="auto"/>
        </w:rPr>
        <w:t>Concurrently with making the offer to exchange described in the preceding paragraph, the Company plans to solicit consents (the “</w:t>
      </w:r>
      <w:r>
        <w:rPr>
          <w:rFonts w:ascii="Times New Roman" w:cs="Times New Roman" w:eastAsia="Times New Roman" w:hAnsi="Times New Roman"/>
          <w:sz w:val="15"/>
          <w:szCs w:val="15"/>
          <w:u w:val="single" w:color="auto"/>
          <w:color w:val="auto"/>
        </w:rPr>
        <w:t>Consents</w:t>
      </w:r>
      <w:r>
        <w:rPr>
          <w:rFonts w:ascii="Times New Roman" w:cs="Times New Roman" w:eastAsia="Times New Roman" w:hAnsi="Times New Roman"/>
          <w:sz w:val="15"/>
          <w:szCs w:val="15"/>
          <w:color w:val="auto"/>
        </w:rPr>
        <w:t>”) from the holders of Warrants (as described in the Offering Documents, the “</w:t>
      </w:r>
      <w:r>
        <w:rPr>
          <w:rFonts w:ascii="Times New Roman" w:cs="Times New Roman" w:eastAsia="Times New Roman" w:hAnsi="Times New Roman"/>
          <w:sz w:val="15"/>
          <w:szCs w:val="15"/>
          <w:u w:val="single" w:color="auto"/>
          <w:color w:val="auto"/>
        </w:rPr>
        <w:t>Consent Solicitation</w:t>
      </w:r>
      <w:r>
        <w:rPr>
          <w:rFonts w:ascii="Times New Roman" w:cs="Times New Roman" w:eastAsia="Times New Roman" w:hAnsi="Times New Roman"/>
          <w:sz w:val="15"/>
          <w:szCs w:val="15"/>
          <w:color w:val="auto"/>
        </w:rPr>
        <w:t>”) to make certain amendments to the terms of the Warrants. Subject to the terms and conditions set forth in the Offering Documents, if Consents are received from the holders of at least 65% of the number of the outstanding public warrants and from at least 65% of the number of the outstanding private placement warrants (which is the minimum number required to amend that certain warrant agreement, dated as of March 25, 2021, by and between the Company (as successor to ArcLight Clean Transition Corp. II, the Company’s predecessor and a Cayman Islands exempted company) and Continental Stock Transfer &amp; Trust Company, as warrant agent (the “</w:t>
      </w:r>
      <w:r>
        <w:rPr>
          <w:rFonts w:ascii="Times New Roman" w:cs="Times New Roman" w:eastAsia="Times New Roman" w:hAnsi="Times New Roman"/>
          <w:sz w:val="15"/>
          <w:szCs w:val="15"/>
          <w:u w:val="single" w:color="auto"/>
          <w:color w:val="auto"/>
        </w:rPr>
        <w:t>Warrant Agreement</w:t>
      </w:r>
      <w:r>
        <w:rPr>
          <w:rFonts w:ascii="Times New Roman" w:cs="Times New Roman" w:eastAsia="Times New Roman" w:hAnsi="Times New Roman"/>
          <w:sz w:val="15"/>
          <w:szCs w:val="15"/>
          <w:color w:val="auto"/>
        </w:rPr>
        <w:t>”)), the proposed amendment to the Warrant Agreement set forth in the Offering Documents shall be adopted.</w:t>
      </w:r>
    </w:p>
    <w:p>
      <w:pPr>
        <w:spacing w:after="0" w:line="150" w:lineRule="exact"/>
        <w:rPr>
          <w:sz w:val="20"/>
          <w:szCs w:val="20"/>
          <w:color w:val="auto"/>
        </w:rPr>
      </w:pPr>
    </w:p>
    <w:p>
      <w:pPr>
        <w:jc w:val="both"/>
        <w:ind w:right="20" w:firstLine="567"/>
        <w:spacing w:after="0" w:line="252" w:lineRule="auto"/>
        <w:rPr>
          <w:sz w:val="20"/>
          <w:szCs w:val="20"/>
          <w:color w:val="auto"/>
        </w:rPr>
      </w:pPr>
      <w:r>
        <w:rPr>
          <w:rFonts w:ascii="Times New Roman" w:cs="Times New Roman" w:eastAsia="Times New Roman" w:hAnsi="Times New Roman"/>
          <w:sz w:val="16"/>
          <w:szCs w:val="16"/>
          <w:color w:val="auto"/>
        </w:rPr>
        <w:t>Any reference herein to the Pre-Effective Registration Statement, the Registration Statement, the Preliminary Prospectus or the Prospectus shall be deemed to refer to and include the documents incorporated by reference therein pursuant to Item 13 of Form S-4, if applicable, which were filed under the Exchange Act on or before the filing of the Pre-Effective Registration Statement, the Effective Date or the issue date of the Preliminary Prospectus or the Prospectus, as the case may be; and any reference herein to the terms “amend,” “amendment” or “supplement” with respect to the Pre-Effective Registration Statement, the Registration Statement, the Preliminary Prospectus or the Prospectus shall be deemed to refer to and include the filing of any document under the Exchange Act after the initial filing of the Pre-Effective Registration Statement, the Effective Date or the issue date of the Preliminary Prospectus or the Prospectus, as the case may be, deemed to be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714946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8" w:name="page299"/>
    <w:bookmarkEnd w:id="298"/>
    <w:p>
      <w:pPr>
        <w:ind w:left="720" w:hanging="158"/>
        <w:spacing w:after="0"/>
        <w:tabs>
          <w:tab w:leader="none" w:pos="7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as Dealer Manager and Solicitation Agent</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560" w:firstLine="569"/>
        <w:spacing w:after="0" w:line="256" w:lineRule="auto"/>
        <w:tabs>
          <w:tab w:leader="none" w:pos="1364"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BofA Securities, Inc. will act as the exclusive dealer manager and solicitation agent for the Exchange Offer and the Consent Solicitation (the “</w:t>
      </w:r>
      <w:r>
        <w:rPr>
          <w:rFonts w:ascii="Times New Roman" w:cs="Times New Roman" w:eastAsia="Times New Roman" w:hAnsi="Times New Roman"/>
          <w:sz w:val="16"/>
          <w:szCs w:val="16"/>
          <w:u w:val="single" w:color="auto"/>
          <w:color w:val="auto"/>
        </w:rPr>
        <w:t>Dealer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Manager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you</w:t>
      </w:r>
      <w:r>
        <w:rPr>
          <w:rFonts w:ascii="Times New Roman" w:cs="Times New Roman" w:eastAsia="Times New Roman" w:hAnsi="Times New Roman"/>
          <w:sz w:val="16"/>
          <w:szCs w:val="16"/>
          <w:color w:val="auto"/>
        </w:rPr>
        <w:t>”) in accordance with your customary practices, including, without limitation, to use commercially reasonable efforts to solicit tenders pursuant to the Exchange Offer, the solicitation of Consents pursuant to the Consent Solicitation and assisting in the distribution of the Offering Documents and to perform such services as are customarily performed by investment banking firms acting as dealer managers and solicitation agents of an exchange offer of like nature.</w:t>
      </w:r>
    </w:p>
    <w:p>
      <w:pPr>
        <w:spacing w:after="0" w:line="160" w:lineRule="exact"/>
        <w:rPr>
          <w:rFonts w:ascii="Times New Roman" w:cs="Times New Roman" w:eastAsia="Times New Roman" w:hAnsi="Times New Roman"/>
          <w:sz w:val="16"/>
          <w:szCs w:val="16"/>
          <w:color w:val="auto"/>
        </w:rPr>
      </w:pPr>
    </w:p>
    <w:p>
      <w:pPr>
        <w:jc w:val="both"/>
        <w:ind w:left="560" w:firstLine="569"/>
        <w:spacing w:after="0" w:line="261" w:lineRule="auto"/>
        <w:tabs>
          <w:tab w:leader="none" w:pos="135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all actions taken by you as Dealer Manager have complied and will comply in all material respects with all applicable laws, regulations and rules of the United States, including, without limitation, the applicable rules and regulations of the registered national securities exchanges of which you are a member and of the Financial Industry Regulatory Authority, Inc. (“FINRA”).</w:t>
      </w:r>
    </w:p>
    <w:p>
      <w:pPr>
        <w:spacing w:after="0" w:line="155" w:lineRule="exact"/>
        <w:rPr>
          <w:rFonts w:ascii="Times New Roman" w:cs="Times New Roman" w:eastAsia="Times New Roman" w:hAnsi="Times New Roman"/>
          <w:sz w:val="16"/>
          <w:szCs w:val="16"/>
          <w:color w:val="auto"/>
        </w:rPr>
      </w:pPr>
    </w:p>
    <w:p>
      <w:pPr>
        <w:jc w:val="both"/>
        <w:ind w:left="560" w:firstLine="569"/>
        <w:spacing w:after="0" w:line="252" w:lineRule="auto"/>
        <w:tabs>
          <w:tab w:leader="none" w:pos="13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Dealer Manager, in its sole discretion, may continue to own or dispose of, in any manner it may elect, any Warrants it may beneficially own at the date hereof or hereafter acquire, in any such case, subject to applicable law. The Dealer Manager has no obligation to the Company, pursuant to this Agreement or otherwise, to tender or refrain from tendering Warrants beneficially owned by it in any Exchange Offer (or to deliver Consents in any related Consent Solicitation). The Dealer Manager acknowledges and agrees that if any Exchange Offer is not consummated for any reason, the Company shall have no obligation, pursuant to this Agreement or otherwise, to acquire any Warrants from the Dealer Manager or otherwise to hold the Dealer Manager harmless with respect to any losses it may incur in connection with the resale to any third parties of any Warrants.</w:t>
      </w:r>
    </w:p>
    <w:p>
      <w:pPr>
        <w:spacing w:after="0" w:line="164" w:lineRule="exact"/>
        <w:rPr>
          <w:rFonts w:ascii="Times New Roman" w:cs="Times New Roman" w:eastAsia="Times New Roman" w:hAnsi="Times New Roman"/>
          <w:sz w:val="16"/>
          <w:szCs w:val="16"/>
          <w:color w:val="auto"/>
        </w:rPr>
      </w:pPr>
    </w:p>
    <w:p>
      <w:pPr>
        <w:jc w:val="both"/>
        <w:ind w:left="560" w:right="20" w:firstLine="569"/>
        <w:spacing w:after="0" w:line="261" w:lineRule="auto"/>
        <w:tabs>
          <w:tab w:leader="none" w:pos="1354"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that it will not file, use or publish any material in connection with the Exchange Offer, use the name BofA or BofA Securities, Inc. or refer to you or your relationship with the Company, without your prior written consent to the form of such use or reference. There shall be no fee for any such permitted use or reference other than as set forth herein.</w:t>
      </w:r>
    </w:p>
    <w:p>
      <w:pPr>
        <w:spacing w:after="0" w:line="155" w:lineRule="exact"/>
        <w:rPr>
          <w:rFonts w:ascii="Times New Roman" w:cs="Times New Roman" w:eastAsia="Times New Roman" w:hAnsi="Times New Roman"/>
          <w:sz w:val="16"/>
          <w:szCs w:val="16"/>
          <w:color w:val="auto"/>
        </w:rPr>
      </w:pPr>
    </w:p>
    <w:p>
      <w:pPr>
        <w:jc w:val="both"/>
        <w:ind w:right="20" w:firstLine="562"/>
        <w:spacing w:after="0" w:line="256" w:lineRule="auto"/>
        <w:tabs>
          <w:tab w:leader="none" w:pos="724"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The Company shall pay to you, promptly after the Expiration Date or as otherwise set forth in the attached Schedule A, in respect of your services as Dealer Manager, the fee set forth in the attached Schedule A (the “</w:t>
      </w:r>
      <w:r>
        <w:rPr>
          <w:rFonts w:ascii="Times New Roman" w:cs="Times New Roman" w:eastAsia="Times New Roman" w:hAnsi="Times New Roman"/>
          <w:sz w:val="16"/>
          <w:szCs w:val="16"/>
          <w:u w:val="single" w:color="auto"/>
          <w:color w:val="auto"/>
        </w:rPr>
        <w:t>Fee</w:t>
      </w:r>
      <w:r>
        <w:rPr>
          <w:rFonts w:ascii="Times New Roman" w:cs="Times New Roman" w:eastAsia="Times New Roman" w:hAnsi="Times New Roman"/>
          <w:sz w:val="16"/>
          <w:szCs w:val="16"/>
          <w:color w:val="auto"/>
        </w:rPr>
        <w:t>”). The Company shall also promptly reimburse you, only in the event of the consummation of the Exchange Offer, for the reasonable and documented fees, costs and out-of-pocket expenses of your counsel, Davis Polk &amp; Wardwell LLP, for their representation of you incurred in connection with the Exchange Offer. Notwithstanding the foregoing, the expenses to be reimbursed by the Company shall not exceed $150,000 in the aggregate.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299" w:name="page300"/>
    <w:bookmarkEnd w:id="299"/>
    <w:p>
      <w:pPr>
        <w:ind w:left="158" w:hanging="158"/>
        <w:spacing w:after="0"/>
        <w:tabs>
          <w:tab w:leader="none" w:pos="15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The Company represents and warrants to, and agrees with, you as set forth below in this Section 3:</w:t>
      </w:r>
    </w:p>
    <w:p>
      <w:pPr>
        <w:spacing w:after="0" w:line="192" w:lineRule="exact"/>
        <w:rPr>
          <w:rFonts w:ascii="Times New Roman" w:cs="Times New Roman" w:eastAsia="Times New Roman" w:hAnsi="Times New Roman"/>
          <w:sz w:val="16"/>
          <w:szCs w:val="16"/>
          <w:color w:val="auto"/>
        </w:rPr>
      </w:pPr>
    </w:p>
    <w:p>
      <w:pPr>
        <w:jc w:val="both"/>
        <w:ind w:left="-2" w:firstLine="569"/>
        <w:spacing w:after="0" w:line="251" w:lineRule="auto"/>
        <w:tabs>
          <w:tab w:leader="none" w:pos="779"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Form S-4. </w:t>
      </w:r>
      <w:r>
        <w:rPr>
          <w:rFonts w:ascii="Times New Roman" w:cs="Times New Roman" w:eastAsia="Times New Roman" w:hAnsi="Times New Roman"/>
          <w:sz w:val="16"/>
          <w:szCs w:val="16"/>
          <w:color w:val="auto"/>
        </w:rPr>
        <w:t>The Company has prepared and, on or about the date hereof, has filed with the Commission the Pre-Effective Registration Statement on Form S-4, including a related Preliminary Prospectus, for registration under the Securities Act of the Shares in connection with the Exchange Offer. If the Exchange Offer is to be consummated, the Pre-Effective Registration Statement, as amended, will have been declared effective by the Commission prior to the Expiration Date and any request on the part of the Commission or any other federal, state or local or other governmental or regulatory agency, authority or instrumentality or court or arbitrator for the amending or supplementing of the Offering Documents or for additional information will have been complied with in all material respects prior to the Expiration Date. The Company meets the conditions for the use of Form S-4 with respect to the Pre-Effective Registration Statement and the Registration Statement in connection with the Exchange Offer as contemplated by this Agreement.</w:t>
      </w:r>
    </w:p>
    <w:p>
      <w:pPr>
        <w:spacing w:after="0" w:line="165" w:lineRule="exact"/>
        <w:rPr>
          <w:rFonts w:ascii="Times New Roman" w:cs="Times New Roman" w:eastAsia="Times New Roman" w:hAnsi="Times New Roman"/>
          <w:sz w:val="16"/>
          <w:szCs w:val="16"/>
          <w:color w:val="auto"/>
        </w:rPr>
      </w:pPr>
    </w:p>
    <w:p>
      <w:pPr>
        <w:jc w:val="both"/>
        <w:ind w:left="-2" w:firstLine="569"/>
        <w:spacing w:after="0" w:line="266" w:lineRule="auto"/>
        <w:tabs>
          <w:tab w:leader="none" w:pos="788" w:val="left"/>
        </w:tabs>
        <w:numPr>
          <w:ilvl w:val="1"/>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Pre-Effective Registration Statement, Registration Statement, Preliminary Prospectus and Prospectus. </w:t>
      </w:r>
      <w:r>
        <w:rPr>
          <w:rFonts w:ascii="Times New Roman" w:cs="Times New Roman" w:eastAsia="Times New Roman" w:hAnsi="Times New Roman"/>
          <w:sz w:val="15"/>
          <w:szCs w:val="15"/>
          <w:color w:val="auto"/>
        </w:rPr>
        <w:t>(i) The Pre-Effective Registration Statement and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amendment thereto, as of the Commencement Date, the Registration Statement, as of the Effective Date, the Expiration Date and the Exchange Date, and the Preliminary Prospectus and any amendments and supplements thereto, as of its date, the Commencement Date and the Exchange Date, comply, or will comply, as applicable, in all material respects with the Securities Act and the Exchange Act and the rules and regulations of the Commission thereunder (including Rule 13e-4 and Rule 14e under the Exchange Act), (ii) the Prospectus (together with any supplement and amendment thereto), as of the date it is first filed in accordance with Rule 424(b) under the Securities Act (if it is so filed) and the Exchange Date, will comply in all material respects with the Securities Act and the Exchange Act and the rules and regulations of the Commission thereunder (including Rule 13e-4 and Rule 14e under the Exchange Act), (iii) the Pre-Effective Registration Statement together with any amendment thereto as of the Commencement Date did not contain, and the Registration Statement, as of the Effective Date, the Expiration Date and the Exchange Date, will not contain, any untrue statement of a material fact and did not omit, or will not omit, as applicable, to state a material fact required to be stated therein or necessary to make the statements therein not misleading, (iv) the Preliminary Prospectus as of its date did not contain any untrue statement of a material fact and did not omit to state a material fact necessary to make the statements therein, in the light of the circumstances under which they were made, not misleading and (v) the Prospectus (together with any supplement or amendment thereto), as of the date it is first filed in accordance with Rule 424(b) (if required), the Expiration Date and the Exchange Date, will not contain any untrue statement of a material fact and will not omit to state a material fact necessary to make the statements therein, in the light of the circumstances under which they were made, not misleading;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Company makes no representations or warranties as to the information contained in or omitted from the Pre-Effective Registration Statement, the Registration Statement, any Preliminary Prospectus or the Prospectus (or any supplement or amendment thereto) in reliance upon and in conformity with information furnished to the Company in writing by or on behalf of the Dealer Manager expressly for inclusion therein (the “</w:t>
      </w:r>
      <w:r>
        <w:rPr>
          <w:rFonts w:ascii="Times New Roman" w:cs="Times New Roman" w:eastAsia="Times New Roman" w:hAnsi="Times New Roman"/>
          <w:sz w:val="15"/>
          <w:szCs w:val="15"/>
          <w:u w:val="single" w:color="auto"/>
          <w:color w:val="auto"/>
        </w:rPr>
        <w:t>Dealer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Manager Information</w:t>
      </w:r>
      <w:r>
        <w:rPr>
          <w:rFonts w:ascii="Times New Roman" w:cs="Times New Roman" w:eastAsia="Times New Roman" w:hAnsi="Times New Roman"/>
          <w:sz w:val="15"/>
          <w:szCs w:val="15"/>
          <w:color w:val="auto"/>
        </w:rPr>
        <w:t>”), it being understood that the Dealer Manager Information shall include only the name and the contact information of the Dealer Manager.</w:t>
      </w:r>
    </w:p>
    <w:p>
      <w:pPr>
        <w:spacing w:after="0" w:line="343" w:lineRule="exact"/>
        <w:rPr>
          <w:sz w:val="20"/>
          <w:szCs w:val="20"/>
          <w:color w:val="auto"/>
        </w:rPr>
      </w:pPr>
    </w:p>
    <w:p>
      <w:pPr>
        <w:ind w:left="5018"/>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714946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698"/>
          </w:cols>
          <w:pgMar w:left="882" w:top="808" w:right="319" w:bottom="1440" w:gutter="0" w:footer="0" w:header="0"/>
        </w:sectPr>
      </w:pPr>
    </w:p>
    <w:bookmarkStart w:id="300" w:name="page301"/>
    <w:bookmarkEnd w:id="300"/>
    <w:p>
      <w:pPr>
        <w:jc w:val="both"/>
        <w:ind w:left="-560" w:firstLine="569"/>
        <w:spacing w:after="0" w:line="252" w:lineRule="auto"/>
        <w:tabs>
          <w:tab w:leader="none" w:pos="221"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Documents Incorporated by Reference. </w:t>
      </w:r>
      <w:r>
        <w:rPr>
          <w:rFonts w:ascii="Times New Roman" w:cs="Times New Roman" w:eastAsia="Times New Roman" w:hAnsi="Times New Roman"/>
          <w:sz w:val="16"/>
          <w:szCs w:val="16"/>
          <w:color w:val="auto"/>
        </w:rPr>
        <w:t>The documents incorporated by reference in the Schedule TO, other than the Pre-Effective Registration Statement,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Registration Statement, the Preliminary Prospectus and the Prospectus, which are addressed in the prior paragraph, when they became effective or were filed with the Commission, as the case may be, conformed in all material respects to the requirements of the Securities Act or the Exchange Act, as applicable, and the rules and regulations of the Commission thereunder, and none of such documents contained an untrue statement of a material fact or omitted to state a material fact necessary to make the statements therein,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this representation and warranty shall not apply to any statements or omissions made in reliance upon and in conformity with the Dealer Manager Information.</w:t>
      </w:r>
    </w:p>
    <w:p>
      <w:pPr>
        <w:spacing w:after="0" w:line="164" w:lineRule="exact"/>
        <w:rPr>
          <w:rFonts w:ascii="Times New Roman" w:cs="Times New Roman" w:eastAsia="Times New Roman" w:hAnsi="Times New Roman"/>
          <w:sz w:val="16"/>
          <w:szCs w:val="16"/>
          <w:color w:val="auto"/>
        </w:rPr>
      </w:pPr>
    </w:p>
    <w:p>
      <w:pPr>
        <w:jc w:val="both"/>
        <w:ind w:left="-560" w:firstLine="569"/>
        <w:spacing w:after="0" w:line="250" w:lineRule="auto"/>
        <w:tabs>
          <w:tab w:leader="none" w:pos="23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Schedule TO. </w:t>
      </w:r>
      <w:r>
        <w:rPr>
          <w:rFonts w:ascii="Times New Roman" w:cs="Times New Roman" w:eastAsia="Times New Roman" w:hAnsi="Times New Roman"/>
          <w:sz w:val="16"/>
          <w:szCs w:val="16"/>
          <w:color w:val="auto"/>
        </w:rPr>
        <w:t>(i) On the Commencement Date, the Company will duly file with the Commission the Schedule TO pursuant to Rule 13e-4 promulgated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Commission under the Exchange Act, a copy of which Schedule TO (including the documents required by Item 12 thereof to be filed as exhibits thereto) in the form in which it is to be so filed has been or will be furnished to the Dealer Manager; (ii) any amendments to the Schedule TO and the final form of all such documents filed with the Commission or published, sent or given to holders of Warrants will be furnished to you prior to any such amendment, filing, publication or distribution; (iii) the Schedule TO as so filed and as amended or supplemented from time to time will comply in all material respects with the provisions of the Exchange Act and the rules and regulations thereunder; and (iv) the Schedule TO as filed or as amended or supplemented from time to time will not contain any untrue statement of a material fact or omit to state a material fact necessary in order to make the statements made therein, in light of the circumstances under which they are made, not misleading, except that the Company makes no representation or warranty with respect to any statement contained in, or any matter omitted from, the Schedule TO made in reliance upon and in conformity with the Dealer Manager Information.</w:t>
      </w:r>
    </w:p>
    <w:p>
      <w:pPr>
        <w:spacing w:after="0" w:line="165"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560" w:right="20" w:firstLine="569"/>
        <w:spacing w:after="0" w:line="278" w:lineRule="auto"/>
        <w:tabs>
          <w:tab w:leader="none" w:pos="20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Stop Orders</w:t>
      </w:r>
      <w:r>
        <w:rPr>
          <w:rFonts w:ascii="Times New Roman" w:cs="Times New Roman" w:eastAsia="Times New Roman" w:hAnsi="Times New Roman"/>
          <w:sz w:val="16"/>
          <w:szCs w:val="16"/>
          <w:color w:val="auto"/>
        </w:rPr>
        <w:t>. No stop order suspending the effectiveness of the Registration Statement is in effect, and no proceedings for such purpose or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8A under the Securities Act are pending before or, to the knowledge of the Company, threatened by the Commission.</w:t>
      </w: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1" w:name="page302"/>
    <w:bookmarkEnd w:id="301"/>
    <w:p>
      <w:pPr>
        <w:ind w:left="-560" w:right="20" w:firstLine="569"/>
        <w:spacing w:after="0" w:line="278" w:lineRule="auto"/>
        <w:tabs>
          <w:tab w:leader="none" w:pos="24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Emerging Growth Company</w:t>
      </w:r>
      <w:r>
        <w:rPr>
          <w:rFonts w:ascii="Times New Roman" w:cs="Times New Roman" w:eastAsia="Times New Roman" w:hAnsi="Times New Roman"/>
          <w:sz w:val="16"/>
          <w:szCs w:val="16"/>
          <w:color w:val="auto"/>
        </w:rPr>
        <w:t>. From the time of initial filing of the Pre-Effective Registration Statement with the Commission through the date hereof,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has been and is an “emerging growth company,” as defined in Section 2(a) of the Securities Act (an “</w:t>
      </w:r>
      <w:r>
        <w:rPr>
          <w:rFonts w:ascii="Times New Roman" w:cs="Times New Roman" w:eastAsia="Times New Roman" w:hAnsi="Times New Roman"/>
          <w:sz w:val="16"/>
          <w:szCs w:val="16"/>
          <w:u w:val="single" w:color="auto"/>
          <w:color w:val="auto"/>
        </w:rPr>
        <w:t>Emerging Growth Company</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24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Testing-the-Waters Materials. </w:t>
      </w:r>
      <w:r>
        <w:rPr>
          <w:rFonts w:ascii="Times New Roman" w:cs="Times New Roman" w:eastAsia="Times New Roman" w:hAnsi="Times New Roman"/>
          <w:sz w:val="16"/>
          <w:szCs w:val="16"/>
          <w:color w:val="auto"/>
        </w:rPr>
        <w:t>The Company (i) has not alone engaged in any Testing-the-Waters Communication with any person other than Testing-the-Waters Communications with the consent of the Dealer Manager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Dealer Manager to engage in Testing-the-Waters Communications. The Company reconfirms that the Dealer Manager has been authorized to act on its behalf in undertaking Testing-the-Waters Communications. The Company has not distributed or approved for distribution any Testing-the-Waters Communication that is a written communication within the meaning of Rule 405 under the Securities Act. “</w:t>
      </w:r>
      <w:r>
        <w:rPr>
          <w:rFonts w:ascii="Times New Roman" w:cs="Times New Roman" w:eastAsia="Times New Roman" w:hAnsi="Times New Roman"/>
          <w:sz w:val="16"/>
          <w:szCs w:val="16"/>
          <w:u w:val="single" w:color="auto"/>
          <w:color w:val="auto"/>
        </w:rPr>
        <w:t>Testing-the-Waters Communication</w:t>
      </w:r>
      <w:r>
        <w:rPr>
          <w:rFonts w:ascii="Times New Roman" w:cs="Times New Roman" w:eastAsia="Times New Roman" w:hAnsi="Times New Roman"/>
          <w:sz w:val="16"/>
          <w:szCs w:val="16"/>
          <w:color w:val="auto"/>
        </w:rPr>
        <w:t>” means any communication with potential investors undertaken in reliance on Section 5(d) or Rule 163B of the Securities Act.</w:t>
      </w:r>
    </w:p>
    <w:p>
      <w:pPr>
        <w:spacing w:after="0" w:line="165" w:lineRule="exact"/>
        <w:rPr>
          <w:rFonts w:ascii="Times New Roman" w:cs="Times New Roman" w:eastAsia="Times New Roman" w:hAnsi="Times New Roman"/>
          <w:sz w:val="16"/>
          <w:szCs w:val="16"/>
          <w:color w:val="auto"/>
        </w:rPr>
      </w:pPr>
    </w:p>
    <w:p>
      <w:pPr>
        <w:jc w:val="both"/>
        <w:ind w:left="-560" w:firstLine="569"/>
        <w:spacing w:after="0" w:line="248" w:lineRule="auto"/>
        <w:tabs>
          <w:tab w:leader="none" w:pos="207"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Statements. </w:t>
      </w:r>
      <w:r>
        <w:rPr>
          <w:rFonts w:ascii="Times New Roman" w:cs="Times New Roman" w:eastAsia="Times New Roman" w:hAnsi="Times New Roman"/>
          <w:sz w:val="16"/>
          <w:szCs w:val="16"/>
          <w:color w:val="auto"/>
        </w:rPr>
        <w:t>The financial statements included in each of the Pre-Effective Registration Statement, the Registration Statement, the Preliminary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Prospectus and the Prospectus, together with the related schedules and notes thereto, comply as to form in all material respects with the applicable accounting requirements of the Securities Act and the Exchange Act, as applicable,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6"/>
          <w:szCs w:val="16"/>
          <w:u w:val="single" w:color="auto"/>
          <w:color w:val="auto"/>
        </w:rPr>
        <w:t>U.S. GAAP</w:t>
      </w:r>
      <w:r>
        <w:rPr>
          <w:rFonts w:ascii="Times New Roman" w:cs="Times New Roman" w:eastAsia="Times New Roman" w:hAnsi="Times New Roman"/>
          <w:sz w:val="16"/>
          <w:szCs w:val="16"/>
          <w:color w:val="auto"/>
        </w:rPr>
        <w:t>”) applied on a consistent basis throughout the periods covered thereby except for any normal year-end adjustments in the Company’s quarterly financial statements. The other financial information included in each of the Pre-Effective Registration Statement, the Registration Statement, the Preliminary Prospectus and the Prospectus has been derived from the accounting records of the Company and its consolidated subsidiaries and presents fairly in all material respects the information shown thereby. The pro forma financial statements and the related notes thereto included in the Registration Statement and the Prospectus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therein, no historical or pro forma financial statements or supporting schedules are required to be included in the Registration Statement or the Prospectus under the Securities Act or the Securities Act regulations. The statistical, industry-related and market-related data included in each of the Pre-Effective Registration Statement, the Registration Statement, the Preliminary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72" w:lineRule="exact"/>
        <w:rPr>
          <w:rFonts w:ascii="Times New Roman" w:cs="Times New Roman" w:eastAsia="Times New Roman" w:hAnsi="Times New Roman"/>
          <w:sz w:val="16"/>
          <w:szCs w:val="16"/>
          <w:color w:val="auto"/>
        </w:rPr>
      </w:pPr>
    </w:p>
    <w:p>
      <w:pPr>
        <w:jc w:val="both"/>
        <w:ind w:left="-560" w:firstLine="569"/>
        <w:spacing w:after="0" w:line="257" w:lineRule="auto"/>
        <w:tabs>
          <w:tab w:leader="none" w:pos="19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Material Adverse Change. </w:t>
      </w:r>
      <w:r>
        <w:rPr>
          <w:rFonts w:ascii="Times New Roman" w:cs="Times New Roman" w:eastAsia="Times New Roman" w:hAnsi="Times New Roman"/>
          <w:sz w:val="16"/>
          <w:szCs w:val="16"/>
          <w:color w:val="auto"/>
        </w:rPr>
        <w:t>There has not occurred any Material Adverse Change, or any development involving a prospective Material Adverse 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condition, financial or otherwise, or in the earnings, business or operations of the Company and its subsidiaries, taken as a whole, since the date of the latest audited financial statements included within the Commission Reports, except as disclosed in the Pre-Effective Registration Statement, the Registration Statement, the Preliminary Prospectus or the Prospectus.</w:t>
      </w:r>
    </w:p>
    <w:p>
      <w:pPr>
        <w:spacing w:after="0" w:line="3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2" w:name="page303"/>
    <w:bookmarkEnd w:id="302"/>
    <w:p>
      <w:pPr>
        <w:jc w:val="both"/>
        <w:ind w:left="-560" w:firstLine="569"/>
        <w:spacing w:after="0" w:line="254" w:lineRule="auto"/>
        <w:tabs>
          <w:tab w:leader="none" w:pos="24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Organization and Good Standing. </w:t>
      </w:r>
      <w:r>
        <w:rPr>
          <w:rFonts w:ascii="Times New Roman" w:cs="Times New Roman" w:eastAsia="Times New Roman" w:hAnsi="Times New Roman"/>
          <w:sz w:val="16"/>
          <w:szCs w:val="16"/>
          <w:color w:val="auto"/>
        </w:rPr>
        <w:t>The Company has been duly incorporated, is validly existing as a corporation in good standing under the laws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jurisdiction of its incorporation, has the corporate power and authority to own or lease its property and to conduct its business as described in each of the Pre-Effective Registration Statement, the Registration Statement, the Preliminary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w:t>
      </w:r>
    </w:p>
    <w:p>
      <w:pPr>
        <w:spacing w:after="0" w:line="160" w:lineRule="exact"/>
        <w:rPr>
          <w:rFonts w:ascii="Times New Roman" w:cs="Times New Roman" w:eastAsia="Times New Roman" w:hAnsi="Times New Roman"/>
          <w:sz w:val="16"/>
          <w:szCs w:val="16"/>
          <w:color w:val="auto"/>
        </w:rPr>
      </w:pPr>
    </w:p>
    <w:p>
      <w:pPr>
        <w:jc w:val="both"/>
        <w:ind w:left="-560" w:firstLine="569"/>
        <w:spacing w:after="0" w:line="250" w:lineRule="auto"/>
        <w:tabs>
          <w:tab w:leader="none" w:pos="23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Significant Subsidiaries. </w:t>
      </w:r>
      <w:r>
        <w:rPr>
          <w:rFonts w:ascii="Times New Roman" w:cs="Times New Roman" w:eastAsia="Times New Roman" w:hAnsi="Times New Roman"/>
          <w:sz w:val="16"/>
          <w:szCs w:val="16"/>
          <w:color w:val="auto"/>
        </w:rPr>
        <w:t>Each “significant subsidiary” (as such term is defined in Rule 1-02 of Regulation S-X) of the Company (the “</w:t>
      </w:r>
      <w:r>
        <w:rPr>
          <w:rFonts w:ascii="Times New Roman" w:cs="Times New Roman" w:eastAsia="Times New Roman" w:hAnsi="Times New Roman"/>
          <w:sz w:val="16"/>
          <w:szCs w:val="16"/>
          <w:u w:val="single" w:color="auto"/>
          <w:color w:val="auto"/>
        </w:rPr>
        <w:t>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has been duly incorporated, organized or formed, is validly existing as a corporation or other business entity in good standing under the laws of the jurisdiction of its incorporation, organization or formation (to the extent the concept of good standing or any functional equivalent is applicable in such jurisdiction), has the corporate or other business entity power and authority to own or lease its property and to conduct its business as described in each of the Pre-Effective Registration Statement, the Registration Statement, the Preliminary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all of the issued shares of capital stock or other equity interests of each Significant Subsidiary of the Company have been duly and validly authorized and issued, are fully paid and non-assessable and are owned directly or indirectly by the Company, free and clear of all liens, encumbrances, equities or claims, except for such liens, encumbrances, equities or claims that would not be material to the Company and its subsidiaries, taken as a whole.</w:t>
      </w:r>
    </w:p>
    <w:p>
      <w:pPr>
        <w:spacing w:after="0" w:line="162" w:lineRule="exact"/>
        <w:rPr>
          <w:rFonts w:ascii="Times New Roman" w:cs="Times New Roman" w:eastAsia="Times New Roman" w:hAnsi="Times New Roman"/>
          <w:sz w:val="16"/>
          <w:szCs w:val="16"/>
          <w:color w:val="auto"/>
        </w:rPr>
      </w:pPr>
    </w:p>
    <w:p>
      <w:pPr>
        <w:jc w:val="both"/>
        <w:ind w:left="-560" w:firstLine="569"/>
        <w:spacing w:after="0" w:line="250" w:lineRule="auto"/>
        <w:tabs>
          <w:tab w:leader="none" w:pos="274"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Capitalization. </w:t>
      </w:r>
      <w:r>
        <w:rPr>
          <w:rFonts w:ascii="Times New Roman" w:cs="Times New Roman" w:eastAsia="Times New Roman" w:hAnsi="Times New Roman"/>
          <w:sz w:val="16"/>
          <w:szCs w:val="16"/>
          <w:color w:val="auto"/>
        </w:rPr>
        <w:t>All the outstanding shares of the Company have been duly and validly authorized and issued and are fully paid and non-assessable and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subject to any pre-emptive or similar rights; except as described in or expressly contemplated by the Preliminary Prospectus and the Prospectus, there are no outstanding rights (including, without limitation, pre-emptive rights), warrants or options to acquire, or instruments convertible into or exchangeable for, any shares or other equity interest in the Company or any of its subsidiaries, or any contract, commitment, agreement, understanding or arrangement of any kind relating to the issuance of any shares of the Company or any such subsidiary, any such convertible or exchangeable securities or any such rights, warrants or options; the share capital of the Company conforms in all material respects to the description thereof contained in the Pre-Effective Registration Statement, the Registration Statement, the Preliminary Prospectus and the Prospectus; the Shares to be issued in exchange for the Warrants as contemplated by the Offering Documents have been duly authorized for issuance and sale by the Company, and, when issued and delivered as contemplated therein, will be duly and validly issued, fully paid and nonassessable; neither the filing of the Registration Statement nor the issuance of the Shares as contemplated by the Offering Documents will give rise to any preemptive or similar rights, other than those which have been waived or satisfied.</w:t>
      </w: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3" w:name="page304"/>
    <w:bookmarkEnd w:id="303"/>
    <w:p>
      <w:pPr>
        <w:jc w:val="both"/>
        <w:ind w:left="-560" w:firstLine="569"/>
        <w:spacing w:after="0" w:line="262" w:lineRule="auto"/>
        <w:tabs>
          <w:tab w:leader="none" w:pos="23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Required Filings</w:t>
      </w:r>
      <w:r>
        <w:rPr>
          <w:rFonts w:ascii="Times New Roman" w:cs="Times New Roman" w:eastAsia="Times New Roman" w:hAnsi="Times New Roman"/>
          <w:sz w:val="16"/>
          <w:szCs w:val="16"/>
          <w:color w:val="auto"/>
        </w:rPr>
        <w:t>. The Company has filed with the Commission pursuant to Rule 13e-4(c)(1) under the Exchange Act (or Rule 425 under the Securities 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otherwise all written communications made by the Company or any Affiliate of the Company in connection with or relating to the Exchange Offer or the Consent Solicitation that are required to be filed with the Commission, in each case, on the date of their first use.</w:t>
      </w:r>
    </w:p>
    <w:p>
      <w:pPr>
        <w:spacing w:after="0" w:line="153"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254"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t>
      </w:r>
      <w:r>
        <w:rPr>
          <w:rFonts w:ascii="Times New Roman" w:cs="Times New Roman" w:eastAsia="Times New Roman" w:hAnsi="Times New Roman"/>
          <w:sz w:val="16"/>
          <w:szCs w:val="16"/>
          <w:color w:val="auto"/>
        </w:rPr>
        <w:t>The Company has complied in all material respects with the Securities Act and the Exchange Act and the rules and regulations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Commission thereunder in connection with the Exchange Offer, the Consent Solicitation, the Offering Documents and the transactions contemplated hereby and thereby. The Company is subject to and in full compliance with the reporting requirements of Section 13 or Section 15(d) of the Exchange Act. The Company has not received from the Commission any written comments, questions or requests for modification of disclosure in respect of any Commission Reports, except for comments, questions or requests (i) that have been satisfied by the provision of supplemental information to the staff of the Commission or (ii) in respect of which the Company has agreed with the staff of the Commission to make a prospective change in future Commission Reports, of which agreement the Dealer Manager and its counsel have been made aware.</w:t>
      </w:r>
    </w:p>
    <w:p>
      <w:pPr>
        <w:spacing w:after="0" w:line="165" w:lineRule="exact"/>
        <w:rPr>
          <w:rFonts w:ascii="Times New Roman" w:cs="Times New Roman" w:eastAsia="Times New Roman" w:hAnsi="Times New Roman"/>
          <w:sz w:val="16"/>
          <w:szCs w:val="16"/>
          <w:color w:val="auto"/>
        </w:rPr>
      </w:pPr>
    </w:p>
    <w:p>
      <w:pPr>
        <w:jc w:val="both"/>
        <w:ind w:left="-560" w:right="20" w:firstLine="569"/>
        <w:spacing w:after="0" w:line="279" w:lineRule="auto"/>
        <w:tabs>
          <w:tab w:leader="none" w:pos="23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Stock Options. </w:t>
      </w:r>
      <w:r>
        <w:rPr>
          <w:rFonts w:ascii="Times New Roman" w:cs="Times New Roman" w:eastAsia="Times New Roman" w:hAnsi="Times New Roman"/>
          <w:sz w:val="15"/>
          <w:szCs w:val="15"/>
          <w:color w:val="auto"/>
        </w:rPr>
        <w:t>Except as described in the Pre-Effective Registration Statement, the Registration Statement, the Preliminary Prospectus and the Prospectus,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 has not sold, issued or distributed any shares of Class A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restricted stock units, options, rights or warrants or exchange of common units of OPAL Fuels LLC.</w:t>
      </w:r>
    </w:p>
    <w:p>
      <w:pPr>
        <w:spacing w:after="0" w:line="143" w:lineRule="exact"/>
        <w:rPr>
          <w:rFonts w:ascii="Times New Roman" w:cs="Times New Roman" w:eastAsia="Times New Roman" w:hAnsi="Times New Roman"/>
          <w:sz w:val="15"/>
          <w:szCs w:val="15"/>
          <w:color w:val="auto"/>
        </w:rPr>
      </w:pPr>
    </w:p>
    <w:p>
      <w:pPr>
        <w:jc w:val="both"/>
        <w:ind w:left="-560" w:firstLine="569"/>
        <w:spacing w:after="0" w:line="262" w:lineRule="auto"/>
        <w:tabs>
          <w:tab w:leader="none" w:pos="23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Authorization</w:t>
      </w:r>
      <w:r>
        <w:rPr>
          <w:rFonts w:ascii="Times New Roman" w:cs="Times New Roman" w:eastAsia="Times New Roman" w:hAnsi="Times New Roman"/>
          <w:sz w:val="16"/>
          <w:szCs w:val="16"/>
          <w:color w:val="auto"/>
        </w:rPr>
        <w:t>. The Company has full right, power and authority to execute and deliver this Agreement and to perform its obligations hereunder; and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 required to be taken for the due and proper authorization, execution and delivery by it of this Agreement and the consummation by it of the transactions contemplated hereby has been duly and validly taken.</w:t>
      </w:r>
    </w:p>
    <w:p>
      <w:pPr>
        <w:spacing w:after="0" w:line="153" w:lineRule="exact"/>
        <w:rPr>
          <w:rFonts w:ascii="Times New Roman" w:cs="Times New Roman" w:eastAsia="Times New Roman" w:hAnsi="Times New Roman"/>
          <w:sz w:val="16"/>
          <w:szCs w:val="16"/>
          <w:color w:val="auto"/>
        </w:rPr>
      </w:pPr>
    </w:p>
    <w:p>
      <w:pPr>
        <w:ind w:left="200" w:hanging="191"/>
        <w:spacing w:after="0"/>
        <w:tabs>
          <w:tab w:leader="none" w:pos="2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Dealer Manager and Solicitation Agent Agreement. </w:t>
      </w:r>
      <w:r>
        <w:rPr>
          <w:rFonts w:ascii="Times New Roman" w:cs="Times New Roman" w:eastAsia="Times New Roman" w:hAnsi="Times New Roman"/>
          <w:sz w:val="16"/>
          <w:szCs w:val="16"/>
          <w:color w:val="auto"/>
        </w:rPr>
        <w:t>This Agreement has been duly authorized, executed and delivered by the Company.</w:t>
      </w:r>
    </w:p>
    <w:p>
      <w:pPr>
        <w:spacing w:after="0" w:line="3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4" w:name="page305"/>
    <w:bookmarkEnd w:id="304"/>
    <w:p>
      <w:pPr>
        <w:jc w:val="both"/>
        <w:ind w:left="-560" w:firstLine="569"/>
        <w:spacing w:after="0" w:line="251" w:lineRule="auto"/>
        <w:tabs>
          <w:tab w:leader="none" w:pos="21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Violation or Default. </w:t>
      </w:r>
      <w:r>
        <w:rPr>
          <w:rFonts w:ascii="Times New Roman" w:cs="Times New Roman" w:eastAsia="Times New Roman" w:hAnsi="Times New Roman"/>
          <w:sz w:val="16"/>
          <w:szCs w:val="16"/>
          <w:color w:val="auto"/>
        </w:rPr>
        <w:t>Neither the Company nor any of its subsidiaries: (i) is in default under or in violation of (and no event has occurred that has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been waived that, with notice or lapse of time or both, would reasonably be expected to result in a default by the Company or any of its subsidiaries under), nor has the Company or any of its subsidiaries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the case of each of clauses (i), (ii) and (iii) as could not reasonably be expected to result in a Material Adverse Effect.</w:t>
      </w:r>
    </w:p>
    <w:p>
      <w:pPr>
        <w:spacing w:after="0" w:line="161" w:lineRule="exact"/>
        <w:rPr>
          <w:rFonts w:ascii="Times New Roman" w:cs="Times New Roman" w:eastAsia="Times New Roman" w:hAnsi="Times New Roman"/>
          <w:sz w:val="16"/>
          <w:szCs w:val="16"/>
          <w:color w:val="auto"/>
        </w:rPr>
      </w:pPr>
    </w:p>
    <w:p>
      <w:pPr>
        <w:jc w:val="both"/>
        <w:ind w:left="-560" w:firstLine="569"/>
        <w:spacing w:after="0" w:line="249" w:lineRule="auto"/>
        <w:tabs>
          <w:tab w:leader="none" w:pos="19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Conflicts. </w:t>
      </w:r>
      <w:r>
        <w:rPr>
          <w:rFonts w:ascii="Times New Roman" w:cs="Times New Roman" w:eastAsia="Times New Roman" w:hAnsi="Times New Roman"/>
          <w:sz w:val="16"/>
          <w:szCs w:val="16"/>
          <w:color w:val="auto"/>
        </w:rPr>
        <w:t>The execution, delivery and performance by the Company of this Agreement, the conduct and consummation of the Exchange Offer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consummation by the Company of any other transactions contemplated by this Agreement or the Preliminary Prospectus and the Prospectus will not (i) conflict with or violate any provision of the Company’s certificate of incorporation or bylaws, (ii) conflict with or violate any provision of any of the Company’s subsidiaries’ certificates or articles of incorporation, bylaws or other organizational or charter documents, (iii) conflict with, or constitute a default (or an event that with notice or lapse of time or both would become a default) under, result in the creation of any lien, charge, pledge, security interest, encumbrance, right of first refusal, preemptive right or other restriction upon any of the properties or assets of the Company or any of its subsidiaries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of its subsidiaries is a party or by which any property or asset of the Company or any of its subsidiaries is bound or affected, or (iv) conflict with or result in a violation of any law, rule, regulation, order, judgment, injunction, decree or other restriction of any court or governmental authority to which the Company or any of its subsidiaries is subject (including federal and state securities laws and regulations), or by which any property or asset of the Company or any of its subsidiaries is bound or affected; except in the case of each of clauses (ii), (iii) and (iv), such as could not reasonably be expected to result in a Material Adverse Effect.</w:t>
      </w:r>
    </w:p>
    <w:p>
      <w:pPr>
        <w:spacing w:after="0" w:line="166"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23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Consents Required. </w:t>
      </w:r>
      <w:r>
        <w:rPr>
          <w:rFonts w:ascii="Times New Roman" w:cs="Times New Roman" w:eastAsia="Times New Roman" w:hAnsi="Times New Roman"/>
          <w:sz w:val="16"/>
          <w:szCs w:val="16"/>
          <w:color w:val="auto"/>
        </w:rPr>
        <w:t>The execution and delivery by the Company of, and the performance by the Company of its obligations under this Agreement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have been obtained or made, as may be required by the securities or Blue Sky laws of the various states or the rules and regulations of FINRA in connection with the offer and sale of the Shares or as could not reasonably be expected to have a Material Adverse Effect.</w:t>
      </w:r>
    </w:p>
    <w:p>
      <w:pPr>
        <w:spacing w:after="0" w:line="35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5" w:name="page306"/>
    <w:bookmarkEnd w:id="305"/>
    <w:p>
      <w:pPr>
        <w:jc w:val="both"/>
        <w:ind w:left="-560" w:firstLine="569"/>
        <w:spacing w:after="0" w:line="250" w:lineRule="auto"/>
        <w:tabs>
          <w:tab w:leader="none" w:pos="23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Legal Proceedings. </w:t>
      </w:r>
      <w:r>
        <w:rPr>
          <w:rFonts w:ascii="Times New Roman" w:cs="Times New Roman" w:eastAsia="Times New Roman" w:hAnsi="Times New Roman"/>
          <w:sz w:val="16"/>
          <w:szCs w:val="16"/>
          <w:color w:val="auto"/>
        </w:rPr>
        <w:t>There are no legal or governmental proceedings pending or, to the knowledge of the Company, threatened to which the Company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of its subsidiaries is a party or to which any of the properties of the Company or any of its subsidiaries is subject (i) other than proceedings accurately described in all material respects in each of the Pre-Effective Registration Statement, the Registration Statement, the Preliminary Prospectus and the Prospectus and proceedings that would not reasonably be expected to have a Material Adverse Effect, or would not reasonably be expected to impact the power or ability of the Company to perform its obligations under this Agreement or to consummate the transactions contemplated by each of the Pre-Effective Registration Statement, the Registration Statement, the Preliminary Prospectus and the Prospectus or (ii) that are required to be described in the Pre-Effective Registration Statement, the Registration Statement, the Preliminary Prospectus and the Prospectus and are not so described; and there are no statutes, regulations, contracts or other documents that are required to be described in the Pre-Effective Registration Statement, the Registration Statement, the Preliminary Prospectus and the Prospectus or to be filed as exhibits to the Registration Statement that are not described in all material respects or filed as required.</w:t>
      </w:r>
    </w:p>
    <w:p>
      <w:pPr>
        <w:spacing w:after="0" w:line="165" w:lineRule="exact"/>
        <w:rPr>
          <w:rFonts w:ascii="Times New Roman" w:cs="Times New Roman" w:eastAsia="Times New Roman" w:hAnsi="Times New Roman"/>
          <w:sz w:val="16"/>
          <w:szCs w:val="16"/>
          <w:color w:val="auto"/>
        </w:rPr>
      </w:pPr>
    </w:p>
    <w:p>
      <w:pPr>
        <w:jc w:val="both"/>
        <w:ind w:left="-560" w:firstLine="569"/>
        <w:spacing w:after="0" w:line="254" w:lineRule="auto"/>
        <w:tabs>
          <w:tab w:leader="none" w:pos="26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Independent Accountants. </w:t>
      </w:r>
      <w:r>
        <w:rPr>
          <w:rFonts w:ascii="Times New Roman" w:cs="Times New Roman" w:eastAsia="Times New Roman" w:hAnsi="Times New Roman"/>
          <w:sz w:val="16"/>
          <w:szCs w:val="16"/>
          <w:color w:val="auto"/>
        </w:rPr>
        <w:t>BDO USA, LLP, who have certified certain financial statements of Opal Fuels LLC and Beacon RNG LLC, for the applicable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and delivered their report with respect to the audited financial statements and schedules included in the Registration Statement and included in each of the Pre-Effective Registration Statement, the Registration Statement, the Preliminary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60"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23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Title to Real and Personal Property. </w:t>
      </w:r>
      <w:r>
        <w:rPr>
          <w:rFonts w:ascii="Times New Roman" w:cs="Times New Roman" w:eastAsia="Times New Roman" w:hAnsi="Times New Roman"/>
          <w:sz w:val="16"/>
          <w:szCs w:val="16"/>
          <w:color w:val="auto"/>
        </w:rPr>
        <w:t>The Company and each of its subsidiaries have good and marketable title in fee simple to all real property, if any,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good and marketable title to all personal property owned by them which is material to the business of the Company and its subsidiaries, taken as a whole, except to the extent that the failure to have good and marketable title to any real or personal property would not reasonably be expected to have a Material Adverse Effect, in each case free and clear of all liens, encumbrances and defects except such liens, encumbrances and defects would not reasonably be expected to have a Material Adverse Effect;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except, in each case, as would not reasonably be expected to have a Material Adverse Effect.</w:t>
      </w:r>
    </w:p>
    <w:p>
      <w:pPr>
        <w:spacing w:after="0" w:line="35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6" w:name="page307"/>
    <w:bookmarkEnd w:id="306"/>
    <w:p>
      <w:pPr>
        <w:jc w:val="both"/>
        <w:ind w:left="-560" w:firstLine="569"/>
        <w:spacing w:after="0" w:line="248" w:lineRule="auto"/>
        <w:tabs>
          <w:tab w:leader="none" w:pos="23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Intellectual Property. </w:t>
      </w:r>
      <w:r>
        <w:rPr>
          <w:rFonts w:ascii="Times New Roman" w:cs="Times New Roman" w:eastAsia="Times New Roman" w:hAnsi="Times New Roman"/>
          <w:sz w:val="16"/>
          <w:szCs w:val="16"/>
          <w:color w:val="auto"/>
        </w:rPr>
        <w:t>Except as would not reasonably be expected to have a Material Adverse Effect, (i) the Company and its subsidiaries own or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valid license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used or held for use in any material respect, or reasonably necessary to the conduct of their respective businesses as now conducted by them, and as proposed to be conducted in the Pre-Effective Registration Statement, the Registration Statement, the Preliminary Prospectus or the Prospectus;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(excluding office actions and other similar prosecution-related processes or proceedings by intellectual property registries and offices, including the United States Patent and Trademark Office); (iii) neither the Company nor any of its subsidiaries has received any notice alleging any infringement, misappropriation or other violation of Intellectual Property Rights; (iv) to the Company’s knowledge, no Person is infringing, misappropriating or otherwise violating, or has infringed, misappropriated or otherwise violated, any Intellectual Property Rights owned or controlled by the Company or any of its subsidiaries; (v) neither the Company nor any of its subsidiaries infringes, misappropriates or otherwise violates, or has infringed, misappropriated or otherwise violated, any Intellectual Property Rights of any Person, and the conduct of each of the respective businesses of the Company and its subsidiaries as described in Pre-Effective Registration Statement, the Registration Statement, the Preliminary Prospectus and the Prospectus will not knowingly infringe, misappropriate, or otherwise violate any Intellectual Property Rights of any Person; (vi) all employees or contractors engaged in the development of any Intellectual Property Rights on behalf of the Company or any of its subsidiaries have executed an invention assignment agreement or are otherwise subject to contractual provisions whereby such employees or contractors presently assign all of their right, title and interest in and to such Intellectual Property Rights to the Company or its applicable subsidiary, and to the Company’s knowledge no such agreement has been breached or violated; and (vii) the Company and its subsidiaries use, and have used, commercially reasonable efforts in accordance with customary industry practice to appropriately maintain the confidentiality of all Intellectual Property Rights owned by them, including maintenance and protection of all information intended to be maintained as a trade secret.</w:t>
      </w:r>
    </w:p>
    <w:p>
      <w:pPr>
        <w:spacing w:after="0" w:line="166" w:lineRule="exact"/>
        <w:rPr>
          <w:rFonts w:ascii="Times New Roman" w:cs="Times New Roman" w:eastAsia="Times New Roman" w:hAnsi="Times New Roman"/>
          <w:sz w:val="16"/>
          <w:szCs w:val="16"/>
          <w:color w:val="auto"/>
        </w:rPr>
      </w:pPr>
    </w:p>
    <w:p>
      <w:pPr>
        <w:jc w:val="both"/>
        <w:ind w:left="-560" w:firstLine="569"/>
        <w:spacing w:after="0" w:line="269" w:lineRule="auto"/>
        <w:tabs>
          <w:tab w:leader="none" w:pos="233"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Data Privacy. </w:t>
      </w:r>
      <w:r>
        <w:rPr>
          <w:rFonts w:ascii="Times New Roman" w:cs="Times New Roman" w:eastAsia="Times New Roman" w:hAnsi="Times New Roman"/>
          <w:sz w:val="15"/>
          <w:szCs w:val="15"/>
          <w:color w:val="auto"/>
        </w:rPr>
        <w:t>(i) The Company and each of its subsidiaries have complied during the past three years and are presently in compliance, in all material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respects,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or information (“</w:t>
      </w:r>
      <w:r>
        <w:rPr>
          <w:rFonts w:ascii="Times New Roman" w:cs="Times New Roman" w:eastAsia="Times New Roman" w:hAnsi="Times New Roman"/>
          <w:sz w:val="15"/>
          <w:szCs w:val="15"/>
          <w:u w:val="single" w:color="auto"/>
          <w:color w:val="auto"/>
        </w:rPr>
        <w:t>Data Security Obligations</w:t>
      </w:r>
      <w:r>
        <w:rPr>
          <w:rFonts w:ascii="Times New Roman" w:cs="Times New Roman" w:eastAsia="Times New Roman" w:hAnsi="Times New Roman"/>
          <w:sz w:val="15"/>
          <w:szCs w:val="15"/>
          <w:color w:val="auto"/>
        </w:rPr>
        <w:t>”); (ii) the Company and its subsidiaries have not received any written notification of or written complaint regarding and are unaware of any other facts that, individually or in the aggregate, would reasonably indicate non-compliance in any material respect with any Data Security Obligation by the Company or any of its subsidiaries; and (iii) to the knowledge of the Company, there is no action, suit or proceeding by or before any court or governmental agency, authority or body pending or to the knowledge of the Company or its subsidiaries threatened alleging non-compliance with any Data Security Obligation by the Company or any of its subsidiaries; except in the case of each of clauses (i), (ii) and (iii) as could not reasonably be expected to result in a Material Adverse Effect.</w:t>
      </w:r>
    </w:p>
    <w:p>
      <w:pPr>
        <w:spacing w:after="0" w:line="3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7" w:name="page308"/>
    <w:bookmarkEnd w:id="307"/>
    <w:p>
      <w:pPr>
        <w:jc w:val="both"/>
        <w:ind w:left="-560" w:right="20" w:firstLine="569"/>
        <w:spacing w:after="0" w:line="287" w:lineRule="auto"/>
        <w:tabs>
          <w:tab w:leader="none" w:pos="291"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Undisclosed Relationships. </w:t>
      </w:r>
      <w:r>
        <w:rPr>
          <w:rFonts w:ascii="Times New Roman" w:cs="Times New Roman" w:eastAsia="Times New Roman" w:hAnsi="Times New Roman"/>
          <w:sz w:val="15"/>
          <w:szCs w:val="15"/>
          <w:color w:val="auto"/>
        </w:rPr>
        <w:t>No relationship, direct or indirect, exists between or among the Company or any of its subsidiaries, on the one hand, and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officers, shareholders or other Affiliates of the Company or any of its subsidiaries, on the other, that is required by the Securities Act to be described in each of the Pre-Effective Registration Statement, the Registration Statement, the Preliminary Prospectus and the Prospectus and that is not so described in such documents.</w:t>
      </w:r>
    </w:p>
    <w:p>
      <w:pPr>
        <w:spacing w:after="0" w:line="137" w:lineRule="exact"/>
        <w:rPr>
          <w:rFonts w:ascii="Times New Roman" w:cs="Times New Roman" w:eastAsia="Times New Roman" w:hAnsi="Times New Roman"/>
          <w:sz w:val="15"/>
          <w:szCs w:val="15"/>
          <w:color w:val="auto"/>
        </w:rPr>
      </w:pPr>
    </w:p>
    <w:p>
      <w:pPr>
        <w:jc w:val="both"/>
        <w:ind w:left="-560" w:firstLine="569"/>
        <w:spacing w:after="0" w:line="262" w:lineRule="auto"/>
        <w:tabs>
          <w:tab w:leader="none" w:pos="3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Investment Company Act. </w:t>
      </w:r>
      <w:r>
        <w:rPr>
          <w:rFonts w:ascii="Times New Roman" w:cs="Times New Roman" w:eastAsia="Times New Roman" w:hAnsi="Times New Roman"/>
          <w:sz w:val="16"/>
          <w:szCs w:val="16"/>
          <w:color w:val="auto"/>
        </w:rPr>
        <w:t>The Company is not, and after giving effect to the consummation of the Exchange Offer and the Consent Solicitation will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register as an “investment company” or an entity “controlled” by an “investment company” within the meaning of the Investment Company Act of 1940, as amended, and the rules and regulations of the Commission thereunder.</w:t>
      </w:r>
    </w:p>
    <w:p>
      <w:pPr>
        <w:spacing w:after="0" w:line="153"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303"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Taxes. </w:t>
      </w:r>
      <w:r>
        <w:rPr>
          <w:rFonts w:ascii="Times New Roman" w:cs="Times New Roman" w:eastAsia="Times New Roman" w:hAnsi="Times New Roman"/>
          <w:sz w:val="16"/>
          <w:szCs w:val="16"/>
          <w:color w:val="auto"/>
        </w:rPr>
        <w:t>The Company and each of its subsidiaries have filed all federal, state, local and foreign tax returns required to be filed through the date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have requested extensions thereof (except where the failure to file would not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U.S. GAAP have been created in the financial statements of the Company), no tax deficiency has been determined adversely to the Company or any of its subsidiaries which has not been paid and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65" w:lineRule="exact"/>
        <w:rPr>
          <w:rFonts w:ascii="Times New Roman" w:cs="Times New Roman" w:eastAsia="Times New Roman" w:hAnsi="Times New Roman"/>
          <w:sz w:val="16"/>
          <w:szCs w:val="16"/>
          <w:color w:val="auto"/>
        </w:rPr>
      </w:pPr>
    </w:p>
    <w:p>
      <w:pPr>
        <w:jc w:val="both"/>
        <w:ind w:left="-560" w:firstLine="569"/>
        <w:spacing w:after="0" w:line="257" w:lineRule="auto"/>
        <w:tabs>
          <w:tab w:leader="none" w:pos="3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Licenses and Permits. </w:t>
      </w:r>
      <w:r>
        <w:rPr>
          <w:rFonts w:ascii="Times New Roman" w:cs="Times New Roman" w:eastAsia="Times New Roman" w:hAnsi="Times New Roman"/>
          <w:sz w:val="16"/>
          <w:szCs w:val="16"/>
          <w:color w:val="auto"/>
        </w:rPr>
        <w:t>The Company and each of its subsidiaries possess all certificates, authorizations and permits issued by the appropriate federal,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foreign regulatory authorities necessary to conduct their respective businesses (“</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except to the extent that the failure to possess such Permits would not reasonably be expected to have a Material Adverse Effect, and neither the Company nor any of its subsidiaries has received any written notice of proceedings relating to the revocation or modification of any such Permit which if the subject of an unfavorable decision, ruling or finding, would have a Material Adverse Effect.</w:t>
      </w:r>
    </w:p>
    <w:p>
      <w:pPr>
        <w:spacing w:after="0" w:line="3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08" w:name="page309"/>
    <w:bookmarkEnd w:id="308"/>
    <w:p>
      <w:pPr>
        <w:jc w:val="both"/>
        <w:ind w:left="-2" w:right="20" w:firstLine="569"/>
        <w:spacing w:after="0" w:line="262" w:lineRule="auto"/>
        <w:tabs>
          <w:tab w:leader="none" w:pos="849"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Labor Disputes. </w:t>
      </w:r>
      <w:r>
        <w:rPr>
          <w:rFonts w:ascii="Times New Roman" w:cs="Times New Roman" w:eastAsia="Times New Roman" w:hAnsi="Times New Roman"/>
          <w:sz w:val="16"/>
          <w:szCs w:val="16"/>
          <w:color w:val="auto"/>
        </w:rPr>
        <w:t>No material labor dispute with the employees of the Company or any of its subsidiaries exists, or, to the knowledge of the Company,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imminent; and the Company is not aware of any existing, threatened or imminent labor disturbance by the employees of any of its principal suppliers, manufacturers or contractors that would reasonably be expected to have a Material Adverse Effect.</w:t>
      </w:r>
    </w:p>
    <w:p>
      <w:pPr>
        <w:spacing w:after="0" w:line="153" w:lineRule="exact"/>
        <w:rPr>
          <w:rFonts w:ascii="Times New Roman" w:cs="Times New Roman" w:eastAsia="Times New Roman" w:hAnsi="Times New Roman"/>
          <w:sz w:val="16"/>
          <w:szCs w:val="16"/>
          <w:color w:val="auto"/>
        </w:rPr>
      </w:pPr>
    </w:p>
    <w:p>
      <w:pPr>
        <w:jc w:val="both"/>
        <w:ind w:left="-2" w:firstLine="569"/>
        <w:spacing w:after="0" w:line="267" w:lineRule="auto"/>
        <w:tabs>
          <w:tab w:leader="none" w:pos="824"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Certain Environmental Matters</w:t>
      </w:r>
      <w:r>
        <w:rPr>
          <w:rFonts w:ascii="Times New Roman" w:cs="Times New Roman" w:eastAsia="Times New Roman" w:hAnsi="Times New Roman"/>
          <w:sz w:val="15"/>
          <w:szCs w:val="15"/>
          <w:color w:val="auto"/>
        </w:rPr>
        <w:t>. Except as described in the Preliminary Prospectus and the Prospectus or would not reasonably be expected to result in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Material Adverse Effect, (A) neither the Company nor any of its subsidiaries is in violation of any federal, state, local or foreign statute, law, rule, regulation, ordinance, code, judicial or administrative order, consent decree or judgment, relating to pollution or protection of human health (to the extent related to Hazardous Materials exposure),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5"/>
          <w:szCs w:val="15"/>
          <w:u w:val="single" w:color="auto"/>
          <w:color w:val="auto"/>
        </w:rPr>
        <w:t>Hazardous Materials</w:t>
      </w:r>
      <w:r>
        <w:rPr>
          <w:rFonts w:ascii="Times New Roman" w:cs="Times New Roman" w:eastAsia="Times New Roman" w:hAnsi="Times New Roman"/>
          <w:sz w:val="15"/>
          <w:szCs w:val="15"/>
          <w:color w:val="auto"/>
        </w:rPr>
        <w:t>”) or to the manufacture, processing, distribution, use, treatment, storage, disposal, transport or handling of Hazardous Materials (collectively, “</w:t>
      </w:r>
      <w:r>
        <w:rPr>
          <w:rFonts w:ascii="Times New Roman" w:cs="Times New Roman" w:eastAsia="Times New Roman" w:hAnsi="Times New Roman"/>
          <w:sz w:val="15"/>
          <w:szCs w:val="15"/>
          <w:u w:val="single" w:color="auto"/>
          <w:color w:val="auto"/>
        </w:rPr>
        <w:t>Environmental Laws</w:t>
      </w:r>
      <w:r>
        <w:rPr>
          <w:rFonts w:ascii="Times New Roman" w:cs="Times New Roman" w:eastAsia="Times New Roman" w:hAnsi="Times New Roman"/>
          <w:sz w:val="15"/>
          <w:szCs w:val="15"/>
          <w:color w:val="auto"/>
        </w:rPr>
        <w:t>”), (B) the Company and its subsidiaries have all permits, authorizations and approvals required under any applicable Environmental Laws and are each in compliance with their requirements, (C) there are no pending or threatened (in writing) administrative, regulatory or judicial actions, suits, demands, demand letters, claims, liens, notices of noncompliance or violation, investigations or proceedings relating to any Environmental Law against the Company or any of its subsidiaries and (D) there are no pending or unresolved orders against the Company for clean-up or remediation, nor are there any pending or unresolved actions, suits or proceedings by any private party or any arbitrator, court, governmental body, regulatory body, administrative agency or other authority, body or agency having jurisdiction over the Company or any of its subsidiaries or any of their respective properties, assets or operations, against or affecting the Company or any of its subsidiaries relating to Hazardous Materials or any Environmental Laws.</w:t>
      </w:r>
    </w:p>
    <w:p>
      <w:pPr>
        <w:spacing w:after="0" w:line="151" w:lineRule="exact"/>
        <w:rPr>
          <w:rFonts w:ascii="Times New Roman" w:cs="Times New Roman" w:eastAsia="Times New Roman" w:hAnsi="Times New Roman"/>
          <w:sz w:val="15"/>
          <w:szCs w:val="15"/>
          <w:color w:val="auto"/>
        </w:rPr>
      </w:pPr>
    </w:p>
    <w:p>
      <w:pPr>
        <w:jc w:val="both"/>
        <w:ind w:left="-2" w:right="20" w:firstLine="569"/>
        <w:spacing w:after="0" w:line="271" w:lineRule="auto"/>
        <w:tabs>
          <w:tab w:leader="none" w:pos="867"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ERISA</w:t>
      </w:r>
      <w:r>
        <w:rPr>
          <w:rFonts w:ascii="Times New Roman" w:cs="Times New Roman" w:eastAsia="Times New Roman" w:hAnsi="Times New Roman"/>
          <w:sz w:val="15"/>
          <w:szCs w:val="15"/>
          <w:color w:val="auto"/>
        </w:rPr>
        <w:t>. (i) Each employee benefit plan, within the meaning of Section 3(3) of the Employee Retirement Income Security Act of 1974,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amended (“</w:t>
      </w:r>
      <w:r>
        <w:rPr>
          <w:rFonts w:ascii="Times New Roman" w:cs="Times New Roman" w:eastAsia="Times New Roman" w:hAnsi="Times New Roman"/>
          <w:sz w:val="15"/>
          <w:szCs w:val="15"/>
          <w:u w:val="single" w:color="auto"/>
          <w:color w:val="auto"/>
        </w:rPr>
        <w:t>ERISA</w:t>
      </w:r>
      <w:r>
        <w:rPr>
          <w:rFonts w:ascii="Times New Roman" w:cs="Times New Roman" w:eastAsia="Times New Roman" w:hAnsi="Times New Roman"/>
          <w:sz w:val="15"/>
          <w:szCs w:val="15"/>
          <w:color w:val="auto"/>
        </w:rPr>
        <w:t>”), that is sponsored or maintained by the Company or with respect to which the Company would have any liability (each, a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has been maintained in compliance with its terms and the requirements of any applicable statutes, orders, rules and regulations, including, but not limited to, ERISA and the Code;</w:t>
      </w:r>
    </w:p>
    <w:p>
      <w:pPr>
        <w:spacing w:after="0" w:line="2" w:lineRule="exact"/>
        <w:rPr>
          <w:rFonts w:ascii="Times New Roman" w:cs="Times New Roman" w:eastAsia="Times New Roman" w:hAnsi="Times New Roman"/>
          <w:sz w:val="15"/>
          <w:szCs w:val="15"/>
          <w:color w:val="auto"/>
        </w:rPr>
      </w:pPr>
    </w:p>
    <w:p>
      <w:pPr>
        <w:jc w:val="both"/>
        <w:ind w:left="-2" w:firstLine="2"/>
        <w:spacing w:after="0" w:line="247" w:lineRule="auto"/>
        <w:tabs>
          <w:tab w:leader="none" w:pos="23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prohibited transaction, within the meaning of Section 406 of ERISA or Section 4975 of the Code, has occurred with respect to any Plan, excluding transactions effected pursuant to a statutory or administrative exemption; and (iii) each Plan that is intended to be qualified under Section 401(a) of the Code is subject to a favorable determination, advisor or opinion letter, as applicable, from the Internal Revenue Service, and nothing has occurred, whether by action or by failure to act, that, to the best knowledge of the Company, is reasonably likely to result in the revocation of any such determination, advisor or opinion letter, as applicable, except in each case with respect to the events or conditions set forth in (i) through (iii) hereof, as would not reasonably be expected to have a Material Adverse Effect. The Company does not have any obligations or liabilities with respect to any Plan that is (i) a “pension plan” within the meaning of Section 3(2) of ERISA that is subject to Section 412 of the Code or Title IV of ERISA or Section 302 of ERISA, or (ii) a “multiemployer plan” within the meaning of Section 3(37) of ERISA.</w:t>
      </w:r>
    </w:p>
    <w:p>
      <w:pPr>
        <w:spacing w:after="0" w:line="358" w:lineRule="exact"/>
        <w:rPr>
          <w:sz w:val="20"/>
          <w:szCs w:val="20"/>
          <w:color w:val="auto"/>
        </w:rPr>
      </w:pPr>
    </w:p>
    <w:p>
      <w:pPr>
        <w:ind w:left="4978"/>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714946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698"/>
          </w:cols>
          <w:pgMar w:left="882" w:top="806" w:right="319" w:bottom="1440" w:gutter="0" w:footer="0" w:header="0"/>
        </w:sectPr>
      </w:pPr>
    </w:p>
    <w:bookmarkStart w:id="309" w:name="page310"/>
    <w:bookmarkEnd w:id="309"/>
    <w:p>
      <w:pPr>
        <w:jc w:val="both"/>
        <w:ind w:left="-560" w:firstLine="569"/>
        <w:spacing w:after="0" w:line="248" w:lineRule="auto"/>
        <w:tabs>
          <w:tab w:leader="none" w:pos="309"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Sarbanes-Oxley; Internal Accounting Controls. </w:t>
      </w:r>
      <w:r>
        <w:rPr>
          <w:rFonts w:ascii="Times New Roman" w:cs="Times New Roman" w:eastAsia="Times New Roman" w:hAnsi="Times New Roman"/>
          <w:sz w:val="16"/>
          <w:szCs w:val="16"/>
          <w:color w:val="auto"/>
        </w:rPr>
        <w:t>Except as disclosed in the Preliminary Prospectus and Prospectus (A) the Company and its subsidiaries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compliance with any and all applicable requirements of the Sarbanes-Oxley Act of 2002, as amended, that are effective as of the date hereof, and any and all applicable rules and regulations promulgated by the Commission thereunder that are effective as of the date hereof, as of the Commencement Date and as of the Exchange Date; (B) 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(C) the Company and its subsidiaries have established disclosure controls and procedures (as defined in Exchange Act Rules 13a-15(e) and 15d-15(e)) for the Company and its subsidiaries and designed such disclosure controls and procedures to ensure that information required to be disclosed by the Company in the Commission Reports is recorded, processed, summarized and reported, within the time periods specified in the Commission’s rules and forms. The Company’s certifying officers have evaluated the effectiveness of the disclosure controls and procedures of the Company and its subsidiaries as of the end of the period covered by the most recently filed periodic report under the Exchange Act (such date, the “</w:t>
      </w:r>
      <w:r>
        <w:rPr>
          <w:rFonts w:ascii="Times New Roman" w:cs="Times New Roman" w:eastAsia="Times New Roman" w:hAnsi="Times New Roman"/>
          <w:sz w:val="16"/>
          <w:szCs w:val="16"/>
          <w:u w:val="single" w:color="auto"/>
          <w:color w:val="auto"/>
        </w:rPr>
        <w:t>Evaluation Date</w:t>
      </w:r>
      <w:r>
        <w:rPr>
          <w:rFonts w:ascii="Times New Roman" w:cs="Times New Roman" w:eastAsia="Times New Roman" w:hAnsi="Times New Roman"/>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(i) no material weakness in the Company’s internal control over financial reporting (whether or not remediated), except as disclosed in the most recently filed periodic report under the Exchange Act and in the Preliminary Prospectus and Prospectus and (ii) no change in the Company’s internal control over financial reporting that has materially affected, or is reasonably likely to materially affect, the Company’s internal control over financial reporting.</w:t>
      </w:r>
    </w:p>
    <w:p>
      <w:pPr>
        <w:spacing w:after="0" w:line="170" w:lineRule="exact"/>
        <w:rPr>
          <w:rFonts w:ascii="Times New Roman" w:cs="Times New Roman" w:eastAsia="Times New Roman" w:hAnsi="Times New Roman"/>
          <w:sz w:val="16"/>
          <w:szCs w:val="16"/>
          <w:color w:val="auto"/>
        </w:rPr>
      </w:pPr>
    </w:p>
    <w:p>
      <w:pPr>
        <w:jc w:val="both"/>
        <w:ind w:left="-560" w:firstLine="569"/>
        <w:spacing w:after="0" w:line="254" w:lineRule="auto"/>
        <w:tabs>
          <w:tab w:leader="none" w:pos="25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Insurance. </w:t>
      </w:r>
      <w:r>
        <w:rPr>
          <w:rFonts w:ascii="Times New Roman" w:cs="Times New Roman" w:eastAsia="Times New Roman" w:hAnsi="Times New Roman"/>
          <w:sz w:val="16"/>
          <w:szCs w:val="16"/>
          <w:color w:val="auto"/>
        </w:rPr>
        <w:t>Except as would not reasonably be expected to have a Material Adverse Effect, (i) the Company and each of its subsidiaries are insured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insurers of recognized financial responsibility against such losses and risks and in such amounts as are prudent and customary in the businesses in which they are engaged; (ii) neither the Company nor any of its subsidiaries has been refused any insurance coverage sought or applied for; and (iii) the Company has no reason to believe that it or its subsidiaries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3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10" w:name="page311"/>
    <w:bookmarkEnd w:id="310"/>
    <w:p>
      <w:pPr>
        <w:jc w:val="both"/>
        <w:ind w:left="-560" w:firstLine="569"/>
        <w:spacing w:after="0" w:line="248" w:lineRule="auto"/>
        <w:tabs>
          <w:tab w:leader="none" w:pos="25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Foreign Corrupt Practices Act and UK Bribery Act 2010</w:t>
      </w:r>
      <w:r>
        <w:rPr>
          <w:rFonts w:ascii="Times New Roman" w:cs="Times New Roman" w:eastAsia="Times New Roman" w:hAnsi="Times New Roman"/>
          <w:sz w:val="16"/>
          <w:szCs w:val="16"/>
          <w:color w:val="auto"/>
        </w:rPr>
        <w:t>. None of the Company, any of its subsidiaries, directors, officers or, to the knowledge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any agent, employee, controlled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6"/>
          <w:szCs w:val="16"/>
          <w:u w:val="single" w:color="auto"/>
          <w:color w:val="auto"/>
        </w:rPr>
        <w:t>FCPA</w:t>
      </w:r>
      <w:r>
        <w:rPr>
          <w:rFonts w:ascii="Times New Roman" w:cs="Times New Roman" w:eastAsia="Times New Roman" w:hAnsi="Times New Roman"/>
          <w:sz w:val="16"/>
          <w:szCs w:val="16"/>
          <w:color w:val="auto"/>
        </w:rPr>
        <w:t>”), the U.K. Bribery Act of 2010, as amended, and the rules thereunder (the “</w:t>
      </w:r>
      <w:r>
        <w:rPr>
          <w:rFonts w:ascii="Times New Roman" w:cs="Times New Roman" w:eastAsia="Times New Roman" w:hAnsi="Times New Roman"/>
          <w:sz w:val="16"/>
          <w:szCs w:val="16"/>
          <w:u w:val="single" w:color="auto"/>
          <w:color w:val="auto"/>
        </w:rPr>
        <w:t>UK Act</w:t>
      </w:r>
      <w:r>
        <w:rPr>
          <w:rFonts w:ascii="Times New Roman" w:cs="Times New Roman" w:eastAsia="Times New Roman" w:hAnsi="Times New Roman"/>
          <w:sz w:val="16"/>
          <w:szCs w:val="16"/>
          <w:color w:val="auto"/>
        </w:rPr>
        <w:t>”), or similar applicable law of any other jurisdiction or the rules and regulations under the FCPA, UK Act or similar applicable law of any other jurisdiction including, without limitation, (i) using any corporate funds for any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or (ii)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UK Act or similar applicable law of any other jurisdiction and the Company and, to the knowledge of the Company, its controlled Affiliates have conducted their businesses in compliance with the FCPA, the UK Act or similar applicable law of any other jurisdiction and have instituted and maintain policies and procedures designed to ensure, and which are reasonably expected to continue to ensure, continued compliance therewith and with the representations and warranties contained herein.</w:t>
      </w:r>
    </w:p>
    <w:p>
      <w:pPr>
        <w:spacing w:after="0" w:line="172" w:lineRule="exact"/>
        <w:rPr>
          <w:rFonts w:ascii="Times New Roman" w:cs="Times New Roman" w:eastAsia="Times New Roman" w:hAnsi="Times New Roman"/>
          <w:sz w:val="16"/>
          <w:szCs w:val="16"/>
          <w:color w:val="auto"/>
        </w:rPr>
      </w:pPr>
    </w:p>
    <w:p>
      <w:pPr>
        <w:jc w:val="both"/>
        <w:ind w:left="-560" w:firstLine="569"/>
        <w:spacing w:after="0" w:line="251" w:lineRule="auto"/>
        <w:tabs>
          <w:tab w:leader="none" w:pos="309"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Anti-Money Laundering Laws</w:t>
      </w:r>
      <w:r>
        <w:rPr>
          <w:rFonts w:ascii="Times New Roman" w:cs="Times New Roman" w:eastAsia="Times New Roman" w:hAnsi="Times New Roman"/>
          <w:sz w:val="16"/>
          <w:szCs w:val="16"/>
          <w:color w:val="auto"/>
        </w:rPr>
        <w:t>. The operations of the Company and each of its subsidiaries are and have been conducted at all times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6"/>
          <w:szCs w:val="16"/>
          <w:u w:val="single" w:color="auto"/>
          <w:color w:val="auto"/>
        </w:rPr>
        <w:t>Anti-Money Laundering Laws</w:t>
      </w:r>
      <w:r>
        <w:rPr>
          <w:rFonts w:ascii="Times New Roman" w:cs="Times New Roman" w:eastAsia="Times New Roman" w:hAnsi="Times New Roman"/>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6" w:right="319" w:bottom="1440" w:gutter="0" w:footer="0" w:header="0"/>
        </w:sectPr>
      </w:pPr>
    </w:p>
    <w:bookmarkStart w:id="311" w:name="page312"/>
    <w:bookmarkEnd w:id="311"/>
    <w:p>
      <w:pPr>
        <w:jc w:val="both"/>
        <w:ind w:left="-2" w:firstLine="569"/>
        <w:spacing w:after="0" w:line="267" w:lineRule="auto"/>
        <w:tabs>
          <w:tab w:leader="none" w:pos="833"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OFAC. </w:t>
      </w:r>
      <w:r>
        <w:rPr>
          <w:rFonts w:ascii="Times New Roman" w:cs="Times New Roman" w:eastAsia="Times New Roman" w:hAnsi="Times New Roman"/>
          <w:sz w:val="15"/>
          <w:szCs w:val="15"/>
          <w:color w:val="auto"/>
        </w:rPr>
        <w:t>None of the Company, any of its subsidiaries, directors, officers or, to the knowledge of the Company, any agent, employee, Affiliate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representative of the Company or any of its subsidiaries acting on behalf of the Company or any of its subsidiaries is an individual or entity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currently the subject or target of applicable sanctions administered or enforced by the United States Government, including, the U.S. Department of the Treasury’s Office of Foreign Assets Control (“</w:t>
      </w:r>
      <w:r>
        <w:rPr>
          <w:rFonts w:ascii="Times New Roman" w:cs="Times New Roman" w:eastAsia="Times New Roman" w:hAnsi="Times New Roman"/>
          <w:sz w:val="15"/>
          <w:szCs w:val="15"/>
          <w:u w:val="single" w:color="auto"/>
          <w:color w:val="auto"/>
        </w:rPr>
        <w:t>OFAC</w:t>
      </w:r>
      <w:r>
        <w:rPr>
          <w:rFonts w:ascii="Times New Roman" w:cs="Times New Roman" w:eastAsia="Times New Roman" w:hAnsi="Times New Roman"/>
          <w:sz w:val="15"/>
          <w:szCs w:val="15"/>
          <w:color w:val="auto"/>
        </w:rPr>
        <w:t>”) or the U.S. Department of State, the United Nations Security Council, the European Union, or His Majesty’s Treasury (“</w:t>
      </w:r>
      <w:r>
        <w:rPr>
          <w:rFonts w:ascii="Times New Roman" w:cs="Times New Roman" w:eastAsia="Times New Roman" w:hAnsi="Times New Roman"/>
          <w:sz w:val="15"/>
          <w:szCs w:val="15"/>
          <w:u w:val="single" w:color="auto"/>
          <w:color w:val="auto"/>
        </w:rPr>
        <w:t>HMT</w:t>
      </w:r>
      <w:r>
        <w:rPr>
          <w:rFonts w:ascii="Times New Roman" w:cs="Times New Roman" w:eastAsia="Times New Roman" w:hAnsi="Times New Roman"/>
          <w:sz w:val="15"/>
          <w:szCs w:val="15"/>
          <w:color w:val="auto"/>
        </w:rPr>
        <w:t>”) (collectively, “</w:t>
      </w:r>
      <w:r>
        <w:rPr>
          <w:rFonts w:ascii="Times New Roman" w:cs="Times New Roman" w:eastAsia="Times New Roman" w:hAnsi="Times New Roman"/>
          <w:sz w:val="15"/>
          <w:szCs w:val="15"/>
          <w:u w:val="single" w:color="auto"/>
          <w:color w:val="auto"/>
        </w:rPr>
        <w:t>Sanctions</w:t>
      </w:r>
      <w:r>
        <w:rPr>
          <w:rFonts w:ascii="Times New Roman" w:cs="Times New Roman" w:eastAsia="Times New Roman" w:hAnsi="Times New Roman"/>
          <w:sz w:val="15"/>
          <w:szCs w:val="15"/>
          <w:color w:val="auto"/>
        </w:rPr>
        <w:t>”), nor is the Company located, organized or resident in a country or territory that is the subject of country-wide or territory-wide Sanctions (as of the date of this Agreement, the Crimea region of Ukraine, the so-called Donetsk People’s Republic, the so-called Luhansk People’s Republic, Cuba, Iran, Syria or North Korea) (each a “</w:t>
      </w:r>
      <w:r>
        <w:rPr>
          <w:rFonts w:ascii="Times New Roman" w:cs="Times New Roman" w:eastAsia="Times New Roman" w:hAnsi="Times New Roman"/>
          <w:sz w:val="15"/>
          <w:szCs w:val="15"/>
          <w:u w:val="single" w:color="auto"/>
          <w:color w:val="auto"/>
        </w:rPr>
        <w:t>Sanctioned Country</w:t>
      </w:r>
      <w:r>
        <w:rPr>
          <w:rFonts w:ascii="Times New Roman" w:cs="Times New Roman" w:eastAsia="Times New Roman" w:hAnsi="Times New Roman"/>
          <w:sz w:val="15"/>
          <w:szCs w:val="15"/>
          <w:color w:val="auto"/>
        </w:rPr>
        <w:t>”). None of the Company, any of its subsidiaries, or any director, officer, or, to the Company’s knowledge, any employee, agent, affiliate or representative of the Company or any of its subsidiaries, is a Person that is, or is 50% or more owned or controlled by one or more Persons that are the subject of applicable Sanctions, or located, organized or resident in a Sanctioned Country. For the past five years, the Company and its subsidiaries have not knowingly engaged in, are not now knowingly engaged in any and will not knowingly engage in any dealings or transactions with any person that at the time of the dealing or transaction is or was the subject or the target of comprehensive Sanctions or with a Sanctioned Country, except as would be permissible under relevant Sanctions.</w:t>
      </w:r>
    </w:p>
    <w:p>
      <w:pPr>
        <w:spacing w:after="0" w:line="157" w:lineRule="exact"/>
        <w:rPr>
          <w:rFonts w:ascii="Times New Roman" w:cs="Times New Roman" w:eastAsia="Times New Roman" w:hAnsi="Times New Roman"/>
          <w:sz w:val="15"/>
          <w:szCs w:val="15"/>
          <w:color w:val="auto"/>
        </w:rPr>
      </w:pPr>
    </w:p>
    <w:p>
      <w:pPr>
        <w:jc w:val="both"/>
        <w:ind w:left="-2" w:firstLine="569"/>
        <w:spacing w:after="0" w:line="254" w:lineRule="auto"/>
        <w:tabs>
          <w:tab w:leader="none" w:pos="955"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Restrictions on Subsidiaries</w:t>
      </w:r>
      <w:r>
        <w:rPr>
          <w:rFonts w:ascii="Times New Roman" w:cs="Times New Roman" w:eastAsia="Times New Roman" w:hAnsi="Times New Roman"/>
          <w:sz w:val="16"/>
          <w:szCs w:val="16"/>
          <w:color w:val="auto"/>
        </w:rPr>
        <w:t>. Except as described in the Pre-Effective Registration Statement, the Registration Statement, the Preliminary Prospectus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form transferring any of such subsidiary’s properties or assets to the Company or any other subsidiary of the Company.</w:t>
      </w:r>
    </w:p>
    <w:p>
      <w:pPr>
        <w:spacing w:after="0" w:line="160" w:lineRule="exact"/>
        <w:rPr>
          <w:rFonts w:ascii="Times New Roman" w:cs="Times New Roman" w:eastAsia="Times New Roman" w:hAnsi="Times New Roman"/>
          <w:sz w:val="16"/>
          <w:szCs w:val="16"/>
          <w:color w:val="auto"/>
        </w:rPr>
      </w:pPr>
    </w:p>
    <w:p>
      <w:pPr>
        <w:ind w:left="878" w:hanging="311"/>
        <w:spacing w:after="0"/>
        <w:tabs>
          <w:tab w:leader="none" w:pos="878"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Solicitation. </w:t>
      </w:r>
      <w:r>
        <w:rPr>
          <w:rFonts w:ascii="Times New Roman" w:cs="Times New Roman" w:eastAsia="Times New Roman" w:hAnsi="Times New Roman"/>
          <w:sz w:val="16"/>
          <w:szCs w:val="16"/>
          <w:color w:val="auto"/>
        </w:rPr>
        <w:t>The Company has not paid or agreed to pay to any person any compensation for (i) soliciting another to purchase any of its securities or</w:t>
      </w:r>
    </w:p>
    <w:p>
      <w:pPr>
        <w:spacing w:after="0" w:line="24" w:lineRule="exact"/>
        <w:rPr>
          <w:rFonts w:ascii="Times New Roman" w:cs="Times New Roman" w:eastAsia="Times New Roman" w:hAnsi="Times New Roman"/>
          <w:sz w:val="16"/>
          <w:szCs w:val="16"/>
          <w:color w:val="auto"/>
        </w:rPr>
      </w:pPr>
    </w:p>
    <w:p>
      <w:pPr>
        <w:ind w:left="238" w:hanging="238"/>
        <w:spacing w:after="0"/>
        <w:tabs>
          <w:tab w:leader="none" w:pos="238"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soliciting tenders or Consents by holders of Warrants pursuant to the Exchange Offer (except as contemplated in this Agreement).</w:t>
      </w:r>
    </w:p>
    <w:p>
      <w:pPr>
        <w:spacing w:after="0" w:line="174" w:lineRule="exact"/>
        <w:rPr>
          <w:rFonts w:ascii="Times New Roman" w:cs="Times New Roman" w:eastAsia="Times New Roman" w:hAnsi="Times New Roman"/>
          <w:sz w:val="16"/>
          <w:szCs w:val="16"/>
          <w:color w:val="auto"/>
        </w:rPr>
      </w:pPr>
    </w:p>
    <w:p>
      <w:pPr>
        <w:jc w:val="both"/>
        <w:ind w:left="-2" w:right="20" w:firstLine="569"/>
        <w:spacing w:after="0" w:line="262" w:lineRule="auto"/>
        <w:tabs>
          <w:tab w:leader="none" w:pos="879"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Registration Rights</w:t>
      </w:r>
      <w:r>
        <w:rPr>
          <w:rFonts w:ascii="Times New Roman" w:cs="Times New Roman" w:eastAsia="Times New Roman" w:hAnsi="Times New Roman"/>
          <w:sz w:val="16"/>
          <w:szCs w:val="16"/>
          <w:color w:val="auto"/>
        </w:rPr>
        <w:t>. Except as described in the Pre-Effective Registration Statement, the Registration Statement, the Preliminary Prospectus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Prospectus, no person has the right to require the Company or any of its subsidiaries to register any securities for sale under the Securities Act by reason of the filing of the Pre-Effective Registration Statement or the Registration Statement with the Commission.</w:t>
      </w:r>
    </w:p>
    <w:p>
      <w:pPr>
        <w:spacing w:after="0" w:line="153" w:lineRule="exact"/>
        <w:rPr>
          <w:rFonts w:ascii="Times New Roman" w:cs="Times New Roman" w:eastAsia="Times New Roman" w:hAnsi="Times New Roman"/>
          <w:sz w:val="16"/>
          <w:szCs w:val="16"/>
          <w:color w:val="auto"/>
        </w:rPr>
      </w:pPr>
    </w:p>
    <w:p>
      <w:pPr>
        <w:ind w:left="-2" w:right="20" w:firstLine="569"/>
        <w:spacing w:after="0" w:line="278" w:lineRule="auto"/>
        <w:tabs>
          <w:tab w:leader="none" w:pos="867"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Stabilization. </w:t>
      </w:r>
      <w:r>
        <w:rPr>
          <w:rFonts w:ascii="Times New Roman" w:cs="Times New Roman" w:eastAsia="Times New Roman" w:hAnsi="Times New Roman"/>
          <w:sz w:val="16"/>
          <w:szCs w:val="16"/>
          <w:color w:val="auto"/>
        </w:rPr>
        <w:t>The Company has not taken, directly or indirectly, any action designed to or that could reasonably be expected to cause or result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stabilization or manipulation of the price of any security of the Company to facilitate the Exchange Offer.</w:t>
      </w:r>
    </w:p>
    <w:p>
      <w:pPr>
        <w:spacing w:after="0" w:line="332" w:lineRule="exact"/>
        <w:rPr>
          <w:sz w:val="20"/>
          <w:szCs w:val="20"/>
          <w:color w:val="auto"/>
        </w:rPr>
      </w:pPr>
    </w:p>
    <w:p>
      <w:pPr>
        <w:ind w:left="4978"/>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714946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698"/>
          </w:cols>
          <w:pgMar w:left="882" w:top="806" w:right="319" w:bottom="1440" w:gutter="0" w:footer="0" w:header="0"/>
        </w:sectPr>
      </w:pPr>
    </w:p>
    <w:bookmarkStart w:id="312" w:name="page313"/>
    <w:bookmarkEnd w:id="312"/>
    <w:p>
      <w:pPr>
        <w:jc w:val="both"/>
        <w:ind w:left="565" w:right="20" w:firstLine="569"/>
        <w:spacing w:after="0" w:line="262" w:lineRule="auto"/>
        <w:tabs>
          <w:tab w:leader="none" w:pos="1434"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Forward-Looking Statements. </w:t>
      </w:r>
      <w:r>
        <w:rPr>
          <w:rFonts w:ascii="Times New Roman" w:cs="Times New Roman" w:eastAsia="Times New Roman" w:hAnsi="Times New Roman"/>
          <w:sz w:val="16"/>
          <w:szCs w:val="16"/>
          <w:color w:val="auto"/>
        </w:rPr>
        <w:t>No forward-looking statement (within the meaning of Section 27A of the Securities Act and Section 21E of the Exchange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 included in any of the Pre-Effective Registration Statement, the Registration Statement, the Preliminary Prospectus or the Prospectus has been made or reaffirmed without a reasonable basis or has been disclosed other than in good faith.</w:t>
      </w:r>
    </w:p>
    <w:p>
      <w:pPr>
        <w:spacing w:after="0" w:line="153" w:lineRule="exact"/>
        <w:rPr>
          <w:rFonts w:ascii="Times New Roman" w:cs="Times New Roman" w:eastAsia="Times New Roman" w:hAnsi="Times New Roman"/>
          <w:sz w:val="16"/>
          <w:szCs w:val="16"/>
          <w:color w:val="auto"/>
        </w:rPr>
      </w:pPr>
    </w:p>
    <w:p>
      <w:pPr>
        <w:jc w:val="both"/>
        <w:ind w:left="565" w:right="20" w:firstLine="569"/>
        <w:spacing w:after="0" w:line="262" w:lineRule="auto"/>
        <w:tabs>
          <w:tab w:leader="none" w:pos="138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Sarbanes-Oxley Act</w:t>
      </w:r>
      <w:r>
        <w:rPr>
          <w:rFonts w:ascii="Times New Roman" w:cs="Times New Roman" w:eastAsia="Times New Roman" w:hAnsi="Times New Roman"/>
          <w:sz w:val="16"/>
          <w:szCs w:val="16"/>
          <w:color w:val="auto"/>
        </w:rPr>
        <w:t>. There is and has been no failure on the part of the Company or any of the Company’s directors or officers, in their capacities as such,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comply with any provision of the Sarbanes-Oxley Act of 2002, as amended, and the rules and regulations promulgated in connection therewith, including Section 402 related to loans and Sections 302 and 906 related to certifications.</w:t>
      </w:r>
    </w:p>
    <w:p>
      <w:pPr>
        <w:spacing w:after="0" w:line="153" w:lineRule="exact"/>
        <w:rPr>
          <w:rFonts w:ascii="Times New Roman" w:cs="Times New Roman" w:eastAsia="Times New Roman" w:hAnsi="Times New Roman"/>
          <w:sz w:val="16"/>
          <w:szCs w:val="16"/>
          <w:color w:val="auto"/>
        </w:rPr>
      </w:pPr>
    </w:p>
    <w:p>
      <w:pPr>
        <w:ind w:left="565" w:right="20" w:firstLine="569"/>
        <w:spacing w:after="0" w:line="278" w:lineRule="auto"/>
        <w:tabs>
          <w:tab w:leader="none" w:pos="1399"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Registration Fees</w:t>
      </w:r>
      <w:r>
        <w:rPr>
          <w:rFonts w:ascii="Times New Roman" w:cs="Times New Roman" w:eastAsia="Times New Roman" w:hAnsi="Times New Roman"/>
          <w:sz w:val="16"/>
          <w:szCs w:val="16"/>
          <w:color w:val="auto"/>
        </w:rPr>
        <w:t>. The Company has paid the registration fee for Registration Statement pursuant to Rule 456(a) under the Securities Act or will pay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 within the time period required by such rule and in any event prior to the Exchange Date.</w:t>
      </w:r>
    </w:p>
    <w:p>
      <w:pPr>
        <w:spacing w:after="0" w:line="140" w:lineRule="exact"/>
        <w:rPr>
          <w:rFonts w:ascii="Times New Roman" w:cs="Times New Roman" w:eastAsia="Times New Roman" w:hAnsi="Times New Roman"/>
          <w:sz w:val="16"/>
          <w:szCs w:val="16"/>
          <w:color w:val="auto"/>
        </w:rPr>
      </w:pPr>
    </w:p>
    <w:p>
      <w:pPr>
        <w:ind w:left="565" w:right="20" w:firstLine="569"/>
        <w:spacing w:after="0" w:line="278" w:lineRule="auto"/>
        <w:tabs>
          <w:tab w:leader="none" w:pos="137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Ratings. </w:t>
      </w:r>
      <w:r>
        <w:rPr>
          <w:rFonts w:ascii="Times New Roman" w:cs="Times New Roman" w:eastAsia="Times New Roman" w:hAnsi="Times New Roman"/>
          <w:sz w:val="16"/>
          <w:szCs w:val="16"/>
          <w:color w:val="auto"/>
        </w:rPr>
        <w:t>There are (and prior to the Exchange Date, will be) no debt securities or preferred stock issued or guaranteed by the Company or any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that are rated by a “nationally recognized statistical rating organization,” as such term is defined under Section 3(a)(62) under the Exchange Act.</w:t>
      </w:r>
    </w:p>
    <w:p>
      <w:pPr>
        <w:spacing w:after="0" w:line="143" w:lineRule="exact"/>
        <w:rPr>
          <w:sz w:val="20"/>
          <w:szCs w:val="20"/>
          <w:color w:val="auto"/>
        </w:rPr>
      </w:pPr>
    </w:p>
    <w:p>
      <w:pPr>
        <w:jc w:val="both"/>
        <w:ind w:left="5" w:firstLine="567"/>
        <w:spacing w:after="0" w:line="256" w:lineRule="auto"/>
        <w:rPr>
          <w:sz w:val="20"/>
          <w:szCs w:val="20"/>
          <w:color w:val="auto"/>
        </w:rPr>
      </w:pPr>
      <w:r>
        <w:rPr>
          <w:rFonts w:ascii="Times New Roman" w:cs="Times New Roman" w:eastAsia="Times New Roman" w:hAnsi="Times New Roman"/>
          <w:sz w:val="16"/>
          <w:szCs w:val="16"/>
          <w:color w:val="auto"/>
        </w:rPr>
        <w:t>Any certificate signed by any officer of the Company and delivered to the Dealer Manager or counsel for the Dealer Manager in connection with the Exchange Offer shall be deemed a representation and warranty by the Company as to matters covered thereby to the Dealer Manager. The Company acknowledges that, for purposes of the opinions to be delivered pursuant to Section 6 hereof, counsel to the Company and counsel to the Dealer Manager will rely upon the accuracy and truthfulness of the foregoing representations and hereby consents to such reliance.</w:t>
      </w:r>
    </w:p>
    <w:p>
      <w:pPr>
        <w:spacing w:after="0" w:line="160" w:lineRule="exact"/>
        <w:rPr>
          <w:sz w:val="20"/>
          <w:szCs w:val="20"/>
          <w:color w:val="auto"/>
        </w:rPr>
      </w:pPr>
    </w:p>
    <w:p>
      <w:pPr>
        <w:ind w:left="745" w:hanging="178"/>
        <w:spacing w:after="0"/>
        <w:tabs>
          <w:tab w:leader="none" w:pos="745"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Warranties and Agreements of the Dealer Manager</w:t>
      </w:r>
      <w:r>
        <w:rPr>
          <w:rFonts w:ascii="Times New Roman" w:cs="Times New Roman" w:eastAsia="Times New Roman" w:hAnsi="Times New Roman"/>
          <w:sz w:val="16"/>
          <w:szCs w:val="16"/>
          <w:color w:val="auto"/>
        </w:rPr>
        <w:t>. The Dealer Manager hereby represents, warrants and agrees that the Dealer Manager will not</w:t>
      </w:r>
    </w:p>
    <w:p>
      <w:pPr>
        <w:spacing w:after="0" w:line="22" w:lineRule="exact"/>
        <w:rPr>
          <w:rFonts w:ascii="Times New Roman" w:cs="Times New Roman" w:eastAsia="Times New Roman" w:hAnsi="Times New Roman"/>
          <w:sz w:val="16"/>
          <w:szCs w:val="16"/>
          <w:color w:val="auto"/>
        </w:rPr>
      </w:pPr>
    </w:p>
    <w:p>
      <w:pPr>
        <w:jc w:val="both"/>
        <w:ind w:left="5" w:right="20" w:hanging="5"/>
        <w:spacing w:after="0" w:line="249" w:lineRule="auto"/>
        <w:tabs>
          <w:tab w:leader="none" w:pos="23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to be disseminated to holders, dealers or the public any written material for or in connection with the Exchange Offer or Consent Solicitation other than one or more of the Offering Documents, or (2) make any public oral communications relating to the Exchange Offer or the Consent Solicitation that have not been previously approved by the Company except as contemplated in the penultimate sentence of Section 6 of this Agreement.</w:t>
      </w:r>
    </w:p>
    <w:p>
      <w:pPr>
        <w:spacing w:after="0" w:line="166" w:lineRule="exact"/>
        <w:rPr>
          <w:rFonts w:ascii="Times New Roman" w:cs="Times New Roman" w:eastAsia="Times New Roman" w:hAnsi="Times New Roman"/>
          <w:sz w:val="16"/>
          <w:szCs w:val="16"/>
          <w:color w:val="auto"/>
        </w:rPr>
      </w:pPr>
    </w:p>
    <w:p>
      <w:pPr>
        <w:ind w:left="725" w:hanging="158"/>
        <w:spacing w:after="0"/>
        <w:tabs>
          <w:tab w:leader="none" w:pos="725"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The Company agrees with the Dealer Manager that:</w:t>
      </w:r>
    </w:p>
    <w:p>
      <w:pPr>
        <w:spacing w:after="0" w:line="194" w:lineRule="exact"/>
        <w:rPr>
          <w:rFonts w:ascii="Times New Roman" w:cs="Times New Roman" w:eastAsia="Times New Roman" w:hAnsi="Times New Roman"/>
          <w:sz w:val="16"/>
          <w:szCs w:val="16"/>
          <w:color w:val="auto"/>
        </w:rPr>
      </w:pPr>
    </w:p>
    <w:p>
      <w:pPr>
        <w:jc w:val="both"/>
        <w:ind w:left="565" w:right="20" w:firstLine="569"/>
        <w:spacing w:after="0" w:line="261" w:lineRule="auto"/>
        <w:tabs>
          <w:tab w:leader="none" w:pos="1392" w:val="left"/>
        </w:tabs>
        <w:numPr>
          <w:ilvl w:val="2"/>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furnish to the Dealer Manager and to counsel for the Dealer Manager, without charge, during the period beginning on the Commencement Date and continuing to and including the Exchange Date, copies of the Offering Documents and any amendments and supplements thereto in such quantities as the Dealer Manager may reasonably request.</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313" w:name="page314"/>
    <w:bookmarkEnd w:id="313"/>
    <w:p>
      <w:pPr>
        <w:jc w:val="both"/>
        <w:ind w:left="-560" w:firstLine="569"/>
        <w:spacing w:after="0" w:line="248" w:lineRule="auto"/>
        <w:tabs>
          <w:tab w:leader="none" w:pos="24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termination of the Exchange Offer and the Consent Solicitation, the Company will not file any amendment to the Pre-Effective Registration Statement or the Registration Statement or supplement to the Preliminary Prospectus or the Prospectus unless the Company has furnished the Dealer Manager a copy of such proposed amendment or supplement, as applicable, for its review prior to filing and will not file any such proposed amendment or supplement to which the Dealer Manager reasonably objects. Subject to the foregoing sentence, if the Registration Statement has become or becomes effective, or filing of the Preliminary Prospectus or the Prospectus is otherwise required under the Securities Act or the Exchange Act and the rules and regulations of the Commission thereunder, the Company will cause the Preliminary Prospectus or the Prospectus, properly completed, and any supplement thereto to be filed with the Commission pursuant to the applicable paragraph of Rule 424(b) or in an amendment to the Registration Statement, whichever is applicable, within the time period prescribed. The Company will promptly advise the Dealer Manager (i) when the Registration Statement, and any amendment thereto, shall have become effective, (ii) when the Preliminary Prospectus or the Prospectus, and any supplement thereto, shall have been filed (if required) with the Commission, (iii) when, prior to termination of the Exchange Offer and the Consent Solicitation, any amendment to the Registration Statement shall have been filed or become effective, (iv) of any request by the Commission or its staff for any amendment of the Pre-Effective Registration Statement or the Registration Statement or supplement to the Preliminary Prospectus or the Prospectus or for any additional information, (v) of the issuance by the Commission of any stop order or of any order preventing or suspending the use of the Preliminary Prospectus or the Prospectus, or the initiation or threatening of any proceeding for any such purpose, and (vi) of the receipt by the Company of any notification with respect to the suspension of the qualification of the Shares for sale in any jurisdiction within the United States or the initiation or threatening of any proceeding for such purpose. In the event of the issuance of any such stop order or of any such order preventing or suspending the use of the Preliminary Prospectus or the Prospectus, the Company will use its reasonable best efforts to obtain its withdrawal. The Company agrees to use its reasonable best efforts to cause the Registration Statement to become effective as soon as practicable and as much in advance of the Expiration Date as practicable.</w:t>
      </w:r>
    </w:p>
    <w:p>
      <w:pPr>
        <w:spacing w:after="0" w:line="170" w:lineRule="exact"/>
        <w:rPr>
          <w:rFonts w:ascii="Times New Roman" w:cs="Times New Roman" w:eastAsia="Times New Roman" w:hAnsi="Times New Roman"/>
          <w:sz w:val="16"/>
          <w:szCs w:val="16"/>
          <w:color w:val="auto"/>
        </w:rPr>
      </w:pPr>
    </w:p>
    <w:p>
      <w:pPr>
        <w:jc w:val="both"/>
        <w:ind w:left="-560" w:firstLine="569"/>
        <w:spacing w:after="0" w:line="249" w:lineRule="auto"/>
        <w:tabs>
          <w:tab w:leader="none" w:pos="23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comply with the Securities Act and the Exchange Act and the rules and regulations of the Commission thereunder so as to permit the completion of the distribution of the Shares issued in the Exchange Offer and Consent Solicitation, as contemplated by this Agreement, the Registration Statement and the Prospectus. If, at any time when a prospectus relating to the Exchange Offer or Consent Solicitation is required to be delivered under the Securities Act or the Exchange Act and the rules and regulations of the Commission thereunder, any event occurs as a result of which the Offering Documents, as then amended or supplemented, would include any untrue statement of a material fact or omit to state any material fact necessary to make the statements therein, in the light of the circumstances under which they were made, not misleading, or if it should be necessary to amend or supplement the Offering Documents to comply with applicable law, the Company will promptly: (i) notify the Dealer Manager of any such event or non-compliance at which time the Dealer Manager shall be entitled to cease soliciting tenders until such time as the Company has complied with clause (iii) of this sentence; (ii) subject to the requirements of the first sentence of the above paragraph (b), prepare an amendment or supplement that will correct such statement or omission or effect such compliance; and (iii) supply any such amendment or supplement to the Dealer Manager and counsel for the Dealer Manager without charge in such quantities as the Dealer Manager may reasonably request. The Company will also promptly inform the Dealer Manager of any litigation or administrative action with respect to the Exchange Offer.</w:t>
      </w: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8" w:right="319" w:bottom="1440" w:gutter="0" w:footer="0" w:header="0"/>
        </w:sectPr>
      </w:pPr>
    </w:p>
    <w:bookmarkStart w:id="314" w:name="page315"/>
    <w:bookmarkEnd w:id="314"/>
    <w:p>
      <w:pPr>
        <w:jc w:val="both"/>
        <w:ind w:firstLine="569"/>
        <w:spacing w:after="0" w:line="251" w:lineRule="auto"/>
        <w:tabs>
          <w:tab w:leader="none" w:pos="79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advise the Dealer Manager promptly of (i) any proposal by the Company to withdraw, rescind or modify the Offering Documents or to withdraw, rescind or terminate the Exchange Offer or the Consent Solicitation or the exercise by the Company of any right not to exchange the Warrants pursuant to the Exchange Offer or the Consent Solicitation, (ii) its awareness of the issuance of a stop order suspending the effectiveness of the Registration Statement or of any notice objecting to its use by the Commission or any other regulatory authority, or the institution or threatening of any proceedings for that purpose (and will promptly furnish the Dealer Manager with a copy of any such order), (iii) its awareness of the occurrence of any development that could reasonably be expected to result in a Material Adverse Change relating to or affecting the Exchange Offer or the Consent Solicitation and (iv) any other non-privileged information relating to the Exchange Offer, the Consent Solicitation, the Offering Documents or this Agreement which the Dealer Manager may from time to time reasonably request.</w:t>
      </w:r>
    </w:p>
    <w:p>
      <w:pPr>
        <w:spacing w:after="0" w:line="165" w:lineRule="exact"/>
        <w:rPr>
          <w:rFonts w:ascii="Times New Roman" w:cs="Times New Roman" w:eastAsia="Times New Roman" w:hAnsi="Times New Roman"/>
          <w:sz w:val="16"/>
          <w:szCs w:val="16"/>
          <w:color w:val="auto"/>
        </w:rPr>
      </w:pPr>
    </w:p>
    <w:p>
      <w:pPr>
        <w:jc w:val="both"/>
        <w:ind w:firstLine="569"/>
        <w:spacing w:after="0" w:line="256" w:lineRule="auto"/>
        <w:tabs>
          <w:tab w:leader="none" w:pos="798"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make generally available (which may be satisfied by filing with the Commission’s Electronic Data Gathering Analysis and Retrieval System) to its security holders and the Dealer Manager as soon as practicable an earning statement (which need not be audited) that satisfies the provisions of Section 11(a) of the Securities Act and Rule 158 of the Commission promulgated thereunder covering a period of at least 12 months beginning with the first fiscal quarter of the Company occurring after the “effective date” (as defined in Rule 158) of the Registration Statement.</w:t>
      </w:r>
    </w:p>
    <w:p>
      <w:pPr>
        <w:spacing w:after="0" w:line="160" w:lineRule="exact"/>
        <w:rPr>
          <w:rFonts w:ascii="Times New Roman" w:cs="Times New Roman" w:eastAsia="Times New Roman" w:hAnsi="Times New Roman"/>
          <w:sz w:val="16"/>
          <w:szCs w:val="16"/>
          <w:color w:val="auto"/>
        </w:rPr>
      </w:pPr>
    </w:p>
    <w:p>
      <w:pPr>
        <w:jc w:val="both"/>
        <w:ind w:firstLine="569"/>
        <w:spacing w:after="0" w:line="251" w:lineRule="auto"/>
        <w:tabs>
          <w:tab w:leader="none" w:pos="77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arrange, if necessary, for the qualification of the Shares for offer or sale in connection with the Exchange Offer under the laws of such jurisdictions as the Dealer Manager may designate and will maintain such qualifications in effect so long as required for such offer or sale;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Company be obligated to qualify to do business in any jurisdiction in which it is not now so qualified or to take any action that would subject it to service of process in suits, other than those arising out of the offering or sale of the Shares in connection with the Exchange Offer, in any jurisdiction in which it is not now so subject or to subject itself to taxation in any jurisdiction in which it is not now so subject. The Company will promptly advise the Dealer Manager of the receipt by the Company of any notification with respect to the suspension of the qualification of the Shares for sale in any jurisdiction or the initiation or threatening of any proceeding for such purpose.</w:t>
      </w:r>
    </w:p>
    <w:p>
      <w:pPr>
        <w:spacing w:after="0" w:line="165" w:lineRule="exact"/>
        <w:rPr>
          <w:rFonts w:ascii="Times New Roman" w:cs="Times New Roman" w:eastAsia="Times New Roman" w:hAnsi="Times New Roman"/>
          <w:sz w:val="16"/>
          <w:szCs w:val="16"/>
          <w:color w:val="auto"/>
        </w:rPr>
      </w:pPr>
    </w:p>
    <w:p>
      <w:pPr>
        <w:ind w:right="20" w:firstLine="569"/>
        <w:spacing w:after="0" w:line="275" w:lineRule="auto"/>
        <w:tabs>
          <w:tab w:leader="none" w:pos="796"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termination of the Exchange Offer, the Company will not, and will not permit any of its Affiliates to, resell any Shares that have been acquired by them. The Company will cause all Warrants accepted in the Exchange Offer to be cancelled.</w:t>
      </w:r>
    </w:p>
    <w:p>
      <w:pPr>
        <w:spacing w:after="0" w:line="145" w:lineRule="exact"/>
        <w:rPr>
          <w:rFonts w:ascii="Times New Roman" w:cs="Times New Roman" w:eastAsia="Times New Roman" w:hAnsi="Times New Roman"/>
          <w:sz w:val="16"/>
          <w:szCs w:val="16"/>
          <w:color w:val="auto"/>
        </w:rPr>
      </w:pPr>
    </w:p>
    <w:p>
      <w:pPr>
        <w:ind w:left="820" w:hanging="251"/>
        <w:spacing w:after="0"/>
        <w:tabs>
          <w:tab w:leader="none" w:pos="8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cooperate with the Dealer Manager to permit the Shares to be eligible for clearance and settlement through The Depository Trust</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3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13970</wp:posOffset>
            </wp:positionV>
            <wp:extent cx="714946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700"/>
          </w:cols>
          <w:pgMar w:left="880" w:top="808" w:right="319" w:bottom="1440" w:gutter="0" w:footer="0" w:header="0"/>
        </w:sectPr>
      </w:pPr>
    </w:p>
    <w:bookmarkStart w:id="315" w:name="page316"/>
    <w:bookmarkEnd w:id="315"/>
    <w:p>
      <w:pPr>
        <w:jc w:val="both"/>
        <w:ind w:left="-2" w:firstLine="569"/>
        <w:spacing w:after="0" w:line="261" w:lineRule="auto"/>
        <w:tabs>
          <w:tab w:leader="none" w:pos="773"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not to exchange any Warrants during the period beginning on the Commencement Date and ending on the Exchange Date except pursuant to and in accordance with the Exchange Offer, the Consent Solicitation or as otherwise agreed to in writing by the parties hereto and permitted under applicable laws and regulations.</w:t>
      </w:r>
    </w:p>
    <w:p>
      <w:pPr>
        <w:spacing w:after="0" w:line="155" w:lineRule="exact"/>
        <w:rPr>
          <w:rFonts w:ascii="Times New Roman" w:cs="Times New Roman" w:eastAsia="Times New Roman" w:hAnsi="Times New Roman"/>
          <w:sz w:val="16"/>
          <w:szCs w:val="16"/>
          <w:color w:val="auto"/>
        </w:rPr>
      </w:pPr>
    </w:p>
    <w:p>
      <w:pPr>
        <w:jc w:val="both"/>
        <w:ind w:left="-2" w:firstLine="569"/>
        <w:spacing w:after="0" w:line="261" w:lineRule="auto"/>
        <w:tabs>
          <w:tab w:leader="none" w:pos="755"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its Affiliates or any person acting on its or their behalf will take, directly or indirectly, any action that is designed to cause or result, or which might reasonably be expected to cause or result, under the Exchange Act or otherwise, in stabilization or manipulation of the price of any security of the Company to facilitate the sale of the Shares or the tender of Warrants in the Exchange Offer.</w:t>
      </w:r>
    </w:p>
    <w:p>
      <w:pPr>
        <w:spacing w:after="0" w:line="155" w:lineRule="exact"/>
        <w:rPr>
          <w:rFonts w:ascii="Times New Roman" w:cs="Times New Roman" w:eastAsia="Times New Roman" w:hAnsi="Times New Roman"/>
          <w:sz w:val="16"/>
          <w:szCs w:val="16"/>
          <w:color w:val="auto"/>
        </w:rPr>
      </w:pPr>
    </w:p>
    <w:p>
      <w:pPr>
        <w:jc w:val="both"/>
        <w:ind w:left="-2" w:right="20" w:firstLine="569"/>
        <w:spacing w:after="0" w:line="261" w:lineRule="auto"/>
        <w:tabs>
          <w:tab w:leader="none" w:pos="808"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arranged for D.F. King &amp; Co., Inc. to serve as Information Agent and for Continental Stock Transfer &amp; Trust Company to serve as Exchange Agent and authorizes the Dealer Manager to communicate with each of the Information Agent and the Exchange Agent to facilitate the Exchange Offer and the Consent Solicitation.</w:t>
      </w:r>
    </w:p>
    <w:p>
      <w:pPr>
        <w:spacing w:after="0" w:line="155" w:lineRule="exact"/>
        <w:rPr>
          <w:rFonts w:ascii="Times New Roman" w:cs="Times New Roman" w:eastAsia="Times New Roman" w:hAnsi="Times New Roman"/>
          <w:sz w:val="16"/>
          <w:szCs w:val="16"/>
          <w:color w:val="auto"/>
        </w:rPr>
      </w:pPr>
    </w:p>
    <w:p>
      <w:pPr>
        <w:jc w:val="both"/>
        <w:ind w:left="-2" w:firstLine="569"/>
        <w:spacing w:after="0" w:line="252" w:lineRule="auto"/>
        <w:tabs>
          <w:tab w:leader="none" w:pos="755"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comply in all material respects with the Securities Act and the Exchange Act and the rules and regulations of the Commission thereunder, including Rule 13e-4 and Rule 14e-1 under the Exchange Act (including taking the actions necessary to ensure that the procedural requirements of Rule 14e-1 are satisfied), in connection with the Exchange Offer, the Consent Solicitation, the Offering Documents and the transactions contemplated hereby and thereby. The Company will file with the Commission pursuant to Rule 13e-4(c)(1) under the Exchange Act (or Rule 425 under the Securities Act) or otherwise all written communications made by the Company or any Affiliate of the Company in connection with or relating to the Exchange Offer or the Consent Solicitation that are required to be filed with the Commission, in each case on the date of their first use.</w:t>
      </w:r>
    </w:p>
    <w:p>
      <w:pPr>
        <w:spacing w:after="0" w:line="164" w:lineRule="exact"/>
        <w:rPr>
          <w:rFonts w:ascii="Times New Roman" w:cs="Times New Roman" w:eastAsia="Times New Roman" w:hAnsi="Times New Roman"/>
          <w:sz w:val="16"/>
          <w:szCs w:val="16"/>
          <w:color w:val="auto"/>
        </w:rPr>
      </w:pPr>
    </w:p>
    <w:p>
      <w:pPr>
        <w:jc w:val="both"/>
        <w:ind w:left="-2" w:firstLine="569"/>
        <w:spacing w:after="0" w:line="265" w:lineRule="auto"/>
        <w:tabs>
          <w:tab w:leader="none" w:pos="836"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agrees to pay the costs and expenses relating to the transactions contemplated hereunder, including, without limitation, the following: (i) the preparation of this Agreement, the issuance of the Shares and the fees of the Information Agent and the Exchange Agent; (ii) the preparation, printing or reproduction of the Offering Documents and each amendment or supplement thereto; (iii) the printing (or reproduction) and delivery (including postage, air freight charges and charges for counting and packaging) of such copies of the Offering Documents (and all amendments or supplements thereto) as may, in each case, be reasonably requested for use in connection with the Exchange Offer; (iv) the preparation, authentication, issuance and delivery of the Shares, including any stamp or transfer taxes in connection with the original issuance and sale of the Shares; (v) the printing (or reproduction) and delivery of this Agreement, any blue sky memorandum and all other agreements or documents printed (or reproduced) and delivered in connection with the Exchange Offer; (vi) any registration or qualification of the Shares for offer and sale under the blue sky laws of the several states or any non-U.S. jurisdiction; (vii) transportation and other expenses incurred by or on behalf of Company representatives in connection with presentations to prospective participants in the Exchange Offer; (viii) the fees and expenses of the Company’s accountants and the fees and expenses of counsel (including local and special counsel) for the Company; (ix) the fees and expenses incurred in connection with listing the Shares on The Nasdaq Capital Market;</w:t>
      </w:r>
    </w:p>
    <w:p>
      <w:pPr>
        <w:spacing w:after="0" w:line="2" w:lineRule="exact"/>
        <w:rPr>
          <w:rFonts w:ascii="Times New Roman" w:cs="Times New Roman" w:eastAsia="Times New Roman" w:hAnsi="Times New Roman"/>
          <w:sz w:val="15"/>
          <w:szCs w:val="15"/>
          <w:color w:val="auto"/>
        </w:rPr>
      </w:pPr>
    </w:p>
    <w:p>
      <w:pPr>
        <w:ind w:left="-2" w:right="20" w:firstLine="2"/>
        <w:spacing w:after="0" w:line="253" w:lineRule="auto"/>
        <w:tabs>
          <w:tab w:leader="none" w:pos="23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documented fees, costs and out-of-pocket expenses of counsel for the Dealer Manager as provided for in Section 2 hereof; and (xi) all other costs and expenses incident to the performance by the Company of its obligations hereunder and in connection with the Exchange Offer.</w:t>
      </w:r>
    </w:p>
    <w:p>
      <w:pPr>
        <w:spacing w:after="0" w:line="351" w:lineRule="exact"/>
        <w:rPr>
          <w:sz w:val="20"/>
          <w:szCs w:val="20"/>
          <w:color w:val="auto"/>
        </w:rPr>
      </w:pPr>
    </w:p>
    <w:p>
      <w:pPr>
        <w:ind w:left="4978"/>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714946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698"/>
          </w:cols>
          <w:pgMar w:left="882" w:top="808" w:right="319" w:bottom="1440" w:gutter="0" w:footer="0" w:header="0"/>
        </w:sectPr>
      </w:pPr>
    </w:p>
    <w:bookmarkStart w:id="316" w:name="page317"/>
    <w:bookmarkEnd w:id="316"/>
    <w:p>
      <w:pPr>
        <w:ind w:left="1360" w:hanging="231"/>
        <w:spacing w:after="0"/>
        <w:tabs>
          <w:tab w:leader="none" w:pos="1360"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promptly notify the Dealer Manager if the Company ceases to be an Emerging Growth Company at any time prior to the Exchange Date.</w:t>
      </w:r>
    </w:p>
    <w:p>
      <w:pPr>
        <w:spacing w:after="0" w:line="205" w:lineRule="exact"/>
        <w:rPr>
          <w:rFonts w:ascii="Times New Roman" w:cs="Times New Roman" w:eastAsia="Times New Roman" w:hAnsi="Times New Roman"/>
          <w:sz w:val="15"/>
          <w:szCs w:val="15"/>
          <w:color w:val="auto"/>
        </w:rPr>
      </w:pPr>
    </w:p>
    <w:p>
      <w:pPr>
        <w:jc w:val="both"/>
        <w:ind w:right="20" w:firstLine="562"/>
        <w:spacing w:after="0" w:line="256" w:lineRule="auto"/>
        <w:tabs>
          <w:tab w:leader="none" w:pos="74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to the Obligations of the Dealer Manager</w:t>
      </w:r>
      <w:r>
        <w:rPr>
          <w:rFonts w:ascii="Times New Roman" w:cs="Times New Roman" w:eastAsia="Times New Roman" w:hAnsi="Times New Roman"/>
          <w:sz w:val="16"/>
          <w:szCs w:val="16"/>
          <w:color w:val="auto"/>
        </w:rPr>
        <w:t>. The obligations of the Dealer Manager under this Agreement shall be subject to the accuracy of the representations and warranties on the part of the Company contained herein at the Commencement Date, any date on which Offering Documents are distributed to holders of the Warrants, the Effective Date, the Expiration Date and the Exchange Date, to the accuracy of the statements of the Company made in any certificates pursuant to the provisions hereof, to the performance by the Company of its obligations hereunder and to the following additional conditions:</w:t>
      </w:r>
    </w:p>
    <w:p>
      <w:pPr>
        <w:spacing w:after="0" w:line="160" w:lineRule="exact"/>
        <w:rPr>
          <w:rFonts w:ascii="Times New Roman" w:cs="Times New Roman" w:eastAsia="Times New Roman" w:hAnsi="Times New Roman"/>
          <w:sz w:val="16"/>
          <w:szCs w:val="16"/>
          <w:color w:val="auto"/>
        </w:rPr>
      </w:pPr>
    </w:p>
    <w:p>
      <w:pPr>
        <w:ind w:left="1340" w:hanging="211"/>
        <w:spacing w:after="0"/>
        <w:tabs>
          <w:tab w:leader="none" w:pos="134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shall have become effective on or prior to the Expiration Date.</w:t>
      </w:r>
    </w:p>
    <w:p>
      <w:pPr>
        <w:spacing w:after="0" w:line="194" w:lineRule="exact"/>
        <w:rPr>
          <w:rFonts w:ascii="Times New Roman" w:cs="Times New Roman" w:eastAsia="Times New Roman" w:hAnsi="Times New Roman"/>
          <w:sz w:val="16"/>
          <w:szCs w:val="16"/>
          <w:color w:val="auto"/>
        </w:rPr>
      </w:pPr>
    </w:p>
    <w:p>
      <w:pPr>
        <w:jc w:val="both"/>
        <w:ind w:left="560" w:right="20" w:firstLine="569"/>
        <w:spacing w:after="0" w:line="256" w:lineRule="auto"/>
        <w:tabs>
          <w:tab w:leader="none" w:pos="1356"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Exchange Date, no stop order suspending the effectiveness of the Registration Statement or any notice objecting to its use shall have been issued and no proceedings for that purpose shall have been instituted or, to the knowledge of the Company, threatened by the Commission; and the Prospectus shall have been timely filed with the Commission under the Securities Act; and all requests by the Commission for additional information shall have been complied with to the reasonable satisfaction of the Dealer Manager.</w:t>
      </w:r>
    </w:p>
    <w:p>
      <w:pPr>
        <w:spacing w:after="0" w:line="160" w:lineRule="exact"/>
        <w:rPr>
          <w:rFonts w:ascii="Times New Roman" w:cs="Times New Roman" w:eastAsia="Times New Roman" w:hAnsi="Times New Roman"/>
          <w:sz w:val="16"/>
          <w:szCs w:val="16"/>
          <w:color w:val="auto"/>
        </w:rPr>
      </w:pPr>
    </w:p>
    <w:p>
      <w:pPr>
        <w:jc w:val="both"/>
        <w:ind w:left="560" w:firstLine="569"/>
        <w:spacing w:after="0" w:line="261" w:lineRule="auto"/>
        <w:tabs>
          <w:tab w:leader="none" w:pos="1351"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Commencement Date and the Exchange Date, the Company shall have requested and caused an opinion and negative assurance letter of Sheppard, Mullin, Richter &amp; Hampton LLP, counsel to the Company, dated the Commencement Date or Exchange Date, as applicable, to have been delivered to the Dealer Manager, in each case addressed to, and in form and substance reasonably satisfactory to, the Dealer Manager.</w:t>
      </w:r>
    </w:p>
    <w:p>
      <w:pPr>
        <w:spacing w:after="0" w:line="155" w:lineRule="exact"/>
        <w:rPr>
          <w:rFonts w:ascii="Times New Roman" w:cs="Times New Roman" w:eastAsia="Times New Roman" w:hAnsi="Times New Roman"/>
          <w:sz w:val="16"/>
          <w:szCs w:val="16"/>
          <w:color w:val="auto"/>
        </w:rPr>
      </w:pPr>
    </w:p>
    <w:p>
      <w:pPr>
        <w:jc w:val="both"/>
        <w:ind w:left="560" w:firstLine="569"/>
        <w:spacing w:after="0" w:line="286" w:lineRule="auto"/>
        <w:tabs>
          <w:tab w:leader="none" w:pos="1365" w:val="left"/>
        </w:tabs>
        <w:numPr>
          <w:ilvl w:val="1"/>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Commencement Date and the Exchange Date, the Dealer Manager shall have received from Davis Polk &amp; Wardwell LLP, counsel for the Dealer Manager, such opinion and negative assurance letter, in each case addressed to the Dealer Manager with respect to the Exchange Offer, as the Dealer Manager may reasonably require, and the Company shall have furnished to such counsel such documents as they request for the purposes of enabling them to pass upon such matters.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17" w:name="page318"/>
    <w:bookmarkEnd w:id="317"/>
    <w:p>
      <w:pPr>
        <w:jc w:val="both"/>
        <w:ind w:left="-560" w:firstLine="569"/>
        <w:spacing w:after="0" w:line="261" w:lineRule="auto"/>
        <w:tabs>
          <w:tab w:leader="none" w:pos="227"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Exchange Date, the Company shall have furnished to the Dealer Manager a certificate of the Company, signed by the chief executive officer and the principal financial or accounting officer of the Company, dated as of the Exchange Date, to the effect that the signers of such certificate have carefully examined the Offering Documents, any amendment or supplement to the Offering Documents and this Agreement and that:</w:t>
      </w:r>
    </w:p>
    <w:p>
      <w:pPr>
        <w:spacing w:after="0" w:line="155" w:lineRule="exact"/>
        <w:rPr>
          <w:rFonts w:ascii="Times New Roman" w:cs="Times New Roman" w:eastAsia="Times New Roman" w:hAnsi="Times New Roman"/>
          <w:sz w:val="16"/>
          <w:szCs w:val="16"/>
          <w:color w:val="auto"/>
        </w:rPr>
      </w:pPr>
    </w:p>
    <w:p>
      <w:pPr>
        <w:jc w:val="both"/>
        <w:ind w:firstLine="576"/>
        <w:spacing w:after="0" w:line="261" w:lineRule="auto"/>
        <w:tabs>
          <w:tab w:leader="none" w:pos="76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Company in this Agreement are true and correct as of the Exchange Date with the same effect as if made on the Exchange Date, and the Company has complied with all the agreements and satisfied all the conditions on its part to be performed or satisfied hereunder at or prior to the Exchange Date;</w:t>
      </w:r>
    </w:p>
    <w:p>
      <w:pPr>
        <w:spacing w:after="0" w:line="155" w:lineRule="exact"/>
        <w:rPr>
          <w:rFonts w:ascii="Times New Roman" w:cs="Times New Roman" w:eastAsia="Times New Roman" w:hAnsi="Times New Roman"/>
          <w:sz w:val="16"/>
          <w:szCs w:val="16"/>
          <w:color w:val="auto"/>
        </w:rPr>
      </w:pPr>
    </w:p>
    <w:p>
      <w:pPr>
        <w:ind w:right="20" w:firstLine="576"/>
        <w:spacing w:after="0" w:line="275" w:lineRule="auto"/>
        <w:tabs>
          <w:tab w:leader="none" w:pos="806"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stop order suspending the effectiveness of the Registration Statement has been issued and no proceedings for that purpose have been instituted or threatened by the Commission; and</w:t>
      </w:r>
    </w:p>
    <w:p>
      <w:pPr>
        <w:spacing w:after="0" w:line="145" w:lineRule="exact"/>
        <w:rPr>
          <w:rFonts w:ascii="Times New Roman" w:cs="Times New Roman" w:eastAsia="Times New Roman" w:hAnsi="Times New Roman"/>
          <w:sz w:val="16"/>
          <w:szCs w:val="16"/>
          <w:color w:val="auto"/>
        </w:rPr>
      </w:pPr>
    </w:p>
    <w:p>
      <w:pPr>
        <w:ind w:firstLine="576"/>
        <w:spacing w:after="0" w:line="275" w:lineRule="auto"/>
        <w:tabs>
          <w:tab w:leader="none" w:pos="846"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the most recent financial statements included or incorporated by reference in the Offering Documents, there has been no Material Adverse Change, except as set forth in or contemplated in the Offering Documents.</w:t>
      </w:r>
    </w:p>
    <w:p>
      <w:pPr>
        <w:spacing w:after="0" w:line="145" w:lineRule="exact"/>
        <w:rPr>
          <w:rFonts w:ascii="Times New Roman" w:cs="Times New Roman" w:eastAsia="Times New Roman" w:hAnsi="Times New Roman"/>
          <w:sz w:val="16"/>
          <w:szCs w:val="16"/>
          <w:color w:val="auto"/>
        </w:rPr>
      </w:pPr>
    </w:p>
    <w:p>
      <w:pPr>
        <w:jc w:val="both"/>
        <w:ind w:left="-560" w:firstLine="569"/>
        <w:spacing w:after="0" w:line="310" w:lineRule="auto"/>
        <w:tabs>
          <w:tab w:leader="none" w:pos="227"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of the Commencement Date and the Exchange Date, the Company shall have requested and caused BDO USA, LLP to furnish to the Dealer Manager comfort letters, dated respectively as of the Commencement Date and the Exchange Date, in form and substance reasonably satisfactory to the Dealer Manager.</w:t>
      </w:r>
    </w:p>
    <w:p>
      <w:pPr>
        <w:spacing w:after="0" w:line="119" w:lineRule="exact"/>
        <w:rPr>
          <w:rFonts w:ascii="Times New Roman" w:cs="Times New Roman" w:eastAsia="Times New Roman" w:hAnsi="Times New Roman"/>
          <w:sz w:val="15"/>
          <w:szCs w:val="15"/>
          <w:color w:val="auto"/>
        </w:rPr>
      </w:pPr>
    </w:p>
    <w:p>
      <w:pPr>
        <w:ind w:left="240" w:hanging="231"/>
        <w:spacing w:after="0"/>
        <w:tabs>
          <w:tab w:leader="none" w:pos="24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jc w:val="both"/>
        <w:ind w:left="-560" w:firstLine="569"/>
        <w:spacing w:after="0" w:line="253" w:lineRule="auto"/>
        <w:tabs>
          <w:tab w:leader="none" w:pos="23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Commencement Date or, if earlier, the dates as of which information is given in the Offering Documents, there shall not have been any change, or any development involving a prospective change, in or affecting the condition (financial or otherwise), prospects, earnings, business or properties the Company and its subsidiaries, taken as a whole, whether or not arising from transactions in the ordinary course of business, except as set forth in or contemplated in the Offering Documents, the effect of which, in any case referred to in clause (i) or (ii) above, is, in the reasonable judgment of the Dealer Manager, so material and adverse as to make it impractical or inadvisable to market or deliver the Shares or solicit tenders of Warrants as contemplated by the Offering Documents.</w:t>
      </w:r>
    </w:p>
    <w:p>
      <w:pPr>
        <w:spacing w:after="0" w:line="164" w:lineRule="exact"/>
        <w:rPr>
          <w:rFonts w:ascii="Times New Roman" w:cs="Times New Roman" w:eastAsia="Times New Roman" w:hAnsi="Times New Roman"/>
          <w:sz w:val="16"/>
          <w:szCs w:val="16"/>
          <w:color w:val="auto"/>
        </w:rPr>
      </w:pPr>
    </w:p>
    <w:p>
      <w:pPr>
        <w:jc w:val="both"/>
        <w:ind w:left="-560" w:right="20" w:firstLine="569"/>
        <w:spacing w:after="0" w:line="261" w:lineRule="auto"/>
        <w:tabs>
          <w:tab w:leader="none" w:pos="195"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Exchange Date, the Company shall have obtained all consents, approvals, authorizations and orders of, and shall have duly made all registrations, qualifications and filing with, any court or regulatory authority or other governmental agency or instrumentality required in connection with the making and consummation of the Exchange Offer and the execution, delivery and performance of this Agreement.</w:t>
      </w:r>
    </w:p>
    <w:p>
      <w:pPr>
        <w:spacing w:after="0" w:line="155" w:lineRule="exact"/>
        <w:rPr>
          <w:rFonts w:ascii="Times New Roman" w:cs="Times New Roman" w:eastAsia="Times New Roman" w:hAnsi="Times New Roman"/>
          <w:sz w:val="16"/>
          <w:szCs w:val="16"/>
          <w:color w:val="auto"/>
        </w:rPr>
      </w:pPr>
    </w:p>
    <w:p>
      <w:pPr>
        <w:ind w:left="-560" w:right="20" w:firstLine="569"/>
        <w:spacing w:after="0" w:line="275" w:lineRule="auto"/>
        <w:tabs>
          <w:tab w:leader="none" w:pos="198"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Exchange Date, the Company shall have delivered to the Dealer Manager and its counsel such further information, certificates and documents as they may reasonably request.</w:t>
      </w:r>
    </w:p>
    <w:p>
      <w:pPr>
        <w:spacing w:after="0" w:line="3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8" w:right="319" w:bottom="1440" w:gutter="0" w:footer="0" w:header="0"/>
        </w:sectPr>
      </w:pPr>
    </w:p>
    <w:bookmarkStart w:id="318" w:name="page319"/>
    <w:bookmarkEnd w:id="318"/>
    <w:p>
      <w:pPr>
        <w:ind w:left="1360" w:hanging="231"/>
        <w:spacing w:after="0"/>
        <w:tabs>
          <w:tab w:leader="none" w:pos="13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Exchange Date, the Company shall have filed a listing of additional shares notification form with The Nasdaq Capital Market for the listing of</w:t>
      </w:r>
    </w:p>
    <w:p>
      <w:pPr>
        <w:spacing w:after="0" w:line="22"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w:t>
      </w:r>
    </w:p>
    <w:p>
      <w:pPr>
        <w:spacing w:after="0" w:line="177"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6"/>
          <w:szCs w:val="16"/>
          <w:color w:val="auto"/>
        </w:rPr>
        <w:t>If (i) any of the conditions specified in this Section 6 shall not have been fulfilled when and as provided in this Agreement or (ii) any of the opinions and certificates mentioned above or elsewhere in this Agreement shall not be reasonably satisfactory in form and substance to the Dealer Manager and its counsel, this Agreement and all obligations of the Dealer Manager hereunder may be cancelled by the Dealer Manager at, or at any time prior to, the Exchange Date. In such event, the Dealer Managers shall be entitled to publicly disclose the cancellation of its participation in the Exchange Offer via press release, subject to prior notification of the Company. Notice of such cancellation shall be given to the Company in writing or by telephone or facsimile confirmed in writing.</w:t>
      </w:r>
    </w:p>
    <w:p>
      <w:pPr>
        <w:spacing w:after="0" w:line="164" w:lineRule="exact"/>
        <w:rPr>
          <w:sz w:val="20"/>
          <w:szCs w:val="20"/>
          <w:color w:val="auto"/>
        </w:rPr>
      </w:pPr>
    </w:p>
    <w:p>
      <w:pPr>
        <w:ind w:left="720" w:hanging="158"/>
        <w:spacing w:after="0"/>
        <w:tabs>
          <w:tab w:leader="none" w:pos="7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and Contribution</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560" w:firstLine="569"/>
        <w:spacing w:after="0" w:line="265" w:lineRule="auto"/>
        <w:tabs>
          <w:tab w:leader="none" w:pos="1352" w:val="left"/>
        </w:tabs>
        <w:numPr>
          <w:ilvl w:val="1"/>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agrees to indemnify and hold harmless the Dealer Manager, the directors, officers, employees, agents and Affiliates of the Dealer Manager and each person who controls the Dealer Manager within the meaning of either the Securities Act or the Exchange Act against any and all losses, claims, damages or liabilities, joint or several, to which the Dealer Manager may become subject under the Securities Act, the Exchange Act or other federal, state or foreign statutory law or regulation, at common law or otherwise, insofar as such losses, claims, damages or liabilities (or actions in respect thereof) relate to, arise out of or are based upon (1)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(2) any untrue statement or alleged untrue statement of a material fact contained in the Preliminary Prospectus, the Prospectus, the accompanying letter of transmittal and consent, the Schedule TO, the notice of guaranteed delivery and all other documents filed or to be filed with any federal, state or local government or regulatory agency or authority in connection with the Exchange Offer or the Consent Solicitation, each as prepared or approved by the Company, or the omission or alleged omission therefrom of a material fact necessary in order to make the statements therein, in the light of the circumstances under which they were made, not misleading, (3) the Company’s failure to make or consummate the Exchange Offer or the withdrawal, rescission, termination, amendment or extension of the Exchange Offer or any failure on the Company’s part to comply with the terms and conditions contained in the Offering Documents, (4) any action or failure to act by the Company or its respective directors, officers, agents or employees or by any indemnified party at the request or with the consent of the Company in connection with the consummation of the Exchange Offer in accordance with the terms and conditions contained in the Offering Documents or (5) otherwise related to or arising out of the Dealer Manager’s engagement hereunder or any transaction or conduct in connection therewith, except that clauses (3), (4) and (5) shall not apply with respect to the portion of any losses that are finally judicially determined by a court of competent jurisdiction to have resulted primarily from the bad faith, gross negligence or willful misconduct of such indemnified party, and in the case of clause (1), (2), (3) or (4) of this sentence, the Company agrees to reimburse each such indemnified party, as incurred, for any legal or other expenses reasonably incurred by it in connection with investigating or defending any such loss, claim, damage, liability or action;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Company will not be liable in any such case to the extent that any such loss, claim, damage or liability arises out of or is based upon any such untrue statement or alleged untrue statement or omission or alleged omission made in the Offering Documents, or in any amendment thereof or supplement thereto, in reliance upon and in conformity with the Dealer Manager Information. This indemnity agreement will be in addition to any liability that the Company may otherwise have.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19" w:name="page320"/>
    <w:bookmarkEnd w:id="319"/>
    <w:p>
      <w:pPr>
        <w:jc w:val="both"/>
        <w:ind w:left="-560" w:right="20" w:firstLine="569"/>
        <w:spacing w:after="0" w:line="286" w:lineRule="auto"/>
        <w:tabs>
          <w:tab w:leader="none" w:pos="23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Dealer Manager agrees to indemnify and hold harmless the Company, each of its directors, officers, employees and agents and each person who controls the Company within the meaning of the Securities Act or the Exchange Act to the same extent as the foregoing indemnity from the Company to the Dealer Manager, but only with reference to the Dealer Manager Information. This indemnity agreement will be in addition to any liability that the Dealer Manager may otherwise have.</w:t>
      </w:r>
    </w:p>
    <w:p>
      <w:pPr>
        <w:spacing w:after="0" w:line="139" w:lineRule="exact"/>
        <w:rPr>
          <w:rFonts w:ascii="Times New Roman" w:cs="Times New Roman" w:eastAsia="Times New Roman" w:hAnsi="Times New Roman"/>
          <w:sz w:val="15"/>
          <w:szCs w:val="15"/>
          <w:color w:val="auto"/>
        </w:rPr>
      </w:pPr>
    </w:p>
    <w:p>
      <w:pPr>
        <w:jc w:val="both"/>
        <w:ind w:left="-560" w:firstLine="569"/>
        <w:spacing w:after="0" w:line="265" w:lineRule="auto"/>
        <w:tabs>
          <w:tab w:leader="none" w:pos="226"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and documented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3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8" w:right="319" w:bottom="1440" w:gutter="0" w:footer="0" w:header="0"/>
        </w:sectPr>
      </w:pPr>
    </w:p>
    <w:bookmarkStart w:id="320" w:name="page321"/>
    <w:bookmarkEnd w:id="320"/>
    <w:p>
      <w:pPr>
        <w:jc w:val="both"/>
        <w:ind w:left="-560" w:firstLine="569"/>
        <w:spacing w:after="0" w:line="247" w:lineRule="auto"/>
        <w:tabs>
          <w:tab w:leader="none" w:pos="238"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indemnity provided in paragraph (a) or (b) of this Section 7 is unavailable to or insufficient to hold harmless an indemnified party for any reason, the Company and the Dealer Manager agree to contribute to the aggregate losses, claims, damages and liabilities (including legal or other expenses reasonably incurred in connection with investigating or defending same) (collectively, the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to which the Company and the Dealer Manager may be subject in such proportion as is appropriate to reflect the relative benefits received by the Dealer Manager on the one hand and the Company on the other from the Exchange Offer. If the allocation provided by the immediately preceding sentence is unavailable for any reason, the Company and the Dealer Manager shall contribute in such proportion as is appropriate to reflect not only such relative benefits but also the relative fault of the Company on the one hand and of the Dealer Manager on the other in connection with the statements, omissions, actions or failure to act that resulted in such Losses, as well as any other relevant equitable considerations. The relative benefits received by the Company on the one hand and the Dealer Manager on the other shall be deemed to be in the same proportion as the total value paid or proposed to be paid to holders of Warrants pursuant to the Exchange Offer and the Consent Solicitation (whether or not consummated) bears to the fees actually received by the Dealer Manager pursuant to Section 2 hereof (exclusive of amounts paid for reimbursement of expenses or paid under this Agreement). For purposes of the preceding sentence, the total value paid or proposed to be paid to holders of Warrants pursuant to the Exchange Offer and the Consent Solicitation shall equal (i) if the Exchange Offer or the Consent Solicitation is consummated, the total market value of the Shares (as of the Expiration Date) issued (plus any cash in lieu of fractional shares paid) in the Exchange Offer and the Consent Solicitation, or (ii) if the Exchange Offer and the Consent Solicitation is not consummated, the total market value (as of the date when the Exchange Offer is terminated or otherwise withdrawn by the Company) of the Shares issuable in the Exchange Offer and the Consent Solicitation, based on the maximum number of Warrants that could be exchanged in the Exchange Offer and the Consent Solicitation as described in the Preliminary Prospectus or Prospectus immediately before the termination or withdrawal of the Exchange Offer and the Consent Solicitation. Relative fault shall be determined by reference to, among other things, whether any untrue or any alleged untrue statement of a material fact or the omission or alleged omission to state a material fact or any other alleged conduct relates to information provided by the Company or other conduct by the Company on the one hand or the Dealer Manager on the other, the intent of the parties and their relative knowledge, access to information and opportunity to correct or prevent such untrue statement or omission. The Company and the Dealer Manager agree that it would not be just and equitable if contribution were determined by pro rata allocation or any other method of allocation that does not take account of the equitable considerations referred to above. Notwithstanding anything to the contrary above (other than with respect to uncovered losses), in no event shall BofA Securities, Inc. be responsible under this paragraph for any amounts in excess of the amount of the compensation actually paid by the Company to BofA Securities, Inc. in connection with the engagement (exclusive of amounts paid for reimbursement of expenses under the Agreement, including this Section 7, and amounts paid under this Section 7).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7, each person who controls the Dealer Manager within the meaning of either the Securities Act or the Exchange Act and each director, officer, employee, agent and Affiliate of the Dealer Manager shall have the same rights to contribution as such Dealer Manager, and each person who controls the Company within the meaning of either the Securities Act or the Exchange Act and each director, officer, employee and agent of the Company shall have the same rights to contribution as the Company, subject in each case to the applicable terms and conditions of this paragraph (d).</w:t>
      </w:r>
    </w:p>
    <w:p>
      <w:pPr>
        <w:spacing w:after="0" w:line="3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714946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40"/>
          </w:cols>
          <w:pgMar w:left="1440" w:top="808" w:right="319" w:bottom="1440" w:gutter="0" w:footer="0" w:header="0"/>
        </w:sectPr>
      </w:pPr>
    </w:p>
    <w:bookmarkStart w:id="321" w:name="page322"/>
    <w:bookmarkEnd w:id="321"/>
    <w:p>
      <w:pPr>
        <w:jc w:val="both"/>
        <w:ind w:firstLine="562"/>
        <w:spacing w:after="0" w:line="252" w:lineRule="auto"/>
        <w:tabs>
          <w:tab w:leader="none" w:pos="73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Acknowledgments</w:t>
      </w:r>
      <w:r>
        <w:rPr>
          <w:rFonts w:ascii="Times New Roman" w:cs="Times New Roman" w:eastAsia="Times New Roman" w:hAnsi="Times New Roman"/>
          <w:sz w:val="16"/>
          <w:szCs w:val="16"/>
          <w:color w:val="auto"/>
        </w:rPr>
        <w:t>. The Company understands that you and your Affiliates (together, the “</w:t>
      </w:r>
      <w:r>
        <w:rPr>
          <w:rFonts w:ascii="Times New Roman" w:cs="Times New Roman" w:eastAsia="Times New Roman" w:hAnsi="Times New Roman"/>
          <w:sz w:val="16"/>
          <w:szCs w:val="16"/>
          <w:u w:val="single" w:color="auto"/>
          <w:color w:val="auto"/>
        </w:rPr>
        <w:t>Group</w:t>
      </w:r>
      <w:r>
        <w:rPr>
          <w:rFonts w:ascii="Times New Roman" w:cs="Times New Roman" w:eastAsia="Times New Roman" w:hAnsi="Times New Roman"/>
          <w:sz w:val="16"/>
          <w:szCs w:val="16"/>
          <w:color w:val="auto"/>
        </w:rPr>
        <w:t>”) are engaged in a wide range of financial services and businesses (including investment management, financing, securities trading, corporate and investment banking and research). Members of the Group and businesses within the Group generally act independently of each other, both for their own account and for the account of clients. Accordingly, there may be situations where parts of the Group and/or their clients either now have or may in the future have interests, or take actions, that may conflict with our interests. For example, the Group may, in the ordinary course of business, engage in trading in financial products or undertake other investment businesses for their own account or on behalf of other clients, including, but not limited to, trading in or holding long, short or derivative positions in securities, loans or other financial products of the Company or other entities connected with the Exchange Offer.</w:t>
      </w:r>
    </w:p>
    <w:p>
      <w:pPr>
        <w:spacing w:after="0" w:line="164" w:lineRule="exact"/>
        <w:rPr>
          <w:sz w:val="20"/>
          <w:szCs w:val="20"/>
          <w:color w:val="auto"/>
        </w:rPr>
      </w:pPr>
    </w:p>
    <w:p>
      <w:pPr>
        <w:jc w:val="both"/>
        <w:ind w:firstLine="1134"/>
        <w:spacing w:after="0" w:line="251" w:lineRule="auto"/>
        <w:rPr>
          <w:sz w:val="20"/>
          <w:szCs w:val="20"/>
          <w:color w:val="auto"/>
        </w:rPr>
      </w:pPr>
      <w:r>
        <w:rPr>
          <w:rFonts w:ascii="Times New Roman" w:cs="Times New Roman" w:eastAsia="Times New Roman" w:hAnsi="Times New Roman"/>
          <w:sz w:val="16"/>
          <w:szCs w:val="16"/>
          <w:color w:val="auto"/>
        </w:rPr>
        <w:t>In recognition of the foregoing, the Company agrees that the Group is not required to restrict its activities as a result of this engagement, and that the Group may undertake any business activity without further consultation with or notification to the Company. Neither this Agreement, the receipt by the Group of confidential information nor any other matter shall give rise to any fiduciary, equitable or contractual duties (including, without limitation, any duty of trust or confidence) that would prevent or restrict the Group from acting on behalf of other customers or for its own account. Furthermore, the Company agrees that neither the Group nor any member or business of the Group is under a duty to disclose to the Company or use on behalf of the Company any information whatsoever about or derived from those activities or to account for any revenue or profits obtained in connection with such activities. However, consistent with the Group’s long-standing policy to hold in confidence the affairs of its customers, the Group will not use confidential information obtained from the Company except in connection with its services to, and its relationship with the Company.</w:t>
      </w:r>
    </w:p>
    <w:p>
      <w:pPr>
        <w:spacing w:after="0" w:line="165" w:lineRule="exact"/>
        <w:rPr>
          <w:sz w:val="20"/>
          <w:szCs w:val="20"/>
          <w:color w:val="auto"/>
        </w:rPr>
      </w:pPr>
    </w:p>
    <w:p>
      <w:pPr>
        <w:jc w:val="both"/>
        <w:ind w:firstLine="1134"/>
        <w:spacing w:after="0" w:line="270" w:lineRule="auto"/>
        <w:rPr>
          <w:sz w:val="20"/>
          <w:szCs w:val="20"/>
          <w:color w:val="auto"/>
        </w:rPr>
      </w:pPr>
      <w:r>
        <w:rPr>
          <w:rFonts w:ascii="Times New Roman" w:cs="Times New Roman" w:eastAsia="Times New Roman" w:hAnsi="Times New Roman"/>
          <w:sz w:val="15"/>
          <w:szCs w:val="15"/>
          <w:color w:val="auto"/>
        </w:rPr>
        <w:t>The Company hereby acknowledges that you are acting as principal and not as a fiduciary of the Company and the Company’s engagement of you in connection with the transactions contemplated herein is as an independent contractor, on an arms-length basis under this Agreement with duties solely to the Company, and not in any other capacity including as a fiduciary. Neither this Agreement, your performance hereunder nor any previous or existing relationship between the Company and any member of or business within the Group will be deemed to create any fiduciary relationship. Neither this engagement, nor the delivery of any advice in connection with this engagement, is intended to confer rights upon any persons not a party hereto (including security holders, employees or creditors of the Company) as against the Group or their respective directors, officers, agents and employees. Furthermore, the Company agrees that it is solely responsible for making its own judgments in connection with the transactions contemplated herein (irrespective of whether any member of or business within the Group has advised or is currently advising the Company on related or other matters).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2" w:name="page323"/>
    <w:bookmarkEnd w:id="322"/>
    <w:p>
      <w:pPr>
        <w:ind w:left="720" w:hanging="158"/>
        <w:spacing w:after="0"/>
        <w:tabs>
          <w:tab w:leader="none" w:pos="7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Representations, Acknowledgments and Indemnities to Survive</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560" w:right="20" w:firstLine="569"/>
        <w:spacing w:after="0" w:line="261" w:lineRule="auto"/>
        <w:tabs>
          <w:tab w:leader="none" w:pos="1342"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(c) below, this Agreement may be terminated by the Company, at any time upon notice to the Dealer Manager, if (i) at any time prior to the Exchange Date, the Exchange Offer and the Consent Solicitation is terminated or withdrawn by the Company for any reason, or (ii) the Dealer Manager does not comply with all of its covenants under this Agreement.</w:t>
      </w:r>
    </w:p>
    <w:p>
      <w:pPr>
        <w:spacing w:after="0" w:line="155" w:lineRule="exact"/>
        <w:rPr>
          <w:rFonts w:ascii="Times New Roman" w:cs="Times New Roman" w:eastAsia="Times New Roman" w:hAnsi="Times New Roman"/>
          <w:sz w:val="16"/>
          <w:szCs w:val="16"/>
          <w:color w:val="auto"/>
        </w:rPr>
      </w:pPr>
    </w:p>
    <w:p>
      <w:pPr>
        <w:jc w:val="both"/>
        <w:ind w:left="560" w:firstLine="569"/>
        <w:spacing w:after="0" w:line="253" w:lineRule="auto"/>
        <w:tabs>
          <w:tab w:leader="none" w:pos="1351"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clause (c) below, this Agreement may be terminated by the Dealer Manager, at any time upon notice to the Company, if (i) at any time prior to the Exchange Date, the Exchange Offer and the Consent Solicitation is terminated or withdrawn by the Company for any reason, (ii) the Company does not comply in all material respects with any covenant specified in Section 1, (iii) the Company shall publish, send or otherwise publicly distribute any amendment or supplement to the Offering Documents to which the Dealer Manager shall reasonably object or which shall be reasonably disapproved by the counsel to the Dealer Manager or (iv) the Dealer Manager cancels the Agreement pursuant to Section 6.</w:t>
      </w:r>
    </w:p>
    <w:p>
      <w:pPr>
        <w:spacing w:after="0" w:line="164" w:lineRule="exact"/>
        <w:rPr>
          <w:rFonts w:ascii="Times New Roman" w:cs="Times New Roman" w:eastAsia="Times New Roman" w:hAnsi="Times New Roman"/>
          <w:sz w:val="16"/>
          <w:szCs w:val="16"/>
          <w:color w:val="auto"/>
        </w:rPr>
      </w:pPr>
    </w:p>
    <w:p>
      <w:pPr>
        <w:jc w:val="both"/>
        <w:ind w:left="560" w:firstLine="569"/>
        <w:spacing w:after="0" w:line="256" w:lineRule="auto"/>
        <w:tabs>
          <w:tab w:leader="none" w:pos="134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respective agreements, representations, warranties, acknowledgments, indemnities and other statements of the Company or its officers and of the Dealer Manager set forth in or made pursuant to this Agreement will remain in full force and effect, regardless of any investigation made by or on behalf of the Dealer Manager or the Company or any of the officers, directors or controlling person of the Company, and will survive delivery of and payment for the Shares. The provisions of Section 2, Section 5(m), Section 7, and Section 18 hereof, and this Section 9(c), shall survive the termination or cancellation of this Agreement.</w:t>
      </w:r>
    </w:p>
    <w:p>
      <w:pPr>
        <w:spacing w:after="0" w:line="160" w:lineRule="exact"/>
        <w:rPr>
          <w:rFonts w:ascii="Times New Roman" w:cs="Times New Roman" w:eastAsia="Times New Roman" w:hAnsi="Times New Roman"/>
          <w:sz w:val="16"/>
          <w:szCs w:val="16"/>
          <w:color w:val="auto"/>
        </w:rPr>
      </w:pPr>
    </w:p>
    <w:p>
      <w:pPr>
        <w:jc w:val="both"/>
        <w:ind w:firstLine="562"/>
        <w:spacing w:after="0" w:line="261" w:lineRule="auto"/>
        <w:tabs>
          <w:tab w:leader="none" w:pos="81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USA PATRIOT Act</w:t>
      </w:r>
      <w:r>
        <w:rPr>
          <w:rFonts w:ascii="Times New Roman" w:cs="Times New Roman" w:eastAsia="Times New Roman" w:hAnsi="Times New Roman"/>
          <w:sz w:val="16"/>
          <w:szCs w:val="16"/>
          <w:color w:val="auto"/>
        </w:rPr>
        <w:t>. In accordance with the requirements of the USA PATRIOT Act (Title III of Pub. L. 107-56 (signed into law October 26, 2001)), the Dealer Manager is required to obtain, verify and record information that identifies its clients, including the Company, which information may include the name and address of its clients, as well as other information that will allow the Dealer Manager to properly identify its clients.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3" w:name="page324"/>
    <w:bookmarkEnd w:id="323"/>
    <w:p>
      <w:pPr>
        <w:ind w:left="560"/>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communications hereunder will be in writing and effective only on receipt, and, if sent to the Dealer Manager, will be mailed or delivered to</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BofA Securities,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One Bryant Park,</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dg.ecm_execution_services@bofa.com</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Syndicate Department with a copy to:</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dg.ecm_legal@bofa.com</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ECM Legal</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Davis Polk &amp; Wardwell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450 Lexington Avenue,</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New York 10017</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derek.dostal@davispolk.com</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Derek Dostal</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or, if sent to the Company, will be mailed or delivered to</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One North Lexington Avenue,</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Suite 1450</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White Plains, New York 10601</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jcoghlin@opalfuels.com</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John H. Coghlin, General Counsel</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Sheppard, Mullin, Richter &amp; Hampton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30 Rockefeller Plaza</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New York 10112</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ewelch@sheppardmullin.com</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Edward Welch, Esq.</w:t>
      </w:r>
    </w:p>
    <w:p>
      <w:pPr>
        <w:spacing w:after="0" w:line="177" w:lineRule="exact"/>
        <w:rPr>
          <w:sz w:val="20"/>
          <w:szCs w:val="20"/>
          <w:color w:val="auto"/>
        </w:rPr>
      </w:pPr>
    </w:p>
    <w:p>
      <w:pPr>
        <w:ind w:right="20" w:firstLine="562"/>
        <w:spacing w:after="0" w:line="275" w:lineRule="auto"/>
        <w:tabs>
          <w:tab w:leader="none" w:pos="81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This Agreement will inure to the benefit of and be binding upon the parties hereto and their respective successors and the officers and directors and controlling persons referred to in Section 7 hereof, and no other person will have any right or obligation hereunder.</w:t>
      </w:r>
    </w:p>
    <w:p>
      <w:pPr>
        <w:spacing w:after="0" w:line="145" w:lineRule="exact"/>
        <w:rPr>
          <w:rFonts w:ascii="Times New Roman" w:cs="Times New Roman" w:eastAsia="Times New Roman" w:hAnsi="Times New Roman"/>
          <w:sz w:val="16"/>
          <w:szCs w:val="16"/>
          <w:color w:val="auto"/>
        </w:rPr>
      </w:pPr>
    </w:p>
    <w:p>
      <w:pPr>
        <w:jc w:val="both"/>
        <w:ind w:firstLine="562"/>
        <w:spacing w:after="0" w:line="286" w:lineRule="auto"/>
        <w:tabs>
          <w:tab w:leader="none" w:pos="803"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Except for that certain engagement letter dated as of November 8, 2022, between the Company and the Dealer Manager, this Agreement, and any documents referred to in it, constitute the whole agreement between the parties and supersede any arrangements, understanding or previous agreement between them relating to the subject matter they cover. In the event of any inconsistency between this Agreement and any documents referred to in it, the terms of this Agreement shall prevail.</w:t>
      </w:r>
    </w:p>
    <w:p>
      <w:pPr>
        <w:spacing w:after="0" w:line="139" w:lineRule="exact"/>
        <w:rPr>
          <w:rFonts w:ascii="Times New Roman" w:cs="Times New Roman" w:eastAsia="Times New Roman" w:hAnsi="Times New Roman"/>
          <w:sz w:val="15"/>
          <w:szCs w:val="15"/>
          <w:color w:val="auto"/>
        </w:rPr>
      </w:pPr>
    </w:p>
    <w:p>
      <w:pPr>
        <w:jc w:val="both"/>
        <w:ind w:firstLine="562"/>
        <w:spacing w:after="0" w:line="251" w:lineRule="auto"/>
        <w:tabs>
          <w:tab w:leader="none" w:pos="803"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Submission to Jurisdiction</w:t>
      </w:r>
      <w:r>
        <w:rPr>
          <w:rFonts w:ascii="Times New Roman" w:cs="Times New Roman" w:eastAsia="Times New Roman" w:hAnsi="Times New Roman"/>
          <w:sz w:val="16"/>
          <w:szCs w:val="16"/>
          <w:color w:val="auto"/>
        </w:rPr>
        <w:t>. Each party hereby submits to the jurisdiction of the U.S. federal and New York state courts in the Borough of Manhattan in The City of New York in any suit or proceeding arising out of or relating to this Agreement or the transactions contemplated hereby. Each party waives any objection which it may now or hereafter have to the laying of venue of any such suit or proceeding in such courts. Each party agrees that final judgment in any such suit, action or proceeding brought in such court shall be conclusive and binding upon such party and may be enforced in any court to the jurisdiction of which such party is subject by a suit upon such judgment.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be deemed in every respect effective service of process upon such party in any such suit or proceeding.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4" w:name="page325"/>
    <w:bookmarkEnd w:id="324"/>
    <w:p>
      <w:pPr>
        <w:ind w:firstLine="562"/>
        <w:spacing w:after="0" w:line="275" w:lineRule="auto"/>
        <w:tabs>
          <w:tab w:leader="none" w:pos="80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This Agreement will be governed by and construed in accordance with the laws of the State of New York applicable to contracts made and to be performed within the State of New York.</w:t>
      </w:r>
    </w:p>
    <w:p>
      <w:pPr>
        <w:spacing w:after="0" w:line="143" w:lineRule="exact"/>
        <w:rPr>
          <w:rFonts w:ascii="Times New Roman" w:cs="Times New Roman" w:eastAsia="Times New Roman" w:hAnsi="Times New Roman"/>
          <w:sz w:val="16"/>
          <w:szCs w:val="16"/>
          <w:color w:val="auto"/>
        </w:rPr>
      </w:pPr>
    </w:p>
    <w:p>
      <w:pPr>
        <w:ind w:left="800" w:hanging="238"/>
        <w:spacing w:after="0"/>
        <w:tabs>
          <w:tab w:leader="none" w:pos="8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Each of the parties hereto hereby waives any right to trial by jury in any suit or proceeding arising out of or relating to this Agreement.</w:t>
      </w:r>
    </w:p>
    <w:p>
      <w:pPr>
        <w:spacing w:after="0" w:line="196" w:lineRule="exact"/>
        <w:rPr>
          <w:rFonts w:ascii="Times New Roman" w:cs="Times New Roman" w:eastAsia="Times New Roman" w:hAnsi="Times New Roman"/>
          <w:sz w:val="16"/>
          <w:szCs w:val="16"/>
          <w:color w:val="auto"/>
        </w:rPr>
      </w:pPr>
    </w:p>
    <w:p>
      <w:pPr>
        <w:jc w:val="both"/>
        <w:ind w:firstLine="562"/>
        <w:spacing w:after="0" w:line="256" w:lineRule="auto"/>
        <w:tabs>
          <w:tab w:leader="none" w:pos="815"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60" w:lineRule="exact"/>
        <w:rPr>
          <w:rFonts w:ascii="Times New Roman" w:cs="Times New Roman" w:eastAsia="Times New Roman" w:hAnsi="Times New Roman"/>
          <w:sz w:val="16"/>
          <w:szCs w:val="16"/>
          <w:color w:val="auto"/>
        </w:rPr>
      </w:pPr>
    </w:p>
    <w:p>
      <w:pPr>
        <w:ind w:left="800" w:hanging="238"/>
        <w:spacing w:after="0"/>
        <w:tabs>
          <w:tab w:leader="none" w:pos="8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sections of this Agreement have been inserted for convenience of reference only and shall not be deemed a part of this Agreement.</w:t>
      </w:r>
    </w:p>
    <w:p>
      <w:pPr>
        <w:spacing w:after="0" w:line="194" w:lineRule="exact"/>
        <w:rPr>
          <w:rFonts w:ascii="Times New Roman" w:cs="Times New Roman" w:eastAsia="Times New Roman" w:hAnsi="Times New Roman"/>
          <w:sz w:val="16"/>
          <w:szCs w:val="16"/>
          <w:color w:val="auto"/>
        </w:rPr>
      </w:pPr>
    </w:p>
    <w:p>
      <w:pPr>
        <w:ind w:left="800" w:hanging="238"/>
        <w:spacing w:after="0"/>
        <w:tabs>
          <w:tab w:leader="none" w:pos="8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The following terms, when used in this Agreement, shall have the meanings indicated.</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shall have the meaning specified in Rule 501(b) of Regulation D.</w:t>
      </w:r>
    </w:p>
    <w:p>
      <w:pPr>
        <w:spacing w:after="0" w:line="194" w:lineRule="exact"/>
        <w:rPr>
          <w:sz w:val="20"/>
          <w:szCs w:val="20"/>
          <w:color w:val="auto"/>
        </w:rPr>
      </w:pPr>
    </w:p>
    <w:p>
      <w:pPr>
        <w:ind w:right="20"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A common stock</w:t>
      </w:r>
      <w:r>
        <w:rPr>
          <w:rFonts w:ascii="Times New Roman" w:cs="Times New Roman" w:eastAsia="Times New Roman" w:hAnsi="Times New Roman"/>
          <w:sz w:val="16"/>
          <w:szCs w:val="16"/>
          <w:color w:val="auto"/>
        </w:rPr>
        <w:t>” means the Class A common stock of the Company, par value $0.0001 per share, and any other class of securities into which such securities may hereafter be reclassified or changed.</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Commencement Date</w:t>
      </w:r>
      <w:r>
        <w:rPr>
          <w:rFonts w:ascii="Times New Roman" w:cs="Times New Roman" w:eastAsia="Times New Roman" w:hAnsi="Times New Roman"/>
          <w:sz w:val="16"/>
          <w:szCs w:val="16"/>
          <w:color w:val="auto"/>
        </w:rPr>
        <w:t>” shall mean the date of commencement (as defined in Rule 13e-4 under the Exchange Act) of the Exchange Offer.</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shall mean the U.S. Securities and Exchange Commission.</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 Reports</w:t>
      </w:r>
      <w:r>
        <w:rPr>
          <w:rFonts w:ascii="Times New Roman" w:cs="Times New Roman" w:eastAsia="Times New Roman" w:hAnsi="Times New Roman"/>
          <w:sz w:val="16"/>
          <w:szCs w:val="16"/>
          <w:color w:val="auto"/>
        </w:rPr>
        <w:t>” shall mean any reports the Company files with the Commission pursuant to the Exchange Act.</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shall mean the time the Registration Statement is declared effective under the Securities Act.</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shall mean the U.S. Securities Exchange Act of 1934, as amended, and the rules and regulations of the Commission promulgated thereunder.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5" w:name="page326"/>
    <w:bookmarkEnd w:id="325"/>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shall mean Continental Stock Transfer &amp; Trust Company.</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Date</w:t>
      </w:r>
      <w:r>
        <w:rPr>
          <w:rFonts w:ascii="Times New Roman" w:cs="Times New Roman" w:eastAsia="Times New Roman" w:hAnsi="Times New Roman"/>
          <w:sz w:val="16"/>
          <w:szCs w:val="16"/>
          <w:color w:val="auto"/>
        </w:rPr>
        <w:t>” shall mean the date on which the Company issues the Shares in exchange for the tendered Warrants pursuant to the Exchange Offer.</w:t>
      </w:r>
    </w:p>
    <w:p>
      <w:pPr>
        <w:spacing w:after="0" w:line="194" w:lineRule="exact"/>
        <w:rPr>
          <w:sz w:val="20"/>
          <w:szCs w:val="20"/>
          <w:color w:val="auto"/>
        </w:rPr>
      </w:pPr>
    </w:p>
    <w:p>
      <w:pPr>
        <w:jc w:val="both"/>
        <w:ind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Expiration Date</w:t>
      </w:r>
      <w:r>
        <w:rPr>
          <w:rFonts w:ascii="Times New Roman" w:cs="Times New Roman" w:eastAsia="Times New Roman" w:hAnsi="Times New Roman"/>
          <w:sz w:val="16"/>
          <w:szCs w:val="16"/>
          <w:color w:val="auto"/>
        </w:rPr>
        <w:t>” shall mean one minute after 11:59 p.m., Eastern Time, on December 16, 2022, or such later time and date as may be extended by the Company in its sole discretion.</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shall mean the Financial Industry Regulatory Authority, Inc.</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Information Agent</w:t>
      </w:r>
      <w:r>
        <w:rPr>
          <w:rFonts w:ascii="Times New Roman" w:cs="Times New Roman" w:eastAsia="Times New Roman" w:hAnsi="Times New Roman"/>
          <w:sz w:val="16"/>
          <w:szCs w:val="16"/>
          <w:color w:val="auto"/>
        </w:rPr>
        <w:t>” shall mean D.F. King &amp; Co., Inc.</w:t>
      </w:r>
    </w:p>
    <w:p>
      <w:pPr>
        <w:spacing w:after="0" w:line="194" w:lineRule="exact"/>
        <w:rPr>
          <w:sz w:val="20"/>
          <w:szCs w:val="20"/>
          <w:color w:val="auto"/>
        </w:rPr>
      </w:pPr>
    </w:p>
    <w:p>
      <w:pPr>
        <w:jc w:val="both"/>
        <w:ind w:right="20"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Change</w:t>
      </w:r>
      <w:r>
        <w:rPr>
          <w:rFonts w:ascii="Times New Roman" w:cs="Times New Roman" w:eastAsia="Times New Roman" w:hAnsi="Times New Roman"/>
          <w:sz w:val="16"/>
          <w:szCs w:val="16"/>
          <w:color w:val="auto"/>
        </w:rPr>
        <w:t>” shall mean, with respect to the Company, any change that is materially adverse to the condition (financial or otherwise), prospects, earnings, business or properties of the Company and its subsidiaries, taken as a whole, whether or not arising from transactions in the ordinary course of business.</w:t>
      </w:r>
    </w:p>
    <w:p>
      <w:pPr>
        <w:spacing w:after="0" w:line="145" w:lineRule="exact"/>
        <w:rPr>
          <w:sz w:val="20"/>
          <w:szCs w:val="20"/>
          <w:color w:val="auto"/>
        </w:rPr>
      </w:pPr>
    </w:p>
    <w:p>
      <w:pPr>
        <w:jc w:val="both"/>
        <w:ind w:right="20" w:firstLine="1134"/>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(i) a material adverse effect on the legality, validity or enforceability of any Transaction Document,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any Transaction Document.</w:t>
      </w:r>
    </w:p>
    <w:p>
      <w:pPr>
        <w:spacing w:after="0" w:line="156" w:lineRule="exact"/>
        <w:rPr>
          <w:sz w:val="20"/>
          <w:szCs w:val="20"/>
          <w:color w:val="auto"/>
        </w:rPr>
      </w:pPr>
    </w:p>
    <w:p>
      <w:pPr>
        <w:jc w:val="both"/>
        <w:ind w:right="20" w:firstLine="1134"/>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Offering Documents</w:t>
      </w:r>
      <w:r>
        <w:rPr>
          <w:rFonts w:ascii="Times New Roman" w:cs="Times New Roman" w:eastAsia="Times New Roman" w:hAnsi="Times New Roman"/>
          <w:sz w:val="16"/>
          <w:szCs w:val="16"/>
          <w:color w:val="auto"/>
        </w:rPr>
        <w:t>” shall mean the Pre-Effective Registration Statement, the Registration Statement, the Preliminary Prospectus, the Prospectus, the accompanying letter of transmittal and consent, the Schedule TO, the notice of guaranteed delivery and all other documents filed or to be filed with any federal, state or local government or regulatory agency or authority in connection with the Exchange Offer or the Consent Solicitation, each as prepared or approved by the Company.</w:t>
      </w:r>
    </w:p>
    <w:p>
      <w:pPr>
        <w:spacing w:after="0" w:line="156"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Pre-Effective Registration Statement</w:t>
      </w:r>
      <w:r>
        <w:rPr>
          <w:rFonts w:ascii="Times New Roman" w:cs="Times New Roman" w:eastAsia="Times New Roman" w:hAnsi="Times New Roman"/>
          <w:sz w:val="16"/>
          <w:szCs w:val="16"/>
          <w:color w:val="auto"/>
        </w:rPr>
        <w:t>” shall mean the registration statement, filed by the Company with the Commission registering the Exchange Offer under the Securities Act, including exhibits thereto and any documents deemed part of or incorporated by reference into such registration statement pursuant to Rule 430C under the Securities Act, in the form in which it is initially filed with the Commission.</w:t>
      </w:r>
    </w:p>
    <w:p>
      <w:pPr>
        <w:spacing w:after="0" w:line="156" w:lineRule="exact"/>
        <w:rPr>
          <w:sz w:val="20"/>
          <w:szCs w:val="20"/>
          <w:color w:val="auto"/>
        </w:rPr>
      </w:pPr>
    </w:p>
    <w:p>
      <w:pPr>
        <w:jc w:val="both"/>
        <w:ind w:right="20"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Preliminary Prospectus</w:t>
      </w:r>
      <w:r>
        <w:rPr>
          <w:rFonts w:ascii="Times New Roman" w:cs="Times New Roman" w:eastAsia="Times New Roman" w:hAnsi="Times New Roman"/>
          <w:sz w:val="16"/>
          <w:szCs w:val="16"/>
          <w:color w:val="auto"/>
        </w:rPr>
        <w:t>” shall mean the preliminary prospectus that is used prior to the filing of the Prospectus, as amended or supplemented from time to time, including the documents incorporated or deemed to be incorporated by reference therein.</w:t>
      </w:r>
    </w:p>
    <w:p>
      <w:pPr>
        <w:spacing w:after="0" w:line="145" w:lineRule="exact"/>
        <w:rPr>
          <w:sz w:val="20"/>
          <w:szCs w:val="20"/>
          <w:color w:val="auto"/>
        </w:rPr>
      </w:pPr>
    </w:p>
    <w:p>
      <w:pPr>
        <w:jc w:val="both"/>
        <w:ind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private placement warrants</w:t>
      </w:r>
      <w:r>
        <w:rPr>
          <w:rFonts w:ascii="Times New Roman" w:cs="Times New Roman" w:eastAsia="Times New Roman" w:hAnsi="Times New Roman"/>
          <w:sz w:val="16"/>
          <w:szCs w:val="16"/>
          <w:color w:val="auto"/>
        </w:rPr>
        <w:t>” shall mean the warrants issued to certain parties in a private placement in connection with the closing of the initial public offering of the Company’s predecessor, ArcLight Clean Transition Corp. II.</w:t>
      </w:r>
    </w:p>
    <w:p>
      <w:pPr>
        <w:spacing w:after="0" w:line="145" w:lineRule="exact"/>
        <w:rPr>
          <w:sz w:val="20"/>
          <w:szCs w:val="20"/>
          <w:color w:val="auto"/>
        </w:rPr>
      </w:pPr>
    </w:p>
    <w:p>
      <w:pPr>
        <w:jc w:val="both"/>
        <w:ind w:right="20"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claim, suit, investigation or proceeding (including, without limitation, an informal investigation or partial proceeding, such as a deposition), whether commenced or threatened.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6" w:name="page327"/>
    <w:bookmarkEnd w:id="326"/>
    <w:p>
      <w:pPr>
        <w:jc w:val="both"/>
        <w:ind w:firstLine="113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shall mean the final prospectus included in the Registration Statement (together with any supplement and amendment thereto and including the documents incorporated or deemed to be incorporated by reference therein), except that if the final prospectus furnished to the Dealer Manager for use in connection with the Exchange Offer differs from the prospectus set forth in the Registration Statement (whether or not such prospectus is required to be filed pursuant to Rule 424(b) under the Securities Act), the term “</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shall refer to the final prospectus furnished to the Dealer Manager for such use.</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public warrants</w:t>
      </w:r>
      <w:r>
        <w:rPr>
          <w:rFonts w:ascii="Times New Roman" w:cs="Times New Roman" w:eastAsia="Times New Roman" w:hAnsi="Times New Roman"/>
          <w:sz w:val="15"/>
          <w:szCs w:val="15"/>
          <w:color w:val="auto"/>
        </w:rPr>
        <w:t>” shall mean the warrants sold as part of the units in the initial public offering of the Company’s predecessor, ArcLight Clean Transition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(whether they were purchased in the initial public offering or thereafter in the open market).</w:t>
      </w:r>
    </w:p>
    <w:p>
      <w:pPr>
        <w:spacing w:after="0" w:line="17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shall mean the registration statement filed by the Company with the Commission registering the Exchange Offer under the Securities Act, including exhibits thereto and any documents deemed part of or incorporated by reference into such registration statement pursuant to Rule 430C under the Securities Act, in the form in which it becomes effective and, in the event of any amendment or supplement thereto or the filing of any abbreviated registration statement pursuant to Rule 462(b) under the Securities Act relating thereto after the effective date of such registration statement, shall mean such registration statement as so amended or supplemented, together with any such abbreviated registration statement.</w:t>
      </w:r>
    </w:p>
    <w:p>
      <w:pPr>
        <w:spacing w:after="0" w:line="164" w:lineRule="exact"/>
        <w:rPr>
          <w:sz w:val="20"/>
          <w:szCs w:val="20"/>
          <w:color w:val="auto"/>
        </w:rPr>
      </w:pPr>
    </w:p>
    <w:p>
      <w:pPr>
        <w:jc w:val="both"/>
        <w:ind w:right="20" w:firstLine="1134"/>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Schedule TO</w:t>
      </w:r>
      <w:r>
        <w:rPr>
          <w:rFonts w:ascii="Times New Roman" w:cs="Times New Roman" w:eastAsia="Times New Roman" w:hAnsi="Times New Roman"/>
          <w:sz w:val="16"/>
          <w:szCs w:val="16"/>
          <w:color w:val="auto"/>
        </w:rPr>
        <w:t>” shall mean the tender offer statement filed with the Commission on Schedule TO, including any documents incorporated by reference therein, with respect to the Exchange Offer, including any amendment or supplement thereto.</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shall mean the U.S. Securities Act of 1933, as amended, and the rules and regulations of the Commission promulgated thereunder.</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the principal Trading Market is open for trading.</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Trading Market</w:t>
      </w:r>
      <w:r>
        <w:rPr>
          <w:rFonts w:ascii="Times New Roman" w:cs="Times New Roman" w:eastAsia="Times New Roman" w:hAnsi="Times New Roman"/>
          <w:sz w:val="15"/>
          <w:szCs w:val="15"/>
          <w:color w:val="auto"/>
        </w:rPr>
        <w:t>” means any of the following markets or exchanges on which the Class A common stock is listed or quoted for trading on the date in question: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Nasdaq Capital Market (or any successors to any of the foregoing).</w:t>
      </w:r>
    </w:p>
    <w:p>
      <w:pPr>
        <w:spacing w:after="0" w:line="1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Transaction Documents</w:t>
      </w:r>
      <w:r>
        <w:rPr>
          <w:rFonts w:ascii="Times New Roman" w:cs="Times New Roman" w:eastAsia="Times New Roman" w:hAnsi="Times New Roman"/>
          <w:sz w:val="15"/>
          <w:szCs w:val="15"/>
          <w:color w:val="auto"/>
        </w:rPr>
        <w:t>” means this Agreement and any other documents or agreements executed in connection with the transactions contemplated hereunder.</w:t>
      </w:r>
    </w:p>
    <w:p>
      <w:pPr>
        <w:spacing w:after="0" w:line="20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United States</w:t>
      </w:r>
      <w:r>
        <w:rPr>
          <w:rFonts w:ascii="Times New Roman" w:cs="Times New Roman" w:eastAsia="Times New Roman" w:hAnsi="Times New Roman"/>
          <w:sz w:val="16"/>
          <w:szCs w:val="16"/>
          <w:color w:val="auto"/>
        </w:rPr>
        <w:t>” shall mean the United States of America.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to Follow</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27" w:name="page328"/>
    <w:bookmarkEnd w:id="327"/>
    <w:p>
      <w:pPr>
        <w:ind w:right="20" w:firstLine="567"/>
        <w:spacing w:after="0" w:line="275" w:lineRule="auto"/>
        <w:rPr>
          <w:sz w:val="20"/>
          <w:szCs w:val="20"/>
          <w:color w:val="auto"/>
        </w:rPr>
      </w:pPr>
      <w:r>
        <w:rPr>
          <w:rFonts w:ascii="Times New Roman" w:cs="Times New Roman" w:eastAsia="Times New Roman" w:hAnsi="Times New Roman"/>
          <w:sz w:val="16"/>
          <w:szCs w:val="16"/>
          <w:color w:val="auto"/>
        </w:rPr>
        <w:t>If the foregoing is in accordance with your understanding of our agreement, please sign and return to us the enclosed duplicate hereof, whereupon this Agreement and your acceptance shall represent a binding agreement between the Company and the Dealer Manager.</w:t>
      </w:r>
    </w:p>
    <w:p>
      <w:pPr>
        <w:spacing w:after="0" w:line="14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OPAL Fuels Inc.</w:t>
      </w:r>
    </w:p>
    <w:p>
      <w:pPr>
        <w:sectPr>
          <w:pgSz w:w="11900" w:h="16838" w:orient="portrait"/>
          <w:cols w:equalWidth="0" w:num="1">
            <w:col w:w="11260"/>
          </w:cols>
          <w:pgMar w:left="320" w:top="80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foregoing Agreement is hereby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confirmed and accepted as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first above written: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19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By:</w:t>
        <w:tab/>
        <w:t>/s/ Fabrizio Wittenburg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13970</wp:posOffset>
            </wp:positionV>
            <wp:extent cx="2573020"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2573020" cy="1524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 Fabrizio Wittenburg</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Jonathan Maurer</w:t>
            </w:r>
          </w:p>
        </w:tc>
      </w:tr>
      <w:tr>
        <w:trPr>
          <w:trHeight w:val="172"/>
        </w:trPr>
        <w:tc>
          <w:tcPr>
            <w:tcW w:w="6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Jonathan Maurer</w:t>
            </w:r>
          </w:p>
        </w:tc>
      </w:tr>
      <w:tr>
        <w:trPr>
          <w:trHeight w:val="206"/>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1590040</wp:posOffset>
            </wp:positionV>
            <wp:extent cx="7149465"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2">
            <w:col w:w="6040" w:space="720"/>
            <w:col w:w="4500"/>
          </w:cols>
          <w:pgMar w:left="320" w:top="808" w:right="319" w:bottom="1440" w:gutter="0" w:footer="0" w:header="0"/>
          <w:type w:val="continuous"/>
        </w:sectPr>
      </w:pPr>
    </w:p>
    <w:bookmarkStart w:id="328" w:name="page329"/>
    <w:bookmarkEnd w:id="328"/>
    <w:p>
      <w:pPr>
        <w:jc w:val="right"/>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19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Dealer Manager Fee</w:t>
      </w:r>
    </w:p>
    <w:p>
      <w:pPr>
        <w:spacing w:after="0" w:line="194" w:lineRule="exact"/>
        <w:rPr>
          <w:sz w:val="20"/>
          <w:szCs w:val="20"/>
          <w:color w:val="auto"/>
        </w:rPr>
      </w:pPr>
    </w:p>
    <w:p>
      <w:pPr>
        <w:jc w:val="both"/>
        <w:ind w:firstLine="567"/>
        <w:spacing w:after="0" w:line="278" w:lineRule="auto"/>
        <w:rPr>
          <w:sz w:val="20"/>
          <w:szCs w:val="20"/>
          <w:color w:val="auto"/>
        </w:rPr>
      </w:pPr>
      <w:r>
        <w:rPr>
          <w:rFonts w:ascii="Times New Roman" w:cs="Times New Roman" w:eastAsia="Times New Roman" w:hAnsi="Times New Roman"/>
          <w:sz w:val="16"/>
          <w:szCs w:val="16"/>
          <w:color w:val="auto"/>
        </w:rPr>
        <w:t xml:space="preserve">The Fee paid to BofA Securities, Inc., as Dealer Manager, shall be equal to $1,250,000,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shall pay the Dealer Manager the Fee in accordance with the terms of the engagement letter between the Dealer Manager dated November 8, 2022.</w:t>
      </w:r>
    </w:p>
    <w:p>
      <w:pPr>
        <w:spacing w:after="0" w:line="143" w:lineRule="exact"/>
        <w:rPr>
          <w:sz w:val="20"/>
          <w:szCs w:val="20"/>
          <w:color w:val="auto"/>
        </w:rPr>
      </w:pPr>
    </w:p>
    <w:p>
      <w:pPr>
        <w:jc w:val="both"/>
        <w:ind w:right="20" w:firstLine="567"/>
        <w:spacing w:after="0" w:line="253" w:lineRule="auto"/>
        <w:rPr>
          <w:sz w:val="20"/>
          <w:szCs w:val="20"/>
          <w:color w:val="auto"/>
        </w:rPr>
      </w:pPr>
      <w:r>
        <w:rPr>
          <w:rFonts w:ascii="Times New Roman" w:cs="Times New Roman" w:eastAsia="Times New Roman" w:hAnsi="Times New Roman"/>
          <w:sz w:val="16"/>
          <w:szCs w:val="16"/>
          <w:color w:val="auto"/>
        </w:rPr>
        <w:t>All payments due under the Agreement to which this Schedule relates are to be made in U.S. dollars, free and clear of, and without deduction for, any set-off, claim or applicable taxes except as otherwise required by applicable law. The Dealer Manager shall provide the Company a duly executed Internal Revenue Source W-9 prior to the date of the Agreement. For this purpose,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forms of taxation, duties (including stamp duty), levies, imposts, charges and withholdings (including any related or incidental penalty, fine, interest or surcharge), in each case, in the nature of a tax and imposed by a taxing authority, and whether required by the law or regulations of the United States or elsewhere.</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Capitalized terms used, but not defined, herein shall have the meanings ascribed to them by the Agreement of which this schedule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374015</wp:posOffset>
            </wp:positionV>
            <wp:extent cx="7149465"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6"/>
          <w:szCs w:val="16"/>
          <w:b w:val="1"/>
          <w:bCs w:val="1"/>
          <w:color w:val="auto"/>
        </w:rPr>
        <w:t>Exhibit 10.22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TENDER AND SUPPORT AGREEMENT</w:t>
      </w:r>
    </w:p>
    <w:p>
      <w:pPr>
        <w:spacing w:after="0" w:line="192" w:lineRule="exact"/>
        <w:rPr>
          <w:sz w:val="20"/>
          <w:szCs w:val="20"/>
          <w:color w:val="auto"/>
        </w:rPr>
      </w:pPr>
    </w:p>
    <w:p>
      <w:pPr>
        <w:jc w:val="both"/>
        <w:ind w:right="20" w:firstLine="567"/>
        <w:spacing w:after="0" w:line="263"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TENDER AND SUPPORT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November 18, 2022, is entered into by and among OPAL Fuels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each of the persons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(each, a “</w:t>
      </w:r>
      <w:r>
        <w:rPr>
          <w:rFonts w:ascii="Times New Roman" w:cs="Times New Roman" w:eastAsia="Times New Roman" w:hAnsi="Times New Roman"/>
          <w:sz w:val="16"/>
          <w:szCs w:val="16"/>
          <w:b w:val="1"/>
          <w:bCs w:val="1"/>
          <w:i w:val="1"/>
          <w:iCs w:val="1"/>
          <w:color w:val="auto"/>
        </w:rPr>
        <w:t>Public Warrant Holder</w:t>
      </w:r>
      <w:r>
        <w:rPr>
          <w:rFonts w:ascii="Times New Roman" w:cs="Times New Roman" w:eastAsia="Times New Roman" w:hAnsi="Times New Roman"/>
          <w:sz w:val="16"/>
          <w:szCs w:val="16"/>
          <w:color w:val="auto"/>
        </w:rPr>
        <w:t xml:space="preserve">”) and each of the persons listed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hereto (each, a “</w:t>
      </w:r>
      <w:r>
        <w:rPr>
          <w:rFonts w:ascii="Times New Roman" w:cs="Times New Roman" w:eastAsia="Times New Roman" w:hAnsi="Times New Roman"/>
          <w:sz w:val="16"/>
          <w:szCs w:val="16"/>
          <w:b w:val="1"/>
          <w:bCs w:val="1"/>
          <w:i w:val="1"/>
          <w:iCs w:val="1"/>
          <w:color w:val="auto"/>
        </w:rPr>
        <w:t>Private Warrant Holder</w:t>
      </w:r>
      <w:r>
        <w:rPr>
          <w:rFonts w:ascii="Times New Roman" w:cs="Times New Roman" w:eastAsia="Times New Roman" w:hAnsi="Times New Roman"/>
          <w:sz w:val="16"/>
          <w:szCs w:val="16"/>
          <w:color w:val="auto"/>
        </w:rPr>
        <w:t>” and, together with the Public Warrant Holders, the “</w:t>
      </w:r>
      <w:r>
        <w:rPr>
          <w:rFonts w:ascii="Times New Roman" w:cs="Times New Roman" w:eastAsia="Times New Roman" w:hAnsi="Times New Roman"/>
          <w:sz w:val="16"/>
          <w:szCs w:val="16"/>
          <w:b w:val="1"/>
          <w:bCs w:val="1"/>
          <w:i w:val="1"/>
          <w:iCs w:val="1"/>
          <w:color w:val="auto"/>
        </w:rPr>
        <w:t>Warrant 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Warrant Holder</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(a) each Public Warrant Holder is the beneficial owner of warrants sold as part of the units in the initial public offering (the “</w:t>
      </w:r>
      <w:r>
        <w:rPr>
          <w:rFonts w:ascii="Times New Roman" w:cs="Times New Roman" w:eastAsia="Times New Roman" w:hAnsi="Times New Roman"/>
          <w:sz w:val="16"/>
          <w:szCs w:val="16"/>
          <w:b w:val="1"/>
          <w:bCs w:val="1"/>
          <w:i w:val="1"/>
          <w:iCs w:val="1"/>
          <w:color w:val="auto"/>
        </w:rPr>
        <w:t>IPO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they were purchased in the IPO or thereafter in the open market) (the “</w:t>
      </w:r>
      <w:r>
        <w:rPr>
          <w:rFonts w:ascii="Times New Roman" w:cs="Times New Roman" w:eastAsia="Times New Roman" w:hAnsi="Times New Roman"/>
          <w:sz w:val="16"/>
          <w:szCs w:val="16"/>
          <w:b w:val="1"/>
          <w:bCs w:val="1"/>
          <w:i w:val="1"/>
          <w:iCs w:val="1"/>
          <w:color w:val="auto"/>
        </w:rPr>
        <w:t>Public Warrants</w:t>
      </w:r>
      <w:r>
        <w:rPr>
          <w:rFonts w:ascii="Times New Roman" w:cs="Times New Roman" w:eastAsia="Times New Roman" w:hAnsi="Times New Roman"/>
          <w:sz w:val="16"/>
          <w:szCs w:val="16"/>
          <w:color w:val="auto"/>
        </w:rPr>
        <w:t>”) of ArcLight Clean Transition Corp. II, a Cayman Islands exempted company and the Company’s predecessor (“</w:t>
      </w:r>
      <w:r>
        <w:rPr>
          <w:rFonts w:ascii="Times New Roman" w:cs="Times New Roman" w:eastAsia="Times New Roman" w:hAnsi="Times New Roman"/>
          <w:sz w:val="16"/>
          <w:szCs w:val="16"/>
          <w:b w:val="1"/>
          <w:bCs w:val="1"/>
          <w:i w:val="1"/>
          <w:iCs w:val="1"/>
          <w:color w:val="auto"/>
        </w:rPr>
        <w:t>ArcLight</w:t>
      </w:r>
      <w:r>
        <w:rPr>
          <w:rFonts w:ascii="Times New Roman" w:cs="Times New Roman" w:eastAsia="Times New Roman" w:hAnsi="Times New Roman"/>
          <w:sz w:val="16"/>
          <w:szCs w:val="16"/>
          <w:color w:val="auto"/>
        </w:rPr>
        <w:t>”), and (b) each Private Warrant Holder is the beneficial owner of warrants issued in a private placement in connection with the closing of the IPO that have not become public warrants as a result of being transferred to any person other than permitted transferees (the “</w:t>
      </w:r>
      <w:r>
        <w:rPr>
          <w:rFonts w:ascii="Times New Roman" w:cs="Times New Roman" w:eastAsia="Times New Roman" w:hAnsi="Times New Roman"/>
          <w:sz w:val="16"/>
          <w:szCs w:val="16"/>
          <w:b w:val="1"/>
          <w:bCs w:val="1"/>
          <w:i w:val="1"/>
          <w:iCs w:val="1"/>
          <w:color w:val="auto"/>
        </w:rPr>
        <w:t>Private Placement Warrants</w:t>
      </w:r>
      <w:r>
        <w:rPr>
          <w:rFonts w:ascii="Times New Roman" w:cs="Times New Roman" w:eastAsia="Times New Roman" w:hAnsi="Times New Roman"/>
          <w:sz w:val="16"/>
          <w:szCs w:val="16"/>
          <w:color w:val="auto"/>
        </w:rPr>
        <w:t>” and, together with the Public Warrants, the “</w:t>
      </w:r>
      <w:r>
        <w:rPr>
          <w:rFonts w:ascii="Times New Roman" w:cs="Times New Roman" w:eastAsia="Times New Roman" w:hAnsi="Times New Roman"/>
          <w:sz w:val="16"/>
          <w:szCs w:val="16"/>
          <w:b w:val="1"/>
          <w:bCs w:val="1"/>
          <w:i w:val="1"/>
          <w:iCs w:val="1"/>
          <w:color w:val="auto"/>
        </w:rPr>
        <w:t>Warrants</w:t>
      </w:r>
      <w:r>
        <w:rPr>
          <w:rFonts w:ascii="Times New Roman" w:cs="Times New Roman" w:eastAsia="Times New Roman" w:hAnsi="Times New Roman"/>
          <w:sz w:val="16"/>
          <w:szCs w:val="16"/>
          <w:color w:val="auto"/>
        </w:rPr>
        <w:t>”), in each case governed by the Warrant Agreement, dated as of March 25, 2021 (the “</w:t>
      </w:r>
      <w:r>
        <w:rPr>
          <w:rFonts w:ascii="Times New Roman" w:cs="Times New Roman" w:eastAsia="Times New Roman" w:hAnsi="Times New Roman"/>
          <w:sz w:val="16"/>
          <w:szCs w:val="16"/>
          <w:b w:val="1"/>
          <w:bCs w:val="1"/>
          <w:i w:val="1"/>
          <w:iCs w:val="1"/>
          <w:color w:val="auto"/>
        </w:rPr>
        <w:t>Warrant Agreement</w:t>
      </w:r>
      <w:r>
        <w:rPr>
          <w:rFonts w:ascii="Times New Roman" w:cs="Times New Roman" w:eastAsia="Times New Roman" w:hAnsi="Times New Roman"/>
          <w:sz w:val="16"/>
          <w:szCs w:val="16"/>
          <w:color w:val="auto"/>
        </w:rPr>
        <w:t>”), by and between the Company and Continental Stock Transfer &amp; Trust Company, as warrant agent (the “</w:t>
      </w:r>
      <w:r>
        <w:rPr>
          <w:rFonts w:ascii="Times New Roman" w:cs="Times New Roman" w:eastAsia="Times New Roman" w:hAnsi="Times New Roman"/>
          <w:sz w:val="16"/>
          <w:szCs w:val="16"/>
          <w:b w:val="1"/>
          <w:bCs w:val="1"/>
          <w:i w:val="1"/>
          <w:iCs w:val="1"/>
          <w:color w:val="auto"/>
        </w:rPr>
        <w:t>Warrant Agent</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20"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July 21, 2022, ArcLight domesticated as a Delaware corporation and changed its name to “OPAL Fuels Inc.”, and on July 21, 2022 completed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combination with Opal Fuels LLC;</w:t>
      </w:r>
    </w:p>
    <w:p>
      <w:pPr>
        <w:spacing w:after="0" w:line="141" w:lineRule="exact"/>
        <w:rPr>
          <w:sz w:val="20"/>
          <w:szCs w:val="20"/>
          <w:color w:val="auto"/>
        </w:rPr>
      </w:pPr>
    </w:p>
    <w:p>
      <w:pPr>
        <w:jc w:val="both"/>
        <w:ind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the Public Warrants are listed on The Nasdaq Capital Market under the symbol “OPALW” and there are a total of 6,223,233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Warrants and 9,223,261 Private Placement Warrants outstanding;</w:t>
      </w:r>
    </w:p>
    <w:p>
      <w:pPr>
        <w:spacing w:after="0" w:line="139" w:lineRule="exact"/>
        <w:rPr>
          <w:sz w:val="20"/>
          <w:szCs w:val="20"/>
          <w:color w:val="auto"/>
        </w:rPr>
      </w:pPr>
    </w:p>
    <w:p>
      <w:pPr>
        <w:jc w:val="both"/>
        <w:ind w:right="20" w:firstLine="567"/>
        <w:spacing w:after="0" w:line="280"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whole Warrant entitles its holder to purchase one share of Class A common stock, par value $0.0001 per share, of the Company (the “</w:t>
      </w:r>
      <w:r>
        <w:rPr>
          <w:rFonts w:ascii="Times New Roman" w:cs="Times New Roman" w:eastAsia="Times New Roman" w:hAnsi="Times New Roman"/>
          <w:sz w:val="16"/>
          <w:szCs w:val="16"/>
          <w:b w:val="1"/>
          <w:bCs w:val="1"/>
          <w:i w:val="1"/>
          <w:iCs w:val="1"/>
          <w:color w:val="auto"/>
        </w:rPr>
        <w:t>Class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for a purchase price of $11.50, subject to certain adjustments;</w:t>
      </w:r>
    </w:p>
    <w:p>
      <w:pPr>
        <w:spacing w:after="0" w:line="138" w:lineRule="exact"/>
        <w:rPr>
          <w:sz w:val="20"/>
          <w:szCs w:val="20"/>
          <w:color w:val="auto"/>
        </w:rPr>
      </w:pPr>
    </w:p>
    <w:p>
      <w:pPr>
        <w:jc w:val="both"/>
        <w:ind w:right="20" w:firstLine="567"/>
        <w:spacing w:after="0" w:line="25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is initiating an exchange offer (the “</w:t>
      </w:r>
      <w:r>
        <w:rPr>
          <w:rFonts w:ascii="Times New Roman" w:cs="Times New Roman" w:eastAsia="Times New Roman" w:hAnsi="Times New Roman"/>
          <w:sz w:val="16"/>
          <w:szCs w:val="16"/>
          <w:b w:val="1"/>
          <w:bCs w:val="1"/>
          <w:i w:val="1"/>
          <w:iCs w:val="1"/>
          <w:color w:val="auto"/>
        </w:rPr>
        <w:t>Exchange Offer</w:t>
      </w:r>
      <w:r>
        <w:rPr>
          <w:rFonts w:ascii="Times New Roman" w:cs="Times New Roman" w:eastAsia="Times New Roman" w:hAnsi="Times New Roman"/>
          <w:sz w:val="16"/>
          <w:szCs w:val="16"/>
          <w:color w:val="auto"/>
        </w:rPr>
        <w:t>”) pursuant to a registration statement on Form S-4 to be filed with the U.S.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Exchange Commission (as may be amended and supplemented,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to offer all Warrant Holders the opportunity to exchange their Warrants for shares of Class A Common Stock, based on an exchange ratio of 0.250 shares of Class A Common Stock per Warrant and subject to other terms and conditions to be disclosed in the Registration Statement;</w:t>
      </w:r>
    </w:p>
    <w:p>
      <w:pPr>
        <w:spacing w:after="0" w:line="154" w:lineRule="exact"/>
        <w:rPr>
          <w:sz w:val="20"/>
          <w:szCs w:val="20"/>
          <w:color w:val="auto"/>
        </w:rPr>
      </w:pPr>
    </w:p>
    <w:p>
      <w:pPr>
        <w:jc w:val="both"/>
        <w:ind w:right="20" w:firstLine="567"/>
        <w:spacing w:after="0" w:line="280"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concurrent with the Exchange Offer and as part of the Registration Statement, the Company is initiating a consent solicitation (the “</w:t>
      </w:r>
      <w:r>
        <w:rPr>
          <w:rFonts w:ascii="Times New Roman" w:cs="Times New Roman" w:eastAsia="Times New Roman" w:hAnsi="Times New Roman"/>
          <w:sz w:val="15"/>
          <w:szCs w:val="15"/>
          <w:b w:val="1"/>
          <w:bCs w:val="1"/>
          <w:i w:val="1"/>
          <w:iCs w:val="1"/>
          <w:color w:val="auto"/>
        </w:rPr>
        <w:t>Solicitation</w:t>
      </w:r>
      <w:r>
        <w:rPr>
          <w:rFonts w:ascii="Times New Roman" w:cs="Times New Roman" w:eastAsia="Times New Roman" w:hAnsi="Times New Roman"/>
          <w:sz w:val="15"/>
          <w:szCs w:val="15"/>
          <w:color w:val="auto"/>
        </w:rPr>
        <w:t>”) to solicit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consent of the holders of the Warrants to amend (the “</w:t>
      </w:r>
      <w:r>
        <w:rPr>
          <w:rFonts w:ascii="Times New Roman" w:cs="Times New Roman" w:eastAsia="Times New Roman" w:hAnsi="Times New Roman"/>
          <w:sz w:val="15"/>
          <w:szCs w:val="15"/>
          <w:b w:val="1"/>
          <w:bCs w:val="1"/>
          <w:i w:val="1"/>
          <w:iCs w:val="1"/>
          <w:color w:val="auto"/>
        </w:rPr>
        <w:t>Warrant Amendment</w:t>
      </w:r>
      <w:r>
        <w:rPr>
          <w:rFonts w:ascii="Times New Roman" w:cs="Times New Roman" w:eastAsia="Times New Roman" w:hAnsi="Times New Roman"/>
          <w:sz w:val="15"/>
          <w:szCs w:val="15"/>
          <w:color w:val="auto"/>
        </w:rPr>
        <w:t>”), effective upon the completion of the Exchange Offer, the terms of the Warrant Agreement to permit the Company to require that each Warrant that is outstanding upon the closing of the Exchange Offer be converted into 0.225 shares of Class A Common Stock, which is a ratio of 10.0% less than the exchange ratio applicable to the Exchange Offer, subject to the terms and conditions to be disclosed in 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7149465"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30" w:name="page331"/>
    <w:bookmarkEnd w:id="330"/>
    <w:p>
      <w:pPr>
        <w:jc w:val="both"/>
        <w:ind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an inducement to the Company’s willingness to initiate the Exchange Offer and the Solicitation, each Warrant Holder has agreed to enter into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w:t>
      </w:r>
    </w:p>
    <w:p>
      <w:pPr>
        <w:spacing w:after="0" w:line="141" w:lineRule="exact"/>
        <w:rPr>
          <w:sz w:val="20"/>
          <w:szCs w:val="20"/>
          <w:color w:val="auto"/>
        </w:rPr>
      </w:pPr>
    </w:p>
    <w:p>
      <w:pPr>
        <w:jc w:val="both"/>
        <w:ind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and the respective representations, warranties, covenants and agreements set forth herein and for other good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valuable consideration, the receipt and sufficiency of which are hereby acknowledged, the parties hereto, intending to be legally bound, do hereby agree as follows:</w:t>
      </w:r>
    </w:p>
    <w:p>
      <w:pPr>
        <w:spacing w:after="0" w:line="143" w:lineRule="exact"/>
        <w:rPr>
          <w:sz w:val="20"/>
          <w:szCs w:val="20"/>
          <w:color w:val="auto"/>
        </w:rPr>
      </w:pPr>
    </w:p>
    <w:p>
      <w:pPr>
        <w:jc w:val="both"/>
        <w:ind w:firstLine="567"/>
        <w:spacing w:after="0" w:line="251"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Agreement to Tender</w:t>
      </w:r>
      <w:r>
        <w:rPr>
          <w:rFonts w:ascii="Times New Roman" w:cs="Times New Roman" w:eastAsia="Times New Roman" w:hAnsi="Times New Roman"/>
          <w:sz w:val="16"/>
          <w:szCs w:val="16"/>
          <w:color w:val="auto"/>
        </w:rPr>
        <w:t>. Each Warrant Holder shall validly tender or cause to be tendered to the Company all Warrants beneficially owned by such Warrant Holder as of the date hereof, free and clear of any liens, options, rights or other encumbrances, limitations or restrictions whatsoever, pursuant to and in accordance with the terms of the Exchange Offer as described in the Registration Statement, no later than the scheduled or extended expiration time of the Exchange Offer at a ratio of 0.250 shares of Class A Common Stock per Warrant. Notwithstanding anything to the contrary in the Registration Statement, after a Warrant Holder validly tenders his, her or its Warrants to the Company in accordance with the terms of the Registration Statement, such Warrant Holder shall not withdraw or cause to be withdrawn the tender of any of such Warrants from the Exchange Offer, unless this Agreement is terminated pursuant to Section 1.07 hereof. For the avoidance of doubt, nothing in this Agreement shall restrict the Warrant Holder from acquiring additional Warrants subsequent to the date hereof and such additional Warrants shall not be subject to the terms of this Agreement.</w:t>
      </w:r>
    </w:p>
    <w:p>
      <w:pPr>
        <w:spacing w:after="0" w:line="16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Agreement to Consent</w:t>
      </w:r>
      <w:r>
        <w:rPr>
          <w:rFonts w:ascii="Times New Roman" w:cs="Times New Roman" w:eastAsia="Times New Roman" w:hAnsi="Times New Roman"/>
          <w:sz w:val="16"/>
          <w:szCs w:val="16"/>
          <w:color w:val="auto"/>
        </w:rPr>
        <w:t>. Each Warrant Holder shall deliver to the Company its timely consent with respect to the Solicitation with respect to all of such Warrant Holder’s Warrants in accordance with the terms and conditions of the Solicitation as described in the Registration Statement, and such Warrant Holder shall not withdraw or cause to be withdrawn any such consent; provided, however that such consent may be withdrawn if this Agreement is terminated pursuant to Section 1.07 hereof.</w:t>
      </w:r>
    </w:p>
    <w:p>
      <w:pPr>
        <w:spacing w:after="0" w:line="156" w:lineRule="exact"/>
        <w:rPr>
          <w:sz w:val="20"/>
          <w:szCs w:val="20"/>
          <w:color w:val="auto"/>
        </w:rPr>
      </w:pPr>
    </w:p>
    <w:p>
      <w:pPr>
        <w:jc w:val="both"/>
        <w:ind w:firstLine="567"/>
        <w:spacing w:after="0" w:line="251" w:lineRule="auto"/>
        <w:rPr>
          <w:sz w:val="20"/>
          <w:szCs w:val="20"/>
          <w:color w:val="auto"/>
        </w:rPr>
      </w:pPr>
      <w:r>
        <w:rPr>
          <w:rFonts w:ascii="Times New Roman" w:cs="Times New Roman" w:eastAsia="Times New Roman" w:hAnsi="Times New Roman"/>
          <w:sz w:val="16"/>
          <w:szCs w:val="16"/>
          <w:color w:val="auto"/>
        </w:rPr>
        <w:t xml:space="preserve">Section 1.03 </w:t>
      </w:r>
      <w:r>
        <w:rPr>
          <w:rFonts w:ascii="Times New Roman" w:cs="Times New Roman" w:eastAsia="Times New Roman" w:hAnsi="Times New Roman"/>
          <w:sz w:val="16"/>
          <w:szCs w:val="16"/>
          <w:u w:val="single" w:color="auto"/>
          <w:color w:val="auto"/>
        </w:rPr>
        <w:t>Ownership of Warrants</w:t>
      </w:r>
      <w:r>
        <w:rPr>
          <w:rFonts w:ascii="Times New Roman" w:cs="Times New Roman" w:eastAsia="Times New Roman" w:hAnsi="Times New Roman"/>
          <w:sz w:val="16"/>
          <w:szCs w:val="16"/>
          <w:color w:val="auto"/>
        </w:rPr>
        <w:t xml:space="preserve">. Each Warrant Holder represents and warrants to the Company, as of the date hereof and as of the date of tender of such Warrant Holder’s Warrants in accordance with this Agreement, that such Warrant Holder is the sole beneficial owner of the number of Warrants set forth opposite such Warrant 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hereto, as applicable, and has good and marketable title to such Warrants, free and clear of any liens, options, rights or other encumbrances, limitations or restrictions whatsoever (other than liens imposed under typical prime brokerage agreements and those restrictions imposed by applicable securities laws, this Agreement and the Warrant Agreement). Each Warrant Holder shall not transfer any Warrants owned by such Warrant Holder as of the date hereof to any person (other than the Company in connection with the Exchange Offer) unless such person acquiring such Warrants signs a joinder to this Agreement agreeing to be bound by all terms and conditions of this Agreement.</w:t>
      </w:r>
    </w:p>
    <w:p>
      <w:pPr>
        <w:spacing w:after="0" w:line="16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 xml:space="preserve">Section 1.04 </w:t>
      </w:r>
      <w:r>
        <w:rPr>
          <w:rFonts w:ascii="Times New Roman" w:cs="Times New Roman" w:eastAsia="Times New Roman" w:hAnsi="Times New Roman"/>
          <w:sz w:val="16"/>
          <w:szCs w:val="16"/>
          <w:u w:val="single" w:color="auto"/>
          <w:color w:val="auto"/>
        </w:rPr>
        <w:t>Company Covenants</w:t>
      </w:r>
      <w:r>
        <w:rPr>
          <w:rFonts w:ascii="Times New Roman" w:cs="Times New Roman" w:eastAsia="Times New Roman" w:hAnsi="Times New Roman"/>
          <w:sz w:val="16"/>
          <w:szCs w:val="16"/>
          <w:color w:val="auto"/>
        </w:rPr>
        <w:t>. The Company agrees that it shall take all steps reasonably necessary or desirable to commence the Exchange Offer and Solicitation as soon as practicable, consistent with this Agreement, and agrees to take all steps necessary to update the Registration Statement as required by applicable laws and regulations, and that the Registration Statement, when declared effective, will comply with all applicable U.S. Securities and Exchange Commission requirements.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31" w:name="page332"/>
    <w:bookmarkEnd w:id="331"/>
    <w:p>
      <w:pPr>
        <w:jc w:val="both"/>
        <w:ind w:right="20" w:firstLine="567"/>
        <w:spacing w:after="0" w:line="278" w:lineRule="auto"/>
        <w:rPr>
          <w:sz w:val="20"/>
          <w:szCs w:val="20"/>
          <w:color w:val="auto"/>
        </w:rPr>
      </w:pPr>
      <w:r>
        <w:rPr>
          <w:rFonts w:ascii="Times New Roman" w:cs="Times New Roman" w:eastAsia="Times New Roman" w:hAnsi="Times New Roman"/>
          <w:sz w:val="16"/>
          <w:szCs w:val="16"/>
          <w:color w:val="auto"/>
        </w:rPr>
        <w:t xml:space="preserve">Section 1.05 </w:t>
      </w:r>
      <w:r>
        <w:rPr>
          <w:rFonts w:ascii="Times New Roman" w:cs="Times New Roman" w:eastAsia="Times New Roman" w:hAnsi="Times New Roman"/>
          <w:sz w:val="16"/>
          <w:szCs w:val="16"/>
          <w:u w:val="single" w:color="auto"/>
          <w:color w:val="auto"/>
        </w:rPr>
        <w:t>Conditions to Tender and Consent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Notwithstanding anything herein to the contrary, each Warrant Holder may make its tender and consent conditioned on there being no amendment to the terms of the Exchange Offer as described in the Registration Statement that is materially adverse to such Warrant Holder.</w:t>
      </w:r>
    </w:p>
    <w:p>
      <w:pPr>
        <w:spacing w:after="0" w:line="14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 xml:space="preserve">Section 1.06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 xml:space="preserve">Section 1.07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as to all Warrant Holders (a) upon written notice to all the Warrant Holders by the Company, (b) upon the earlier of (i) the date the Company’s board of directors or a committee thereof determines to no longer pursue the Exchange Offer and the Solicitation and (ii) January 31, 2023, and (c) if the Company fails to commence the Exchange Offer and Solicitation by November 30, 2022.</w:t>
      </w:r>
    </w:p>
    <w:p>
      <w:pPr>
        <w:spacing w:after="0" w:line="1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 xml:space="preserve">Section 1.08 </w:t>
      </w:r>
      <w:r>
        <w:rPr>
          <w:rFonts w:ascii="Times New Roman" w:cs="Times New Roman" w:eastAsia="Times New Roman" w:hAnsi="Times New Roman"/>
          <w:sz w:val="16"/>
          <w:szCs w:val="16"/>
          <w:u w:val="single" w:color="auto"/>
          <w:color w:val="auto"/>
        </w:rPr>
        <w:t>U.S. Federal Income Tax Treatment</w:t>
      </w:r>
      <w:r>
        <w:rPr>
          <w:rFonts w:ascii="Times New Roman" w:cs="Times New Roman" w:eastAsia="Times New Roman" w:hAnsi="Times New Roman"/>
          <w:sz w:val="16"/>
          <w:szCs w:val="16"/>
          <w:color w:val="auto"/>
        </w:rPr>
        <w:t>. The exchange of Warrants for shares of Class A Common Stock pursuant to the Exchange Offer is intended to qualify as a reorganization pursuant to Section 368 of the Internal Revenue Code of 1986, as amended, and the parties shall not take any position inconsistent therewith unless otherwise required by applicable law.</w:t>
      </w:r>
    </w:p>
    <w:p>
      <w:pPr>
        <w:spacing w:after="0" w:line="156" w:lineRule="exact"/>
        <w:rPr>
          <w:sz w:val="20"/>
          <w:szCs w:val="20"/>
          <w:color w:val="auto"/>
        </w:rPr>
      </w:pPr>
    </w:p>
    <w:p>
      <w:pPr>
        <w:jc w:val="both"/>
        <w:ind w:firstLine="567"/>
        <w:spacing w:after="0" w:line="275" w:lineRule="auto"/>
        <w:rPr>
          <w:sz w:val="20"/>
          <w:szCs w:val="20"/>
          <w:color w:val="auto"/>
        </w:rPr>
      </w:pPr>
      <w:r>
        <w:rPr>
          <w:rFonts w:ascii="Times New Roman" w:cs="Times New Roman" w:eastAsia="Times New Roman" w:hAnsi="Times New Roman"/>
          <w:sz w:val="16"/>
          <w:szCs w:val="16"/>
          <w:color w:val="auto"/>
        </w:rPr>
        <w:t xml:space="preserve">Section 1.09 </w:t>
      </w:r>
      <w:r>
        <w:rPr>
          <w:rFonts w:ascii="Times New Roman" w:cs="Times New Roman" w:eastAsia="Times New Roman" w:hAnsi="Times New Roman"/>
          <w:sz w:val="16"/>
          <w:szCs w:val="16"/>
          <w:u w:val="single" w:color="auto"/>
          <w:color w:val="auto"/>
        </w:rPr>
        <w:t>Warrant Holder Obligations Several and Not Joint</w:t>
      </w:r>
      <w:r>
        <w:rPr>
          <w:rFonts w:ascii="Times New Roman" w:cs="Times New Roman" w:eastAsia="Times New Roman" w:hAnsi="Times New Roman"/>
          <w:sz w:val="16"/>
          <w:szCs w:val="16"/>
          <w:color w:val="auto"/>
        </w:rPr>
        <w:t>. The obligations of each Warrant Holder hereunder shall be several and not joint, and no Warrant Holder shall be liable for any breach of the terms of this Agreement by any other Warrant Holder.</w:t>
      </w:r>
    </w:p>
    <w:p>
      <w:pPr>
        <w:spacing w:after="0" w:line="14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6"/>
          <w:szCs w:val="16"/>
          <w:color w:val="auto"/>
        </w:rPr>
        <w:t xml:space="preserve">Section 1.10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64" w:lineRule="exact"/>
        <w:rPr>
          <w:sz w:val="20"/>
          <w:szCs w:val="20"/>
          <w:color w:val="auto"/>
        </w:rPr>
      </w:pPr>
    </w:p>
    <w:p>
      <w:pPr>
        <w:jc w:val="both"/>
        <w:ind w:firstLine="567"/>
        <w:spacing w:after="0" w:line="269" w:lineRule="auto"/>
        <w:rPr>
          <w:sz w:val="20"/>
          <w:szCs w:val="20"/>
          <w:color w:val="auto"/>
        </w:rPr>
      </w:pPr>
      <w:r>
        <w:rPr>
          <w:rFonts w:ascii="Times New Roman" w:cs="Times New Roman" w:eastAsia="Times New Roman" w:hAnsi="Times New Roman"/>
          <w:sz w:val="15"/>
          <w:szCs w:val="15"/>
          <w:color w:val="auto"/>
        </w:rPr>
        <w:t xml:space="preserve">Section 1.11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signed in counterparts (which may include counterparts delivered by any standard form of 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32" w:name="page333"/>
    <w:bookmarkEnd w:id="332"/>
    <w:p>
      <w:pPr>
        <w:ind w:left="560"/>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date first above written.</w:t>
      </w:r>
    </w:p>
    <w:p>
      <w:pPr>
        <w:spacing w:after="0" w:line="1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OPAL Fuels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Jonathan Maurer</w:t>
            </w:r>
          </w:p>
        </w:tc>
      </w:tr>
      <w:tr>
        <w:trPr>
          <w:trHeight w:val="172"/>
        </w:trPr>
        <w:tc>
          <w:tcPr>
            <w:tcW w:w="7320" w:type="dxa"/>
            <w:vAlign w:val="bottom"/>
          </w:tcPr>
          <w:p>
            <w:pPr>
              <w:ind w:left="6760"/>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Jonathan Maurer</w:t>
            </w:r>
          </w:p>
        </w:tc>
      </w:tr>
      <w:tr>
        <w:trPr>
          <w:trHeight w:val="206"/>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Co-Chief Executive Officer</w:t>
            </w:r>
          </w:p>
        </w:tc>
      </w:tr>
      <w:tr>
        <w:trPr>
          <w:trHeight w:val="594"/>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date first above written.</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PUBLIC WARRANT HOLDERS:</w:t>
      </w:r>
    </w:p>
    <w:p>
      <w:pPr>
        <w:spacing w:after="0" w:line="1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Highbridge Tactical Credit Master Fund, L.P.</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By: Highbridge Capital Management, LLC as Trading Manager and</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not in its individual capacity</w:t>
      </w:r>
    </w:p>
    <w:p>
      <w:pPr>
        <w:spacing w:after="0" w:line="1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Jason Hempel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13970</wp:posOffset>
            </wp:positionV>
            <wp:extent cx="2858135"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2858135" cy="15240"/>
                    </a:xfrm>
                    <a:prstGeom prst="rect">
                      <a:avLst/>
                    </a:prstGeom>
                    <a:noFill/>
                  </pic:spPr>
                </pic:pic>
              </a:graphicData>
            </a:graphic>
          </wp:anchor>
        </w:drawing>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Jason Hempel</w:t>
      </w:r>
    </w:p>
    <w:p>
      <w:pPr>
        <w:spacing w:after="0" w:line="22"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tab/>
        <w:t>Managing Director, Co-CIO</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Highbridge SPAC Opportunity Fund, LP.</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By: Highbridge Capital Management, LLC, as Trading Manager and</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not in its individual capacity</w:t>
      </w:r>
    </w:p>
    <w:p>
      <w:pPr>
        <w:spacing w:after="0" w:line="1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Jason Hempel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13970</wp:posOffset>
            </wp:positionV>
            <wp:extent cx="2858135"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2858135" cy="15240"/>
                    </a:xfrm>
                    <a:prstGeom prst="rect">
                      <a:avLst/>
                    </a:prstGeom>
                    <a:noFill/>
                  </pic:spPr>
                </pic:pic>
              </a:graphicData>
            </a:graphic>
          </wp:anchor>
        </w:drawing>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Jason Hempel</w:t>
      </w:r>
    </w:p>
    <w:p>
      <w:pPr>
        <w:spacing w:after="0" w:line="22"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tab/>
        <w:t>Managing Director, Co-CIO</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Brahman Partners II, L.P.</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Brahman Partners III, L.P.</w:t>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Brahman Partners Offshore, Ltd.</w:t>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Brahman Partners IV, L.P.</w:t>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Brahman Partners IV (Cayman), Ltd.</w:t>
      </w:r>
    </w:p>
    <w:p>
      <w:pPr>
        <w:spacing w:after="0" w:line="1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 Brahman Capital Corp.,</w:t>
      </w:r>
    </w:p>
    <w:p>
      <w:pPr>
        <w:spacing w:after="0" w:line="1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David Metzman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13970</wp:posOffset>
            </wp:positionV>
            <wp:extent cx="2858135"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2858135" cy="15240"/>
                    </a:xfrm>
                    <a:prstGeom prst="rect">
                      <a:avLst/>
                    </a:prstGeom>
                    <a:noFill/>
                  </pic:spPr>
                </pic:pic>
              </a:graphicData>
            </a:graphic>
          </wp:anchor>
        </w:drawing>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David Metzman</w:t>
      </w:r>
    </w:p>
    <w:p>
      <w:pPr>
        <w:spacing w:after="0" w:line="22"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377825</wp:posOffset>
            </wp:positionV>
            <wp:extent cx="7149465"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520"/>
          </w:cols>
          <w:pgMar w:left="880" w:top="808" w:right="499" w:bottom="1440" w:gutter="0" w:footer="0" w:header="0"/>
        </w:sectPr>
      </w:pPr>
    </w:p>
    <w:bookmarkStart w:id="334" w:name="page335"/>
    <w:bookmarkEnd w:id="334"/>
    <w:p>
      <w:pPr>
        <w:ind w:left="6760"/>
        <w:spacing w:after="0"/>
        <w:rPr>
          <w:sz w:val="20"/>
          <w:szCs w:val="20"/>
          <w:color w:val="auto"/>
        </w:rPr>
      </w:pPr>
      <w:r>
        <w:rPr>
          <w:rFonts w:ascii="Times New Roman" w:cs="Times New Roman" w:eastAsia="Times New Roman" w:hAnsi="Times New Roman"/>
          <w:sz w:val="16"/>
          <w:szCs w:val="16"/>
          <w:b w:val="1"/>
          <w:bCs w:val="1"/>
          <w:color w:val="auto"/>
        </w:rPr>
        <w:t>Class IV Fund, LP</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Northbank Capital Management, LLC,</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its manager</w:t>
      </w:r>
    </w:p>
    <w:p>
      <w:pPr>
        <w:spacing w:after="0" w:line="1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Bradford Seagraves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13970</wp:posOffset>
            </wp:positionV>
            <wp:extent cx="2858135"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2858135" cy="15240"/>
                    </a:xfrm>
                    <a:prstGeom prst="rect">
                      <a:avLst/>
                    </a:prstGeom>
                    <a:noFill/>
                  </pic:spPr>
                </pic:pic>
              </a:graphicData>
            </a:graphic>
          </wp:anchor>
        </w:drawing>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Bradford Seagraves</w:t>
      </w:r>
    </w:p>
    <w:p>
      <w:pPr>
        <w:spacing w:after="0" w:line="2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CIO</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ICS OPPORTUNITIES, LTD.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Millennium International Management LP,</w:t>
            </w:r>
          </w:p>
        </w:tc>
      </w:tr>
      <w:tr>
        <w:trPr>
          <w:trHeight w:val="206"/>
        </w:trPr>
        <w:tc>
          <w:tcPr>
            <w:tcW w:w="6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its Investment Manager</w:t>
            </w:r>
          </w:p>
        </w:tc>
      </w:tr>
      <w:tr>
        <w:trPr>
          <w:trHeight w:val="381"/>
        </w:trPr>
        <w:tc>
          <w:tcPr>
            <w:tcW w:w="676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Mark Meskin</w:t>
            </w:r>
          </w:p>
        </w:tc>
      </w:tr>
      <w:tr>
        <w:trPr>
          <w:trHeight w:val="172"/>
        </w:trPr>
        <w:tc>
          <w:tcPr>
            <w:tcW w:w="6760" w:type="dxa"/>
            <w:vAlign w:val="bottom"/>
          </w:tcPr>
          <w:p>
            <w:pPr>
              <w:spacing w:after="0"/>
              <w:rPr>
                <w:sz w:val="14"/>
                <w:szCs w:val="14"/>
                <w:color w:val="auto"/>
              </w:rPr>
            </w:pPr>
          </w:p>
        </w:tc>
        <w:tc>
          <w:tcPr>
            <w:tcW w:w="4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402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auto"/>
              </w:rPr>
              <w:t>Mark Meskin</w:t>
            </w:r>
          </w:p>
        </w:tc>
      </w:tr>
      <w:tr>
        <w:trPr>
          <w:trHeight w:val="206"/>
        </w:trPr>
        <w:tc>
          <w:tcPr>
            <w:tcW w:w="676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Trading Officer</w:t>
            </w:r>
          </w:p>
        </w:tc>
      </w:tr>
      <w:tr>
        <w:trPr>
          <w:trHeight w:val="594"/>
        </w:trPr>
        <w:tc>
          <w:tcPr>
            <w:tcW w:w="6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5" w:right="319" w:bottom="1440" w:gutter="0" w:footer="0" w:header="0"/>
        </w:sectPr>
      </w:pPr>
    </w:p>
    <w:bookmarkStart w:id="335" w:name="page336"/>
    <w:bookmarkEnd w:id="335"/>
    <w:p>
      <w:pPr>
        <w:ind w:left="560"/>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date first above written.</w:t>
      </w:r>
    </w:p>
    <w:p>
      <w:pPr>
        <w:spacing w:after="0" w:line="1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PRIVATE PLACEMENT WARRANT HOLDERS:</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ArcLight CTC Holdings II, L.P.</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ACTC Holdings GP II, LLC</w:t>
      </w:r>
    </w:p>
    <w:p>
      <w:pPr>
        <w:spacing w:after="0" w:line="1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13970</wp:posOffset>
            </wp:positionV>
            <wp:extent cx="2858135"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2858135" cy="15240"/>
                    </a:xfrm>
                    <a:prstGeom prst="rect">
                      <a:avLst/>
                    </a:prstGeom>
                    <a:noFill/>
                  </pic:spPr>
                </pic:pic>
              </a:graphicData>
            </a:graphic>
          </wp:anchor>
        </w:drawing>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F. Erhard</w:t>
      </w:r>
    </w:p>
    <w:p>
      <w:pPr>
        <w:spacing w:after="0" w:line="2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Encompass Capital Master Fund L.P.</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Encompass Capital E L Master Fund L.P.</w:t>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Encompass Capital Energy Transition Master Fund L.P.</w:t>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BEMAP Master Fund Ltd</w:t>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Blackstone CSP-MST FMAP Fund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Encompass Capital Advisors LLC,</w:t>
            </w:r>
          </w:p>
        </w:tc>
      </w:tr>
      <w:tr>
        <w:trPr>
          <w:trHeight w:val="206"/>
        </w:trPr>
        <w:tc>
          <w:tcPr>
            <w:tcW w:w="6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Manager or Sub-Advisor</w:t>
            </w:r>
          </w:p>
        </w:tc>
      </w:tr>
      <w:tr>
        <w:trPr>
          <w:trHeight w:val="381"/>
        </w:trPr>
        <w:tc>
          <w:tcPr>
            <w:tcW w:w="676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Larry Kassman</w:t>
            </w:r>
          </w:p>
        </w:tc>
      </w:tr>
      <w:tr>
        <w:trPr>
          <w:trHeight w:val="172"/>
        </w:trPr>
        <w:tc>
          <w:tcPr>
            <w:tcW w:w="6760" w:type="dxa"/>
            <w:vAlign w:val="bottom"/>
          </w:tcPr>
          <w:p>
            <w:pPr>
              <w:spacing w:after="0"/>
              <w:rPr>
                <w:sz w:val="14"/>
                <w:szCs w:val="14"/>
                <w:color w:val="auto"/>
              </w:rPr>
            </w:pPr>
          </w:p>
        </w:tc>
        <w:tc>
          <w:tcPr>
            <w:tcW w:w="4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402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auto"/>
              </w:rPr>
              <w:t>Larry Kassman</w:t>
            </w:r>
          </w:p>
        </w:tc>
      </w:tr>
      <w:tr>
        <w:trPr>
          <w:trHeight w:val="206"/>
        </w:trPr>
        <w:tc>
          <w:tcPr>
            <w:tcW w:w="676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Financial Officer/Chief Operating Officer</w:t>
            </w:r>
          </w:p>
        </w:tc>
      </w:tr>
      <w:tr>
        <w:trPr>
          <w:trHeight w:val="594"/>
        </w:trPr>
        <w:tc>
          <w:tcPr>
            <w:tcW w:w="6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8" w:right="319" w:bottom="1440" w:gutter="0" w:footer="0" w:header="0"/>
        </w:sectPr>
      </w:pPr>
    </w:p>
    <w:bookmarkStart w:id="336" w:name="page337"/>
    <w:bookmarkEnd w:id="3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6020" w:type="dxa"/>
            <w:vAlign w:val="bottom"/>
            <w:gridSpan w:val="5"/>
          </w:tcPr>
          <w:p>
            <w:pPr>
              <w:jc w:val="right"/>
              <w:ind w:right="5260"/>
              <w:spacing w:after="0"/>
              <w:rPr>
                <w:sz w:val="20"/>
                <w:szCs w:val="20"/>
                <w:color w:val="auto"/>
              </w:rPr>
            </w:pPr>
            <w:r>
              <w:rPr>
                <w:rFonts w:ascii="Times New Roman" w:cs="Times New Roman" w:eastAsia="Times New Roman" w:hAnsi="Times New Roman"/>
                <w:sz w:val="16"/>
                <w:szCs w:val="16"/>
                <w:b w:val="1"/>
                <w:bCs w:val="1"/>
                <w:color w:val="auto"/>
                <w:w w:val="96"/>
              </w:rPr>
              <w:t>Schedule A</w:t>
            </w:r>
          </w:p>
        </w:tc>
      </w:tr>
      <w:tr>
        <w:trPr>
          <w:trHeight w:val="375"/>
        </w:trPr>
        <w:tc>
          <w:tcPr>
            <w:tcW w:w="5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9"/>
        </w:trPr>
        <w:tc>
          <w:tcPr>
            <w:tcW w:w="5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Public</w:t>
            </w:r>
          </w:p>
        </w:tc>
      </w:tr>
      <w:tr>
        <w:trPr>
          <w:trHeight w:val="211"/>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Public Warrant Holder</w:t>
            </w: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Warrants</w:t>
            </w:r>
          </w:p>
        </w:tc>
      </w:tr>
      <w:tr>
        <w:trPr>
          <w:trHeight w:val="18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Highbridge Tactical Credit Master Fund, L.P.</w:t>
            </w:r>
          </w:p>
        </w:tc>
        <w:tc>
          <w:tcPr>
            <w:tcW w:w="760" w:type="dxa"/>
            <w:vAlign w:val="bottom"/>
            <w:tcBorders>
              <w:top w:val="single" w:sz="8" w:color="auto"/>
            </w:tcBorders>
            <w:shd w:val="clear" w:color="auto" w:fill="CCEEFF"/>
          </w:tcPr>
          <w:p>
            <w:pPr>
              <w:spacing w:after="0"/>
              <w:rPr>
                <w:sz w:val="16"/>
                <w:szCs w:val="16"/>
                <w:color w:val="auto"/>
              </w:rPr>
            </w:pPr>
          </w:p>
        </w:tc>
        <w:tc>
          <w:tcPr>
            <w:tcW w:w="3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152,160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Highbridge SPAC Opportunity Fund, LP</w:t>
            </w:r>
          </w:p>
        </w:tc>
        <w:tc>
          <w:tcPr>
            <w:tcW w:w="60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137,081</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Brahman Partners II, L.P.</w:t>
            </w:r>
          </w:p>
        </w:tc>
        <w:tc>
          <w:tcPr>
            <w:tcW w:w="6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128,598</w:t>
            </w: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Brahman Partners III, L.P.</w:t>
            </w:r>
          </w:p>
        </w:tc>
        <w:tc>
          <w:tcPr>
            <w:tcW w:w="60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199,984</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Brahman Partners Offshore, Ltd.</w:t>
            </w:r>
          </w:p>
        </w:tc>
        <w:tc>
          <w:tcPr>
            <w:tcW w:w="6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469,200</w:t>
            </w: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Brahman Partners IV, L.P.</w:t>
            </w:r>
          </w:p>
        </w:tc>
        <w:tc>
          <w:tcPr>
            <w:tcW w:w="60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490,455</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Brahman Partners IV (Cayman), Ltd.</w:t>
            </w:r>
          </w:p>
        </w:tc>
        <w:tc>
          <w:tcPr>
            <w:tcW w:w="6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31,352</w:t>
            </w: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Class IV Fund, LP</w:t>
            </w:r>
          </w:p>
        </w:tc>
        <w:tc>
          <w:tcPr>
            <w:tcW w:w="60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1,651,461</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ICS Opportunities, Ltd.</w:t>
            </w:r>
          </w:p>
        </w:tc>
        <w:tc>
          <w:tcPr>
            <w:tcW w:w="6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56,900</w:t>
            </w:r>
          </w:p>
        </w:tc>
      </w:tr>
      <w:tr>
        <w:trPr>
          <w:trHeight w:val="594"/>
        </w:trPr>
        <w:tc>
          <w:tcPr>
            <w:tcW w:w="5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4" w:right="319" w:bottom="1440" w:gutter="0" w:footer="0" w:header="0"/>
        </w:sectPr>
      </w:pPr>
    </w:p>
    <w:bookmarkStart w:id="337" w:name="page338"/>
    <w:bookmarkEnd w:id="3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7020" w:type="dxa"/>
            <w:vAlign w:val="bottom"/>
            <w:gridSpan w:val="6"/>
          </w:tcPr>
          <w:p>
            <w:pPr>
              <w:jc w:val="right"/>
              <w:ind w:right="5260"/>
              <w:spacing w:after="0"/>
              <w:rPr>
                <w:sz w:val="20"/>
                <w:szCs w:val="20"/>
                <w:color w:val="auto"/>
              </w:rPr>
            </w:pPr>
            <w:r>
              <w:rPr>
                <w:rFonts w:ascii="Times New Roman" w:cs="Times New Roman" w:eastAsia="Times New Roman" w:hAnsi="Times New Roman"/>
                <w:sz w:val="16"/>
                <w:szCs w:val="16"/>
                <w:b w:val="1"/>
                <w:bCs w:val="1"/>
                <w:color w:val="auto"/>
              </w:rPr>
              <w:t>Schedule B</w:t>
            </w:r>
          </w:p>
        </w:tc>
      </w:tr>
      <w:tr>
        <w:trPr>
          <w:trHeight w:val="375"/>
        </w:trPr>
        <w:tc>
          <w:tcPr>
            <w:tcW w:w="4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9"/>
        </w:trPr>
        <w:tc>
          <w:tcPr>
            <w:tcW w:w="4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Private</w:t>
            </w:r>
          </w:p>
        </w:tc>
      </w:tr>
      <w:tr>
        <w:trPr>
          <w:trHeight w:val="189"/>
        </w:trPr>
        <w:tc>
          <w:tcPr>
            <w:tcW w:w="4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Placement</w:t>
            </w:r>
          </w:p>
        </w:tc>
      </w:tr>
      <w:tr>
        <w:trPr>
          <w:trHeight w:val="211"/>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Private Warrant Holder</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Warrants</w:t>
            </w:r>
          </w:p>
        </w:tc>
      </w:tr>
      <w:tr>
        <w:trPr>
          <w:trHeight w:val="189"/>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ArcLight CTC Holdings II, L.P .</w:t>
            </w:r>
          </w:p>
        </w:tc>
        <w:tc>
          <w:tcPr>
            <w:tcW w:w="10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7,238,025</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Encompass Capital Master Fund L.P.</w:t>
            </w:r>
          </w:p>
        </w:tc>
        <w:tc>
          <w:tcPr>
            <w:tcW w:w="702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color w:val="auto"/>
              </w:rPr>
              <w:t>895,932</w:t>
            </w:r>
          </w:p>
        </w:tc>
      </w:tr>
      <w:tr>
        <w:trPr>
          <w:trHeight w:val="18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Encompass Capital E L Master Fund L.P.</w:t>
            </w:r>
          </w:p>
        </w:tc>
        <w:tc>
          <w:tcPr>
            <w:tcW w:w="70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577,382</w:t>
            </w:r>
          </w:p>
        </w:tc>
      </w:tr>
      <w:tr>
        <w:trPr>
          <w:trHeight w:val="189"/>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Encompass Capital Energy Transition Master Fund</w:t>
            </w:r>
          </w:p>
        </w:tc>
        <w:tc>
          <w:tcPr>
            <w:tcW w:w="702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color w:val="auto"/>
              </w:rPr>
              <w:t>94,360</w:t>
            </w:r>
          </w:p>
        </w:tc>
      </w:tr>
      <w:tr>
        <w:trPr>
          <w:trHeight w:val="18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BEMAP Master Fund Ltd</w:t>
            </w:r>
          </w:p>
        </w:tc>
        <w:tc>
          <w:tcPr>
            <w:tcW w:w="70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119,738</w:t>
            </w:r>
          </w:p>
        </w:tc>
      </w:tr>
      <w:tr>
        <w:trPr>
          <w:trHeight w:val="206"/>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Blackstone CSP-MST FMAP Fund</w:t>
            </w:r>
          </w:p>
        </w:tc>
        <w:tc>
          <w:tcPr>
            <w:tcW w:w="702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color w:val="auto"/>
              </w:rPr>
              <w:t>297,824</w:t>
            </w:r>
          </w:p>
        </w:tc>
      </w:tr>
      <w:tr>
        <w:trPr>
          <w:trHeight w:val="553"/>
        </w:trPr>
        <w:tc>
          <w:tcPr>
            <w:tcW w:w="4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4" w:right="31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New York</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hereby consent to the use in the Prospectus constituting a part of this Registration Statement of our report dated April 15, 2022, except for the effects of the recapitalization described in Note 1, as to which the date is November 17, 2022, relating to the consolidated financial statements of OPAL Fuels Inc., which is contained in that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reference to us under the caption “Experts” in the Prospectus.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17, 2022</w:t>
      </w:r>
    </w:p>
    <w:p>
      <w:pPr>
        <w:sectPr>
          <w:pgSz w:w="11900" w:h="16838" w:orient="portrait"/>
          <w:cols w:equalWidth="0" w:num="1">
            <w:col w:w="11260"/>
          </w:cols>
          <w:pgMar w:left="320" w:top="121" w:right="31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Auditor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Plains, New York</w:t>
      </w:r>
    </w:p>
    <w:p>
      <w:pPr>
        <w:spacing w:after="0" w:line="1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We hereby consent to the use in the Prospectus constituting a part of this Registration Statement of our report dated April 15, 2022, relating to the consolidated financial statements of Beacon RNG LLC, which is contained in that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reference to us under the caption “Experts” in the Prospectus.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17, 2022</w:t>
      </w:r>
    </w:p>
    <w:p>
      <w:pPr>
        <w:sectPr>
          <w:pgSz w:w="11900" w:h="16838" w:orient="portrait"/>
          <w:cols w:equalWidth="0" w:num="1">
            <w:col w:w="11260"/>
          </w:cols>
          <w:pgMar w:left="320" w:top="121" w:right="31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LETTER OF TRANSMITTAL AND CONSENT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Offer to Exchange Warrants to Acquire 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Solicitation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THE OFFER AND CONSENT SOLICITATION (AS DEFINED BELOW) AND WITHDRAWAL RIGHTS WILL EXPIRE AT 11:59 P.M., EASTERN TIME, ON DECEMBER 16, 2022, OR SUCH LATER TIME AND DATE TO WHICH WE MAY EXTEND THE OFFER. WARRANTS (AS DEFINED BELOW) TENDERED PURSUANT TO THE OFFER AND CONSENT SOLICITATION (EACH AS DEFINED BELOW) MAY BE WITHDRAWN PRIOR TO THE EXPIRATION DATE (AS DEFINED BELOW). CONSENTS MAY BE REVOKED ONLY BY WITHDRAWING THE TENDER OF THE RELATED WARRANTS, AND THE WITHDRAWAL OF ANY WARRANTS WILL AUTOMATICALLY CONSTITUTE A REVOCATION OF THE RELATED CONSENTS.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Exchange Agent for the Offer and Consent Solicitation is: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 COMPANY</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191"/>
        </w:trPr>
        <w:tc>
          <w:tcPr>
            <w:tcW w:w="3960" w:type="dxa"/>
            <w:vAlign w:val="bottom"/>
          </w:tcPr>
          <w:p>
            <w:pPr>
              <w:jc w:val="center"/>
              <w:ind w:right="1581"/>
              <w:spacing w:after="0"/>
              <w:rPr>
                <w:sz w:val="20"/>
                <w:szCs w:val="20"/>
                <w:color w:val="auto"/>
              </w:rPr>
            </w:pPr>
            <w:r>
              <w:rPr>
                <w:rFonts w:ascii="Times New Roman" w:cs="Times New Roman" w:eastAsia="Times New Roman" w:hAnsi="Times New Roman"/>
                <w:sz w:val="16"/>
                <w:szCs w:val="16"/>
                <w:b w:val="1"/>
                <w:bCs w:val="1"/>
                <w:color w:val="auto"/>
                <w:w w:val="98"/>
              </w:rPr>
              <w:t>By First Class Mail</w:t>
            </w:r>
            <w:r>
              <w:rPr>
                <w:rFonts w:ascii="Times New Roman" w:cs="Times New Roman" w:eastAsia="Times New Roman" w:hAnsi="Times New Roman"/>
                <w:sz w:val="16"/>
                <w:szCs w:val="16"/>
                <w:color w:val="auto"/>
                <w:w w:val="98"/>
              </w:rPr>
              <w:t>:</w:t>
            </w:r>
          </w:p>
        </w:tc>
        <w:tc>
          <w:tcPr>
            <w:tcW w:w="3980" w:type="dxa"/>
            <w:vAlign w:val="bottom"/>
          </w:tcPr>
          <w:p>
            <w:pPr>
              <w:jc w:val="center"/>
              <w:ind w:left="1581"/>
              <w:spacing w:after="0"/>
              <w:rPr>
                <w:sz w:val="20"/>
                <w:szCs w:val="20"/>
                <w:color w:val="auto"/>
              </w:rPr>
            </w:pPr>
            <w:r>
              <w:rPr>
                <w:rFonts w:ascii="Times New Roman" w:cs="Times New Roman" w:eastAsia="Times New Roman" w:hAnsi="Times New Roman"/>
                <w:sz w:val="16"/>
                <w:szCs w:val="16"/>
                <w:b w:val="1"/>
                <w:bCs w:val="1"/>
                <w:color w:val="auto"/>
                <w:w w:val="97"/>
              </w:rPr>
              <w:t>By Overnight or Hand Delivery</w:t>
            </w:r>
            <w:r>
              <w:rPr>
                <w:rFonts w:ascii="Times New Roman" w:cs="Times New Roman" w:eastAsia="Times New Roman" w:hAnsi="Times New Roman"/>
                <w:sz w:val="16"/>
                <w:szCs w:val="16"/>
                <w:color w:val="auto"/>
                <w:w w:val="97"/>
              </w:rPr>
              <w:t>:</w:t>
            </w:r>
          </w:p>
        </w:tc>
      </w:tr>
      <w:tr>
        <w:trPr>
          <w:trHeight w:val="189"/>
        </w:trPr>
        <w:tc>
          <w:tcPr>
            <w:tcW w:w="3960" w:type="dxa"/>
            <w:vAlign w:val="bottom"/>
          </w:tcPr>
          <w:p>
            <w:pPr>
              <w:jc w:val="center"/>
              <w:ind w:right="1561"/>
              <w:spacing w:after="0"/>
              <w:rPr>
                <w:sz w:val="20"/>
                <w:szCs w:val="20"/>
                <w:color w:val="auto"/>
              </w:rPr>
            </w:pPr>
            <w:r>
              <w:rPr>
                <w:rFonts w:ascii="Times New Roman" w:cs="Times New Roman" w:eastAsia="Times New Roman" w:hAnsi="Times New Roman"/>
                <w:sz w:val="16"/>
                <w:szCs w:val="16"/>
                <w:color w:val="auto"/>
                <w:w w:val="98"/>
              </w:rPr>
              <w:t>One State Street, 30th Floor</w:t>
            </w:r>
          </w:p>
        </w:tc>
        <w:tc>
          <w:tcPr>
            <w:tcW w:w="3980" w:type="dxa"/>
            <w:vAlign w:val="bottom"/>
          </w:tcPr>
          <w:p>
            <w:pPr>
              <w:jc w:val="center"/>
              <w:ind w:left="1581"/>
              <w:spacing w:after="0"/>
              <w:rPr>
                <w:sz w:val="20"/>
                <w:szCs w:val="20"/>
                <w:color w:val="auto"/>
              </w:rPr>
            </w:pPr>
            <w:r>
              <w:rPr>
                <w:rFonts w:ascii="Times New Roman" w:cs="Times New Roman" w:eastAsia="Times New Roman" w:hAnsi="Times New Roman"/>
                <w:sz w:val="16"/>
                <w:szCs w:val="16"/>
                <w:color w:val="auto"/>
                <w:w w:val="98"/>
              </w:rPr>
              <w:t>One State Street, 30th Floor</w:t>
            </w:r>
          </w:p>
        </w:tc>
      </w:tr>
      <w:tr>
        <w:trPr>
          <w:trHeight w:val="189"/>
        </w:trPr>
        <w:tc>
          <w:tcPr>
            <w:tcW w:w="3960" w:type="dxa"/>
            <w:vAlign w:val="bottom"/>
          </w:tcPr>
          <w:p>
            <w:pPr>
              <w:jc w:val="center"/>
              <w:ind w:right="1581"/>
              <w:spacing w:after="0"/>
              <w:rPr>
                <w:sz w:val="20"/>
                <w:szCs w:val="20"/>
                <w:color w:val="auto"/>
              </w:rPr>
            </w:pPr>
            <w:r>
              <w:rPr>
                <w:rFonts w:ascii="Times New Roman" w:cs="Times New Roman" w:eastAsia="Times New Roman" w:hAnsi="Times New Roman"/>
                <w:sz w:val="16"/>
                <w:szCs w:val="16"/>
                <w:color w:val="auto"/>
                <w:w w:val="97"/>
              </w:rPr>
              <w:t>New York, NY 10004</w:t>
            </w:r>
          </w:p>
        </w:tc>
        <w:tc>
          <w:tcPr>
            <w:tcW w:w="3980" w:type="dxa"/>
            <w:vAlign w:val="bottom"/>
          </w:tcPr>
          <w:p>
            <w:pPr>
              <w:jc w:val="center"/>
              <w:ind w:left="1581"/>
              <w:spacing w:after="0"/>
              <w:rPr>
                <w:sz w:val="20"/>
                <w:szCs w:val="20"/>
                <w:color w:val="auto"/>
              </w:rPr>
            </w:pPr>
            <w:r>
              <w:rPr>
                <w:rFonts w:ascii="Times New Roman" w:cs="Times New Roman" w:eastAsia="Times New Roman" w:hAnsi="Times New Roman"/>
                <w:sz w:val="16"/>
                <w:szCs w:val="16"/>
                <w:color w:val="auto"/>
                <w:w w:val="98"/>
              </w:rPr>
              <w:t>New York, NY 10004</w:t>
            </w:r>
          </w:p>
        </w:tc>
      </w:tr>
      <w:tr>
        <w:trPr>
          <w:trHeight w:val="206"/>
        </w:trPr>
        <w:tc>
          <w:tcPr>
            <w:tcW w:w="3960" w:type="dxa"/>
            <w:vAlign w:val="bottom"/>
          </w:tcPr>
          <w:p>
            <w:pPr>
              <w:jc w:val="center"/>
              <w:ind w:right="1581"/>
              <w:spacing w:after="0"/>
              <w:rPr>
                <w:sz w:val="20"/>
                <w:szCs w:val="20"/>
                <w:color w:val="auto"/>
              </w:rPr>
            </w:pPr>
            <w:r>
              <w:rPr>
                <w:rFonts w:ascii="Times New Roman" w:cs="Times New Roman" w:eastAsia="Times New Roman" w:hAnsi="Times New Roman"/>
                <w:sz w:val="16"/>
                <w:szCs w:val="16"/>
                <w:color w:val="auto"/>
                <w:w w:val="98"/>
              </w:rPr>
              <w:t>Attn: Corporate Actions Department</w:t>
            </w:r>
          </w:p>
        </w:tc>
        <w:tc>
          <w:tcPr>
            <w:tcW w:w="3980" w:type="dxa"/>
            <w:vAlign w:val="bottom"/>
          </w:tcPr>
          <w:p>
            <w:pPr>
              <w:jc w:val="center"/>
              <w:ind w:left="1581"/>
              <w:spacing w:after="0"/>
              <w:rPr>
                <w:sz w:val="20"/>
                <w:szCs w:val="20"/>
                <w:color w:val="auto"/>
              </w:rPr>
            </w:pPr>
            <w:r>
              <w:rPr>
                <w:rFonts w:ascii="Times New Roman" w:cs="Times New Roman" w:eastAsia="Times New Roman" w:hAnsi="Times New Roman"/>
                <w:sz w:val="16"/>
                <w:szCs w:val="16"/>
                <w:color w:val="auto"/>
                <w:w w:val="99"/>
              </w:rPr>
              <w:t>Attn: Corporate Actions Department</w:t>
            </w:r>
          </w:p>
        </w:tc>
      </w:tr>
    </w:tbl>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b w:val="1"/>
          <w:bCs w:val="1"/>
          <w:color w:val="auto"/>
        </w:rPr>
        <w:t>THE METHOD OF DELIVERY OF THIS LETTER OF TRANSMITTAL AND CONSENT (AS IT MAY BE AMENDED AND SUPPLEMENTED FROM TIME TO TIME, THIS “LETTER OF TRANSMITTAL AND CONSENT”), THE WARRANTS AND ALL OTHER REQUIRED DOCUMENTS, INCLUDING DELIVERY THROUGH BOOK-ENTRY TRANSFER, IS AT THE OPTION AND RISK OF THE TENDERING WARRANT HOLDER AND, EXCEPT AS OTHERWISE PROVIDED IN THE INSTRUCTIONS BELOW, THE DELIVERY WILL BE DEEMED MADE ONLY WHEN ACTUALLY RECEIVED BY THE EXCHANGE AGENT. IF DELIVERY IS BY MAIL, REGISTERED MAIL WITH RETURN RECEIPT REQUESTED - PROPERLY INSURED - IS RECOMMENDED. THE WARRANT HOLDER HAS THE RESPONSIBILITY TO CAUSE THIS LETTER OF TRANSMITTAL AND CONSENT, THE TENDERED WARRANTS, AND ANY OTHER DOCUMENTS TO BE TIMELY DELIVERED. IN ALL CASES, SUFFICIENT TIME SHOULD BE ALLOWED TO ENSURE TIMELY DELIVERY. PLEASE READ THIS ENTIRE LETTER OF TRANSMITTAL AND CONSENT, INCLUDING THE INSTRUCTIONS, CAREFULLY BEFORE COMPLETING THIS LETTER OF TRANSMITTAL AND CONSENT.</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OPAL Fuels Inc., a Delaware corporation (the “Company,” “we,” “our,” and “us”), has delivered to the undersigned a copy of the prospectus/offer to exchange, dated November 18, 2022 (the “Prospectus/Offer to Exchange”) of the Company and this Letter of Transmittal and Consent, which together set forth the offer of the Company to each holder of the Company’s warrants to purchase shares of the Company’s Class A common stock, par value $0.0001 per share (the “Class A Common Stock”), to receive 0.250 shares of Class A Common Stock in exchange for each warrant tendered by the holder and exchanged pursuant to the offer (the “Offer”).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6"/>
          <w:szCs w:val="16"/>
          <w:color w:val="auto"/>
        </w:rPr>
        <w:t>The Offer is being made to all holders of:</w:t>
      </w:r>
    </w:p>
    <w:p>
      <w:pPr>
        <w:spacing w:after="0" w:line="194" w:lineRule="exact"/>
        <w:rPr>
          <w:sz w:val="20"/>
          <w:szCs w:val="20"/>
          <w:color w:val="auto"/>
        </w:rPr>
      </w:pPr>
    </w:p>
    <w:p>
      <w:pPr>
        <w:jc w:val="both"/>
        <w:ind w:left="560" w:hanging="282"/>
        <w:spacing w:after="0" w:line="286" w:lineRule="auto"/>
        <w:tabs>
          <w:tab w:leader="none" w:pos="56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warrants that were (i) sold in connection with the initial public offering of ArcLight Clean Transition Corp. II, a Cayman Islands exempted company and the Company’s predecessor (“ArcLight”) (the “IPO”) (whether they were purchased in the IPO or thereafter in the open market) or (ii) initially issued as private placement warrants to certain parties in connection with the IPO that have been transferred to any person other than permitted transferees (collectively, the “public warrants”); and</w:t>
      </w:r>
    </w:p>
    <w:p>
      <w:pPr>
        <w:spacing w:after="0" w:line="139" w:lineRule="exact"/>
        <w:rPr>
          <w:rFonts w:ascii="Times New Roman" w:cs="Times New Roman" w:eastAsia="Times New Roman" w:hAnsi="Times New Roman"/>
          <w:sz w:val="15"/>
          <w:szCs w:val="15"/>
          <w:color w:val="auto"/>
        </w:rPr>
      </w:pPr>
    </w:p>
    <w:p>
      <w:pPr>
        <w:ind w:left="560" w:hanging="282"/>
        <w:spacing w:after="0" w:line="275" w:lineRule="auto"/>
        <w:tabs>
          <w:tab w:leader="none" w:pos="56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that were issued to certain parties in a private placement in connection with the closing of the IPO that have not become public warrants as a result of being transferred to any person other than permitted transferees (the “private placement warrants” and, together with the public warrants, the “warrants”).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Each warrant entitles the holder to purchase one share of Class A Common Stock at a price of $11.50 per share, subject to adjustment. The public warrants are quoted on The Nasdaq Capital Market (the “Nasdaq”) under the symbol “OPALW.” As of November 16, 2022, 6,223,233 public warrants and 9,223,261 private placement warrants were outstanding. Pursuant to the Offer, the Company is offering up to an aggregate of 3,861,623 shares of Class A Common Stock in exchange for the warrants.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Concurrently with the Offer, the Company is also soliciting consents (the “Consent Solicitation”) from holders of the warrants to amend (the “Warrant Amendment”) that certain Warrant Agreement, dated as of March 25, 2021, by and between the Company (as successor to ArcLight) and Continental Stock Transfer &amp; Trust Company, as warrant agent (the “Warrant Agreement”), to permit the Company to require that each warrant that is outstanding upon the closing of the Offer be exchanged for 0.225 shares of Class A Common Stock, which is a ratio 10% less than the exchange ratio applicable to the Offer.</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Pursuant to the terms of the Warrant Agreement, the proposed Warrant Amendment requires the vote or written consent of holders of at least 65% of each of the outstanding public warrants and the outstanding private placement warrants.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Parties representing approximately 53.30% of the outstanding public warrants and 100% of the outstanding private placement warrants have agreed to tender their public warrants and private placement warrants (as applicable) in the Offer and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described on the Offer and Consent Solicitation are satisfied or waived, then the Warrant Amendment will be adopted.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Holders of warrants may not consent to the Warrant Amendment without tendering warrants in the Offer and holders may not tender such warrants without consenting to the Warrant Amendment. The consent to the Warrant Amendment is a part of this Letter of Transmittal and Consent relating to the warrants and, therefore, by tendering warrants for exchange, holders will be delivering to us their consent to the Warrant Amendment. Warrant holders may revoke consent at any time prior to the Expiration Date by withdrawing the warrants holders have tendered in the Offer.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Warrants not exchanged for shares of our Class A Common Stock pursuant to the Offer will remain outstanding subject to their current terms, or amended terms if the Warrant Amendment is approved. If the Warrant Amendment is approved, the Company intends to require the exchange of all outstanding warrants to shares of Class A Common Stock as provided in the Warrant Amendment.</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Offer and Consent Solicitation is made solely upon the terms and conditions in the Prospectus/Offer to Exchange and this Letter of Transmittal and Consent. The Offer and Consent Solicitation will be open until 11:59 p.m., Eastern Time, on December 16, 2022, or such later time and date to which the Company may extend (the period during which the Offer and Consent Solicitation is open, giving effect to any withdrawal or extension, is referred to as the “Offer Period,” and the date and time at which the Offer Period ends is referred to as the “Expiration Date”).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42" w:name="page343"/>
    <w:bookmarkEnd w:id="342"/>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Each holder whose warrants are exchanged pursuant to the Offer and Consent Solicitation will receive 0.25 shares of Class A Common Stock for each warrant tendered by such holder and exchanged. Any warrant holder that participates in the Offer and Consent Solicitation may tender less than all of its warrants for exchange.</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No fractional shares of Class A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Class A Common Stock on the Nasdaq on the last trading day of the Offer Period, less any applicable withholding taxes. Our obligation to complete the Offer is not conditioned on the receipt of a minimum number of tendered warrants.</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Company may withdraw the Offer and Consent Solicitation only if the conditions to the Offer and Consent Solicitation are not satisfied or waived prior to the Expiration Date. Promptly upon any such withdrawal, the Company will return the tendered warrants to the holders (and the related consent to the Warrant Amendment will be revoked).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Letter of Transmittal and Consent is to be used to accept the Offer and Consent Solicitation if the applicable warrants are to be tendered by effecting a book-entry transfer into the Exchange Agent’s account at the Depository Trust Company (“DTC”) and instructions are not being transmitted through DTC’s Automated Tender Offer Program (“ATOP”). Except in instances where a holder intends to tender warrants through ATOP, the holder should complete, execute and deliver this Letter of Transmittal and Consent to indicate the action it desires to take with respect to the Offer and Consent Solicitation.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Holders of warrants tendering warrants by book-entry transfer to the Exchange Agent’s account at DTC may execute the tender through ATOP, and in that case need not complete, execute, and deliver this Letter of Transmittal and Consent. DTC participants accepting the Offer and Consent Solicitation may transmit their acceptance to DTC, which will verify the acceptance and execute a book-entry delivery to the Exchange Agent’s account at DTC. DTC will then send an “Agent’s Message” to the Exchange Agent for its acceptance. Delivery of the Agent’s Message by DTC will satisfy the terms of the Offer and Consent Solicitation as to execution and delivery of a Letter of Transmittal and Consent by the DTC participant identified in the Agent’s Message.</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As used in this Letter of Transmittal and Consent with respect to the tender procedures set forth herein, the term “registered holder” means any person in whose name warrants are registered on the books of the Company or who is listed as a participant in a clearing agency’s security position listing with respect to the warrants.</w:t>
      </w:r>
    </w:p>
    <w:p>
      <w:pPr>
        <w:spacing w:after="0" w:line="14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THE OFFER AND CONSENT SOLICITATION IS NOT MADE TO THOSE HOLDERS WHO RESIDE IN STATES OR OTHER JURISDICTIONS WHERE AN OFFER, SOLICITATION, OR SALE WOULD BE UNLAWFUL.</w:t>
      </w:r>
    </w:p>
    <w:p>
      <w:pPr>
        <w:spacing w:after="0" w:line="14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PLEASE SEE THE INSTRUCTIONS TO THIS LETTER OF TRANSMITTAL AND CONSENT BEGINNING ON PAGE 11 FOR THE PROPER USE AND DELIVERY OF THIS LETTER OF TRANSMITTAL AND CONSENT.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43" w:name="page344"/>
    <w:bookmarkEnd w:id="343"/>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WARRANTS TENDERED</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List below the warrants to which this Letter of Transmittal and Consent relates. If the space below is inadequate, list the registered warrant certificate numbers on a separate signed schedule and affix the list to this Letter of Transmittal and Consent.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Name(s) and Address(es) of</w:t>
            </w:r>
          </w:p>
        </w:tc>
        <w:tc>
          <w:tcPr>
            <w:tcW w:w="5520" w:type="dxa"/>
            <w:vAlign w:val="bottom"/>
          </w:tcPr>
          <w:p>
            <w:pPr>
              <w:spacing w:after="0"/>
              <w:rPr>
                <w:sz w:val="16"/>
                <w:szCs w:val="16"/>
                <w:color w:val="auto"/>
              </w:rPr>
            </w:pPr>
          </w:p>
        </w:tc>
      </w:tr>
      <w:tr>
        <w:trPr>
          <w:trHeight w:val="211"/>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Registered Holder(s) of Warrants</w:t>
            </w:r>
          </w:p>
        </w:tc>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 of Warrants Tendered</w:t>
            </w:r>
          </w:p>
        </w:tc>
      </w:tr>
      <w:tr>
        <w:trPr>
          <w:trHeight w:val="379"/>
        </w:trPr>
        <w:tc>
          <w:tcPr>
            <w:tcW w:w="5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6"/>
                <w:szCs w:val="16"/>
                <w:color w:val="auto"/>
              </w:rPr>
              <w:t>:</w:t>
            </w:r>
          </w:p>
        </w:tc>
      </w:tr>
    </w:tbl>
    <w:p>
      <w:pPr>
        <w:spacing w:after="0" w:line="148" w:lineRule="exact"/>
        <w:rPr>
          <w:sz w:val="20"/>
          <w:szCs w:val="20"/>
          <w:color w:val="auto"/>
        </w:rPr>
      </w:pPr>
    </w:p>
    <w:p>
      <w:pPr>
        <w:spacing w:after="0" w:line="210"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CHECK HERE IF THE WARRANTS LISTED ABOVE ARE BEING DELIVERED BY BOOK-ENTRY TRANSFER MADE TO THE ACCOUNT MAINTAINED BY THE EXCHANGE AGENT WITH DTC AND COMPLETE THE FOLLOWING (FOR USE BY ELIGIBLE INSTITUTIONS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Tendering Institution: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Number: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 Code Number:</w:t>
      </w:r>
    </w:p>
    <w:p>
      <w:pPr>
        <w:spacing w:after="0" w:line="17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By crediting the warrants to the Exchange Agent’s account at DTC using ATOP and by complying with applicable ATOP procedures with respect to the Offer and Consent Solicitation, including, if applicable, transmitting to the Exchange Agent an Agent’s Message in which the holder of the warrants acknowledges and agrees to be bound by the terms of, and makes the representations and warranties contained in, this Letter of Transmittal and Consent, the participant in DTC confirms on behalf of itself and the beneficial owner(s) of such warrants all provisions of this Letter of Transmittal and Consent (including consent to the Warrant Amendment, if applicable, and all representations and warranties) applicable to it and such beneficial owner(s) as fully as if it had completed the required information and executed and transmitted this Letter of Transmittal and Consent to the Exchange Agent.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16"/>
          <w:szCs w:val="16"/>
          <w:b w:val="1"/>
          <w:bCs w:val="1"/>
          <w:color w:val="auto"/>
        </w:rPr>
        <w:t>NOTE: SIGNATURES MUST BE PROVIDED BELOW.</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PLEASE READ THE ACCOMPANYING INSTRUCTIONS CAREFULLY.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Continental Stock Transfer &amp; Trust Company, as Exchange Agent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State Street, 30th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Corporate Actions Department</w:t>
      </w:r>
    </w:p>
    <w:p>
      <w:pPr>
        <w:spacing w:after="0" w:line="1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Upon and subject to the terms and conditions set forth in the Prospectus/Offer to Exchange and in this Letter of Transmittal and Consent, receipt of which is hereby acknowledged, the undersigned hereby:</w:t>
      </w:r>
    </w:p>
    <w:p>
      <w:pPr>
        <w:spacing w:after="0" w:line="145" w:lineRule="exact"/>
        <w:rPr>
          <w:sz w:val="20"/>
          <w:szCs w:val="20"/>
          <w:color w:val="auto"/>
        </w:rPr>
      </w:pPr>
    </w:p>
    <w:p>
      <w:pPr>
        <w:ind w:left="840" w:right="20" w:hanging="562"/>
        <w:spacing w:after="0" w:line="275" w:lineRule="auto"/>
        <w:tabs>
          <w:tab w:leader="none" w:pos="8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tenders to the Company for exchange pursuant to the Offer and Consent Solicitation the number of warrants indicated above under “Description of Warrants Tendered-Number of Warrants Tendered”;</w:t>
      </w:r>
    </w:p>
    <w:p>
      <w:pPr>
        <w:spacing w:after="0" w:line="145" w:lineRule="exact"/>
        <w:rPr>
          <w:rFonts w:ascii="Times New Roman" w:cs="Times New Roman" w:eastAsia="Times New Roman" w:hAnsi="Times New Roman"/>
          <w:sz w:val="16"/>
          <w:szCs w:val="16"/>
          <w:color w:val="auto"/>
        </w:rPr>
      </w:pPr>
    </w:p>
    <w:p>
      <w:pPr>
        <w:ind w:left="840" w:right="20" w:hanging="562"/>
        <w:spacing w:after="0" w:line="275" w:lineRule="auto"/>
        <w:tabs>
          <w:tab w:leader="none" w:pos="8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subscribes for the Class A Common Stock issuable upon the exchange of such tendered warrants pursuant to the Offer and Consent Solicitation, being 0.250 shares of Class A Common Stock for each warrant so tendered for exchange; and</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Warrant Amendment.</w:t>
      </w:r>
    </w:p>
    <w:p>
      <w:pPr>
        <w:spacing w:after="0" w:line="19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Except as stated in the Prospectus/Offer to Exchange, the tender made hereby is irrevocable. The undersigned understands that this tender will remain in full force and effect unless and until such tender is withdrawn and revoked in accordance with the procedures set forth in the Prospectus/Offer to Exchange and this Letter of Transmittal and Consent. The undersigned understands that this tender may not be withdrawn after the Expiration Date, and that a notice of withdrawal will be effective only if delivered to the Exchange Agent in accordance with the specific withdrawal procedures set forth in the Prospectus/Offer to Exchange.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the undersigned holds warrants for beneficial owners, the undersigned represents that it has received from each beneficial owner thereof a duly completed and executed form of “Instructions Form” in the form attached to the “Letter to Clients of Brokers, Dealers, Commercial Banks, Trust Companies, and Other Nominees” which was sent to the undersigned by the Company with this Letter of Transmittal and Consent, instructing the undersigned to take the action described in this Letter of Transmittal and Consent.</w:t>
      </w:r>
    </w:p>
    <w:p>
      <w:pPr>
        <w:spacing w:after="0" w:line="1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If the undersigned is not the registered holder of the warrants indicated under “Description of Warrants Tendered” above or such holder’s legal representative or attorney-in-fact (or, in the case of warrants held through DTC, the DTC participant for whose account such warrants are held), then the undersigned has obtained a properly completed irrevocable proxy that authorizes the undersigned (or the undersigned’s legal representative or attorney-in fact) to deliver a consent in respect of such warrants on behalf of the holder thereof, and such proxy is being delivered to the Exchange Agent with this Letter of Transmittal and Consent.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undersigned understands that, upon and subject to the terms and conditions set forth in the Prospectus/Offer to Exchange and this Letter of Transmittal and Consent, any warrants properly tendered and not withdrawn that are accepted for exchange will be exchanged for Class A Common Stock. The undersigned understands that, under certain circumstances, the Company may not be required to accept any of the warrants tendered (including any warrants tendered after the Expiration Date). If any warrants are not accepted for exchange for any reason, or if tendered warrants are withdrawn, such unexchanged or withdrawn warrants will be returned without expense to the tendering holder, if applicable, and the related consent to the Warrant Amendment will be revoked.</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undersigned understands that, upon and subject to the terms and conditions set forth in the Prospectus/Offer to Exchange and this Letter of Transmittal and Consent, any warrants properly tendered and not validly withdrawn that are accepted for exchange constitute the holder’s validly delivered consent to the Warrant Amendment. A holder of warrants may not consent to the Warrant Amendment without tendering his or her warrants in the Offer, and a holder of warrants may not tender his or her warrants without consenting to the Warrant Amendment. A holder may revoke his or her consent to the Warrant Amendment at any time prior to the Expiration Date by withdrawing the warrants he or she has tendered.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45" w:name="page346"/>
    <w:bookmarkEnd w:id="345"/>
    <w:p>
      <w:pPr>
        <w:ind w:right="20"/>
        <w:spacing w:after="0" w:line="275" w:lineRule="auto"/>
        <w:rPr>
          <w:sz w:val="20"/>
          <w:szCs w:val="20"/>
          <w:color w:val="auto"/>
        </w:rPr>
      </w:pPr>
      <w:r>
        <w:rPr>
          <w:rFonts w:ascii="Times New Roman" w:cs="Times New Roman" w:eastAsia="Times New Roman" w:hAnsi="Times New Roman"/>
          <w:sz w:val="16"/>
          <w:szCs w:val="16"/>
          <w:color w:val="auto"/>
        </w:rPr>
        <w:t>Subject to, and effective upon, the Company’s acceptance of the undersigned’s tender of warrants for exchange pursuant to the Offer and Consent Solicitation as indicated under “Description of Warrants Tendered-Number of Warrants Tendered” above, the undersigned hereby:</w:t>
      </w:r>
    </w:p>
    <w:p>
      <w:pPr>
        <w:spacing w:after="0" w:line="145" w:lineRule="exact"/>
        <w:rPr>
          <w:sz w:val="20"/>
          <w:szCs w:val="20"/>
          <w:color w:val="auto"/>
        </w:rPr>
      </w:pPr>
    </w:p>
    <w:p>
      <w:pPr>
        <w:ind w:left="840" w:hanging="562"/>
        <w:spacing w:after="0" w:line="275" w:lineRule="auto"/>
        <w:tabs>
          <w:tab w:leader="none" w:pos="8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assigns and transfers to, or upon the order of, the Company, all right, title, and interest in and to, and any and all claims in respect of or arising or having arisen as a result of the undersigned’s status as a holder of, such warrants;</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waives any and all rights with respect to such warrants;</w:t>
      </w:r>
    </w:p>
    <w:p>
      <w:pPr>
        <w:spacing w:after="0" w:line="194"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releases and discharges the Company from any and all claims the undersigned may have now, or may have in the future, arising out of or related to such warrants;</w:t>
      </w:r>
    </w:p>
    <w:p>
      <w:pPr>
        <w:spacing w:after="0" w:line="194"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that the Offer may be extended, modified, suspended, or terminated by the Company as provided in the Prospectus/Offer to Exchange; and</w:t>
      </w:r>
    </w:p>
    <w:p>
      <w:pPr>
        <w:spacing w:after="0" w:line="194"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the future value of the warrants is unknown and cannot be predicted with certainty.</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undersigned understands that tenders of warrants pursuant to any of the procedures described in the Prospectus/Offer to Exchange and in the instructions in this Letter of Transmittal and Consent, if and when accepted by the Company, will constitute a binding agreement between the undersigned and the Company upon the terms and subject to the conditions of the Offer and Consent Solicitation.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Effective upon acceptance for exchange, the undersigned hereby irrevocably constitutes and appoints the Exchange Agent, acting as agent for the Company, as the true and lawful agent and attorney-in-fact of the undersigned with respect to the warrants tendered hereby, with full power of substitution (such power of attorney being deemed to be an irrevocable power coupled with an interest) to:</w:t>
      </w:r>
    </w:p>
    <w:p>
      <w:pPr>
        <w:spacing w:after="0" w:line="156" w:lineRule="exact"/>
        <w:rPr>
          <w:sz w:val="20"/>
          <w:szCs w:val="20"/>
          <w:color w:val="auto"/>
        </w:rPr>
      </w:pPr>
    </w:p>
    <w:p>
      <w:pPr>
        <w:ind w:left="840" w:hanging="562"/>
        <w:spacing w:after="0" w:line="275" w:lineRule="auto"/>
        <w:tabs>
          <w:tab w:leader="none" w:pos="8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ownership of such warrants on the account books maintained by DTC together with all accompanying evidences of transfer and authenticity to or upon the order of the Company;</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 such warrants for transfer of ownership on the books of the Company;</w:t>
      </w:r>
    </w:p>
    <w:p>
      <w:pPr>
        <w:spacing w:after="0" w:line="194" w:lineRule="exact"/>
        <w:rPr>
          <w:rFonts w:ascii="Times New Roman" w:cs="Times New Roman" w:eastAsia="Times New Roman" w:hAnsi="Times New Roman"/>
          <w:sz w:val="16"/>
          <w:szCs w:val="16"/>
          <w:color w:val="auto"/>
        </w:rPr>
      </w:pPr>
    </w:p>
    <w:p>
      <w:pPr>
        <w:ind w:left="840" w:right="20" w:hanging="562"/>
        <w:spacing w:after="0" w:line="275" w:lineRule="auto"/>
        <w:tabs>
          <w:tab w:leader="none" w:pos="8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ownership of such warrants to be transferred to, or upon the order of, the Company on the books of the Company or its agent and deliver all accompanying evidences of transfer and authenticity to, or upon the order of, the Company; and</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all benefits and otherwise exercise all rights of beneficial ownership of such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in accordance with the terms of the Offer and Consent Solicitation, as described in the Prospectus/Offer to Exchange and this Letter of Transmittal and Consent.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hereby represents, warrants, and agrees that:</w:t>
      </w:r>
    </w:p>
    <w:p>
      <w:pPr>
        <w:spacing w:after="0" w:line="194" w:lineRule="exact"/>
        <w:rPr>
          <w:sz w:val="20"/>
          <w:szCs w:val="20"/>
          <w:color w:val="auto"/>
        </w:rPr>
      </w:pPr>
    </w:p>
    <w:p>
      <w:pPr>
        <w:ind w:left="840" w:right="20" w:hanging="562"/>
        <w:spacing w:after="0" w:line="275" w:lineRule="auto"/>
        <w:tabs>
          <w:tab w:leader="none" w:pos="84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has full power and authority to tender the warrants tendered hereby and to sell, exchange, assign, and transfer all right, title, and interest in and to such warrants;</w:t>
      </w:r>
    </w:p>
    <w:p>
      <w:pPr>
        <w:spacing w:after="0" w:line="145" w:lineRule="exact"/>
        <w:rPr>
          <w:rFonts w:ascii="Times New Roman" w:cs="Times New Roman" w:eastAsia="Times New Roman" w:hAnsi="Times New Roman"/>
          <w:sz w:val="16"/>
          <w:szCs w:val="16"/>
          <w:color w:val="auto"/>
        </w:rPr>
      </w:pPr>
    </w:p>
    <w:p>
      <w:pPr>
        <w:ind w:left="840" w:right="20" w:hanging="562"/>
        <w:spacing w:after="0" w:line="275" w:lineRule="auto"/>
        <w:tabs>
          <w:tab w:leader="none" w:pos="84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has full power and authority to subscribe for all of the Class A Common Stock issuable pursuant to the Offer and Consent Solicitation in exchange for the warrants tendered hereby;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46" w:name="page347"/>
    <w:bookmarkEnd w:id="346"/>
    <w:p>
      <w:pPr>
        <w:jc w:val="both"/>
        <w:ind w:left="840" w:hanging="562"/>
        <w:spacing w:after="0" w:line="286" w:lineRule="auto"/>
        <w:tabs>
          <w:tab w:leader="none" w:pos="8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has good, marketable, and unencumbered title to the warrants tendered hereby, and upon acceptance of such warrants by the Company for exchange pursuant to the Offer and Consent Solicitation, the Company will acquire good, marketable, and unencumbered title to such warrants, in each case, free and clear of any security interests, liens, restrictions, charges, encumbrances, conditional sales agreements, or other obligations of any kind, and not subject to any adverse claim;</w:t>
      </w:r>
    </w:p>
    <w:p>
      <w:pPr>
        <w:spacing w:after="0" w:line="139" w:lineRule="exact"/>
        <w:rPr>
          <w:rFonts w:ascii="Times New Roman" w:cs="Times New Roman" w:eastAsia="Times New Roman" w:hAnsi="Times New Roman"/>
          <w:sz w:val="15"/>
          <w:szCs w:val="15"/>
          <w:color w:val="auto"/>
        </w:rPr>
      </w:pPr>
    </w:p>
    <w:p>
      <w:pPr>
        <w:ind w:left="840" w:hanging="562"/>
        <w:spacing w:after="0"/>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has full power and authority to consent to the Warrant Amendment;</w:t>
      </w:r>
    </w:p>
    <w:p>
      <w:pPr>
        <w:spacing w:after="0" w:line="194" w:lineRule="exact"/>
        <w:rPr>
          <w:rFonts w:ascii="Times New Roman" w:cs="Times New Roman" w:eastAsia="Times New Roman" w:hAnsi="Times New Roman"/>
          <w:sz w:val="16"/>
          <w:szCs w:val="16"/>
          <w:color w:val="auto"/>
        </w:rPr>
      </w:pPr>
    </w:p>
    <w:p>
      <w:pPr>
        <w:ind w:left="840" w:hanging="562"/>
        <w:spacing w:after="0" w:line="275" w:lineRule="auto"/>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will, upon request, execute and deliver any additional documents deemed by the Company or the Exchange Agent to be necessary or desirable to complete and give effect to the transactions contemplated hereby;</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has received and reviewed the Prospectus/Offer to Exchange, this Letter of Transmittal and Consent, and the Warrant Amendment;</w:t>
      </w:r>
    </w:p>
    <w:p>
      <w:pPr>
        <w:spacing w:after="0" w:line="194" w:lineRule="exact"/>
        <w:rPr>
          <w:rFonts w:ascii="Times New Roman" w:cs="Times New Roman" w:eastAsia="Times New Roman" w:hAnsi="Times New Roman"/>
          <w:sz w:val="16"/>
          <w:szCs w:val="16"/>
          <w:color w:val="auto"/>
        </w:rPr>
      </w:pPr>
    </w:p>
    <w:p>
      <w:pPr>
        <w:jc w:val="both"/>
        <w:ind w:left="840" w:hanging="562"/>
        <w:spacing w:after="0" w:line="256" w:lineRule="auto"/>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acknowledges that none of the Company, the information agent, the Exchange Agent, the dealer manager, or any person acting on behalf of any of the foregoing has made any statement, representation, or warranty, express or implied, to the undersigned with respect to the Company, the Offer and Consent Solicitation, the warrants, or the Class A Common Stock, other than the information included in the Prospectus/Offer to Exchange (as amended or supplemented prior to the Expiration Date);</w:t>
      </w:r>
    </w:p>
    <w:p>
      <w:pPr>
        <w:spacing w:after="0" w:line="160" w:lineRule="exact"/>
        <w:rPr>
          <w:rFonts w:ascii="Times New Roman" w:cs="Times New Roman" w:eastAsia="Times New Roman" w:hAnsi="Times New Roman"/>
          <w:sz w:val="16"/>
          <w:szCs w:val="16"/>
          <w:color w:val="auto"/>
        </w:rPr>
      </w:pPr>
    </w:p>
    <w:p>
      <w:pPr>
        <w:ind w:left="840" w:right="20" w:hanging="562"/>
        <w:spacing w:after="0" w:line="275" w:lineRule="auto"/>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of the Prospectus/Offer to Exchange shall be deemed to be incorporated in, and form a part of, this Letter of Transmittal and Consent, which shall be read and construed accordingly;</w:t>
      </w:r>
    </w:p>
    <w:p>
      <w:pPr>
        <w:spacing w:after="0" w:line="145" w:lineRule="exact"/>
        <w:rPr>
          <w:rFonts w:ascii="Times New Roman" w:cs="Times New Roman" w:eastAsia="Times New Roman" w:hAnsi="Times New Roman"/>
          <w:sz w:val="16"/>
          <w:szCs w:val="16"/>
          <w:color w:val="auto"/>
        </w:rPr>
      </w:pPr>
    </w:p>
    <w:p>
      <w:pPr>
        <w:ind w:left="840" w:right="20" w:hanging="562"/>
        <w:spacing w:after="0" w:line="275" w:lineRule="auto"/>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understands that tenders of warrants pursuant to the Offer and Consent Solicitation and in the instructions hereto constitute the undersigned’s acceptance of the terms and conditions of the Offer and Consent Solicitation;</w:t>
      </w:r>
    </w:p>
    <w:p>
      <w:pPr>
        <w:spacing w:after="0" w:line="145"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is voluntarily participating in the Offer; and</w:t>
      </w:r>
    </w:p>
    <w:p>
      <w:pPr>
        <w:spacing w:after="0" w:line="194" w:lineRule="exact"/>
        <w:rPr>
          <w:rFonts w:ascii="Times New Roman" w:cs="Times New Roman" w:eastAsia="Times New Roman" w:hAnsi="Times New Roman"/>
          <w:sz w:val="16"/>
          <w:szCs w:val="16"/>
          <w:color w:val="auto"/>
        </w:rPr>
      </w:pPr>
    </w:p>
    <w:p>
      <w:pPr>
        <w:ind w:left="840" w:hanging="562"/>
        <w:spacing w:after="0"/>
        <w:tabs>
          <w:tab w:leader="none" w:pos="84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agrees to all of the terms of the Offer and Consent Solicitation.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Unless otherwise indicated under “Special Issuance Instructions” below, the Company will issue, in the name(s) of the undersigned as indicated under “Description of Warrants Tendered” above, the Class A Common Stock to which the undersigned is entitled pursuant to the terms of the Offer and Consent Solicitation in respect of the warrants tendered and exchanged pursuant to this Letter of Transmittal and Consent. If the “Special Issuance Instructions” below are completed, the Company will issue such Class A Common Stock in the name of (and pay cash in lieu of any fractional shares to) the person or account indicated under “Special Issuance Instructions.”</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undersigned agrees that the Company has no obligation under the “Special Issuance Instructions” provision of this Letter of Transmittal and Consent to effect the transfer of any warrants from the holder(s) thereof if the Company does not accept for exchange any of the warrants tendered pursuant to this Letter of Transmittal and Consent.</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acknowledgments, representations, warranties, and agreements of the undersigned in this Letter of Transmittal and Consent will be deemed to be automatically repeated and reconfirmed on and as of each of the Expiration Date and completion of the Offer and Consent Solicitation. The authority conferred or agreed to be conferred in this Letter of Transmittal and Consent shall not be affected by, and shall survive, the death or incapacity of the undersigned, and every obligation of the undersigned under this Letter of Transmittal and Consent shall be binding upon the heirs, executors, administrators, trustees in bankruptcy, personal and legal representatives, successors, and assigns of the undersigned.</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undersigned acknowledges that the undersigned has been advised to consult with its own legal counsel and other advisors (including tax advisors) as to the consequences of participating or not participating in the Offer and Consent Solicitation.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6"/>
          <w:szCs w:val="16"/>
          <w:b w:val="1"/>
          <w:bCs w:val="1"/>
          <w:color w:val="auto"/>
        </w:rPr>
        <w:t>SPECIAL ISSUANCE INSTRUCTIONS (SEE INSTRUCTIONS, INCLUDING</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INSTRUCTIONS 3, 4, AND 5)</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To be completed ONLY if the Class A Common Stock issued pursuant to the Offer and Consent Solicitation in exchange for warrants tendered hereby and any warrants delivered to the Exchange Agent herewith but not tendered and exchanged pursuant to the Offer and Consent Solicitation are to be issued in the name of someone other than the undersigned. Issue all such Class A Common Stock and untendered warrants 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6"/>
          <w:szCs w:val="16"/>
          <w:b w:val="1"/>
          <w:bCs w:val="1"/>
          <w:color w:val="auto"/>
        </w:rPr>
        <w:t>(PLEASE PRINT OR TYPE)</w:t>
      </w:r>
    </w:p>
    <w:p>
      <w:pPr>
        <w:spacing w:after="0" w:line="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6"/>
          <w:szCs w:val="16"/>
          <w:b w:val="1"/>
          <w:bCs w:val="1"/>
          <w:color w:val="auto"/>
        </w:rPr>
        <w:t>(INCLUDE ZIP CODE)</w:t>
      </w:r>
    </w:p>
    <w:p>
      <w:pPr>
        <w:spacing w:after="0" w:line="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6"/>
          <w:szCs w:val="16"/>
          <w:b w:val="1"/>
          <w:bCs w:val="1"/>
          <w:color w:val="auto"/>
        </w:rPr>
        <w:t>(TAX IDENTIFICATION OR SOCIAL SECURITY NUMBER)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6"/>
          <w:szCs w:val="16"/>
          <w:b w:val="1"/>
          <w:bCs w:val="1"/>
          <w:color w:val="auto"/>
        </w:rPr>
        <w:t>IMPORTANT: PLEASE SIGN HERE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(SEE INSTRUCTIONS AND ALSO COMPLETE ACCOMPANYING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IRS FORM W-9 OR APPROPRIATE IRS FORM W-8)</w:t>
      </w:r>
    </w:p>
    <w:p>
      <w:pPr>
        <w:spacing w:after="0" w:line="17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By completing, executing, and delivering this Letter of Transmittal and Consent, the undersigned hereby tenders the warrants indicated in the table above entitled “Description of Warrants Tendered.”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 REQUIRED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 of Registered Holder(s) of Warrants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above lines must be signed by the registered holder(s) of warrants as the name(s) appear(s) on the warrants or on a security position listing, or by person(s) authorized to become registered holder(s) by a properly completed assignment from the registered holder(s), a copy of which must be transmitted with this Letter of Transmittal and Consent. If warrants to which this Letter of Transmittal and Consent relates are held of record by two or more joint holders, then all such holders must sign this Letter of Transmittal and Consent. If signature is by a trustee, executor, administrator, guardian, attorney-in-fact, officer of a corporation, or other person acting in a fiduciary or representative capacity, then such person must set forth his or her full title below and, unless waived by the Company, submit evidence satisfactory to the Company of such person’s authority so to act. See Instruction 3 regarding the completion and execution of this Letter of Transmittal and Consent.)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Capacity: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Area Code and Telephone Number: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(PLEASE PRINT OR TYPE)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(INCLUDE ZIP CODE)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49" w:name="page350"/>
    <w:bookmarkEnd w:id="349"/>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GUARANTEE OF SIGNATURE(S) (IF REQUIRED)</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(SEE INSTRUCTIONS, INCLUDING INSTRUCTION 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signatures must be guaranteed by Eligible Institution.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guaranteed by an Eligible Institution:</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Authorized Signature</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Firm</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Address, Including Zip Code</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Area Code and Telephone Number</w:t>
      </w:r>
    </w:p>
    <w:p>
      <w:pPr>
        <w:spacing w:after="0" w:line="1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350" w:name="page351"/>
    <w:bookmarkEnd w:id="35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INSTRUCTIONS</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FORMING PART OF THE TERMS AND CONDITIONS OF THE</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OFFER AND CONSENT SOLICITATION</w:t>
      </w:r>
    </w:p>
    <w:p>
      <w:pPr>
        <w:spacing w:after="0" w:line="175" w:lineRule="exact"/>
        <w:rPr>
          <w:sz w:val="20"/>
          <w:szCs w:val="20"/>
          <w:color w:val="auto"/>
        </w:rPr>
      </w:pPr>
    </w:p>
    <w:p>
      <w:pPr>
        <w:ind w:left="5" w:right="20" w:hanging="5"/>
        <w:spacing w:after="0" w:line="278" w:lineRule="auto"/>
        <w:tabs>
          <w:tab w:leader="none" w:pos="163"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Delivery of Letter of Transmittal and Consent and Warrants</w:t>
      </w:r>
      <w:r>
        <w:rPr>
          <w:rFonts w:ascii="Times New Roman" w:cs="Times New Roman" w:eastAsia="Times New Roman" w:hAnsi="Times New Roman"/>
          <w:sz w:val="16"/>
          <w:szCs w:val="16"/>
          <w:color w:val="auto"/>
        </w:rPr>
        <w:t>. This Letter of Transmittal and Consent is to be used only if tenders of warrants are to be made by book-entry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 to the Exchange Agent’s account at DTC and instructions are not being transmitted through ATOP with respect to such tenders.</w:t>
      </w:r>
    </w:p>
    <w:p>
      <w:pPr>
        <w:spacing w:after="0" w:line="143"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Warrants may be validly tendered pursuant to the procedures for book-entry transfer as described in the Prospectus/Offer to Exchange. In order for warrants to be validly tendered by book-entry transfer, the Exchange Agent must receive the following prior to the Expiration Date, except as otherwise permitted by use of the procedures for guaranteed delivery as described below:</w:t>
      </w:r>
    </w:p>
    <w:p>
      <w:pPr>
        <w:spacing w:after="0" w:line="156" w:lineRule="exact"/>
        <w:rPr>
          <w:sz w:val="20"/>
          <w:szCs w:val="20"/>
          <w:color w:val="auto"/>
        </w:rPr>
      </w:pPr>
    </w:p>
    <w:p>
      <w:pPr>
        <w:ind w:left="845" w:hanging="562"/>
        <w:spacing w:after="0"/>
        <w:tabs>
          <w:tab w:leader="none" w:pos="845"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confirmation of the transfer of such warrants to the Exchange Agent’s account at DTC (a “Book-Entry Confirmation”);</w:t>
      </w:r>
    </w:p>
    <w:p>
      <w:pPr>
        <w:spacing w:after="0" w:line="194" w:lineRule="exact"/>
        <w:rPr>
          <w:rFonts w:ascii="Times New Roman" w:cs="Times New Roman" w:eastAsia="Times New Roman" w:hAnsi="Times New Roman"/>
          <w:sz w:val="16"/>
          <w:szCs w:val="16"/>
          <w:color w:val="auto"/>
        </w:rPr>
      </w:pPr>
    </w:p>
    <w:p>
      <w:pPr>
        <w:ind w:left="845" w:right="20" w:hanging="562"/>
        <w:spacing w:after="0" w:line="275" w:lineRule="auto"/>
        <w:tabs>
          <w:tab w:leader="none" w:pos="845"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a properly completed and duly executed Letter of Transmittal and Consent, or a properly transmitted “Agent’s Message” if the tendering warrant holder has not delivered a Letter of Transmittal and Consent; and</w:t>
      </w:r>
    </w:p>
    <w:p>
      <w:pPr>
        <w:spacing w:after="0" w:line="145" w:lineRule="exact"/>
        <w:rPr>
          <w:rFonts w:ascii="Times New Roman" w:cs="Times New Roman" w:eastAsia="Times New Roman" w:hAnsi="Times New Roman"/>
          <w:sz w:val="16"/>
          <w:szCs w:val="16"/>
          <w:color w:val="auto"/>
        </w:rPr>
      </w:pPr>
    </w:p>
    <w:p>
      <w:pPr>
        <w:ind w:left="845" w:hanging="562"/>
        <w:spacing w:after="0"/>
        <w:tabs>
          <w:tab w:leader="none" w:pos="845"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documents required by this Letter of Transmittal and Consent.</w:t>
      </w:r>
    </w:p>
    <w:p>
      <w:pPr>
        <w:spacing w:after="0" w:line="194" w:lineRule="exact"/>
        <w:rPr>
          <w:sz w:val="20"/>
          <w:szCs w:val="20"/>
          <w:color w:val="auto"/>
        </w:rPr>
      </w:pPr>
    </w:p>
    <w:p>
      <w:pPr>
        <w:jc w:val="both"/>
        <w:ind w:left="5"/>
        <w:spacing w:after="0" w:line="278" w:lineRule="auto"/>
        <w:rPr>
          <w:sz w:val="20"/>
          <w:szCs w:val="20"/>
          <w:color w:val="auto"/>
        </w:rPr>
      </w:pPr>
      <w:r>
        <w:rPr>
          <w:rFonts w:ascii="Times New Roman" w:cs="Times New Roman" w:eastAsia="Times New Roman" w:hAnsi="Times New Roman"/>
          <w:sz w:val="15"/>
          <w:szCs w:val="15"/>
          <w:color w:val="auto"/>
        </w:rPr>
        <w:t>The term “Agent’s Message” means a message, transmitted by DTC to, and received by, the Exchange Agent and forming a part of a Book-Entry Confirmation, which states that DTC has received an express acknowledgment from the participant in DTC exchanging the warrants that such participant has received and agrees to be bound by the terms of the Letter of Transmittal and Consent and that the Company may enforce such agreement against the participant. If you are tendering by book-entry transfer, you must expressly acknowledge that you have received and agree to be bound by the Letter of Transmittal and Consent and that the Letter of Transmittal and Consent may be enforced against you.</w:t>
      </w:r>
    </w:p>
    <w:p>
      <w:pPr>
        <w:spacing w:after="0" w:line="146" w:lineRule="exact"/>
        <w:rPr>
          <w:sz w:val="20"/>
          <w:szCs w:val="20"/>
          <w:color w:val="auto"/>
        </w:rPr>
      </w:pPr>
    </w:p>
    <w:p>
      <w:pPr>
        <w:jc w:val="both"/>
        <w:ind w:left="5" w:right="20"/>
        <w:spacing w:after="0" w:line="275" w:lineRule="auto"/>
        <w:rPr>
          <w:sz w:val="20"/>
          <w:szCs w:val="20"/>
          <w:color w:val="auto"/>
        </w:rPr>
      </w:pPr>
      <w:r>
        <w:rPr>
          <w:rFonts w:ascii="Times New Roman" w:cs="Times New Roman" w:eastAsia="Times New Roman" w:hAnsi="Times New Roman"/>
          <w:sz w:val="16"/>
          <w:szCs w:val="16"/>
          <w:color w:val="auto"/>
        </w:rPr>
        <w:t>Delivery of a Letter of Transmittal and Consent to the Company or DTC will not constitute valid delivery to the Exchange Agent. No Letter of Transmittal and Consent should be sent to the Company or DTC.</w:t>
      </w:r>
    </w:p>
    <w:p>
      <w:pPr>
        <w:spacing w:after="0" w:line="143"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b w:val="1"/>
          <w:bCs w:val="1"/>
          <w:color w:val="auto"/>
        </w:rPr>
        <w:t>THE METHOD OF DELIVERY OF THIS LETTER OF TRANSMITTAL AND CONSENT, TENDERED WARRANTS, AND ALL OTHER REQUIRED DOCUMENTS, INCLUDING DELIVERY THROUGH DTC AND ANY ACCEPTANCE OR AGENT’S MESSAGE DELIVERED THROUGH ATOP, IS AT THE OPTION AND RISK OF THE TENDERING WARRANT HOLDER, AND, EXCEPT AS OTHERWISE PROVIDED IN THESE INSTRUCTIONS, THE DELIVERY WILL BE DEEMED MADE ONLY WHEN ACTUALLY RECEIVED BY THE EXCHANGE AGENT. IF DELIVERY IS BY MAIL, REGISTERED MAIL WITH RETURN RECEIPT REQUESTED - PROPERLY INSURED - IS RECOMMENDED. THE WARRANT HOLDER HAS THE RESPONSIBILITY TO CAUSE THIS LETTER OF TRANSMITTAL AND CONSENT, THE TENDERED WARRANTS, AND ANY OTHER DOCUMENTS TO BE TIMELY DELIVERED. IN ALL CASES, SUFFICIENT TIME SHOULD BE ALLOWED TO ENSURE TIMELY DELIVERY.</w:t>
      </w:r>
    </w:p>
    <w:p>
      <w:pPr>
        <w:spacing w:after="0" w:line="1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Neither the Company nor the Exchange Agent is under any obligation to notify any tendering holder of the Company’s acceptance of tendered warrants.</w:t>
      </w:r>
    </w:p>
    <w:p>
      <w:pPr>
        <w:spacing w:after="0" w:line="192" w:lineRule="exact"/>
        <w:rPr>
          <w:sz w:val="20"/>
          <w:szCs w:val="20"/>
          <w:color w:val="auto"/>
        </w:rPr>
      </w:pPr>
    </w:p>
    <w:p>
      <w:pPr>
        <w:ind w:left="5" w:hanging="5"/>
        <w:spacing w:after="0" w:line="278" w:lineRule="auto"/>
        <w:tabs>
          <w:tab w:leader="none" w:pos="16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Guaranteed Delivery</w:t>
      </w:r>
      <w:r>
        <w:rPr>
          <w:rFonts w:ascii="Times New Roman" w:cs="Times New Roman" w:eastAsia="Times New Roman" w:hAnsi="Times New Roman"/>
          <w:sz w:val="16"/>
          <w:szCs w:val="16"/>
          <w:color w:val="auto"/>
        </w:rPr>
        <w:t>. Warrant holders desiring to tender warrants pursuant to the Offer but whose warrants cannot otherwise be delivered with all other required documents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Exchange Agent prior to the Expiration Date may nevertheless tender warrants, as long as all of the following conditions are satisfied:</w:t>
      </w:r>
    </w:p>
    <w:p>
      <w:pPr>
        <w:spacing w:after="0" w:line="142" w:lineRule="exact"/>
        <w:rPr>
          <w:rFonts w:ascii="Times New Roman" w:cs="Times New Roman" w:eastAsia="Times New Roman" w:hAnsi="Times New Roman"/>
          <w:sz w:val="16"/>
          <w:szCs w:val="16"/>
          <w:color w:val="auto"/>
        </w:rPr>
      </w:pPr>
    </w:p>
    <w:p>
      <w:pPr>
        <w:ind w:left="845" w:hanging="562"/>
        <w:spacing w:after="0"/>
        <w:tabs>
          <w:tab w:leader="none" w:pos="845"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tender must be made by or through an “Eligible Institution” (as defined in Instruction 4);</w:t>
      </w:r>
    </w:p>
    <w:p>
      <w:pPr>
        <w:spacing w:after="0" w:line="38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351" w:name="page352"/>
    <w:bookmarkEnd w:id="351"/>
    <w:p>
      <w:pPr>
        <w:jc w:val="both"/>
        <w:ind w:left="845" w:hanging="562"/>
        <w:spacing w:after="0" w:line="261" w:lineRule="auto"/>
        <w:tabs>
          <w:tab w:leader="none" w:pos="845"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properly completed and duly executed Notice of Guaranteed Delivery in the form provided by the Company to the undersigned with this Letter of Transmittal and Consent (with any required signature guarantees) must be received by the Exchange Agent, at its address set forth in this Letter of Transmittal and Consent, prior to the Expiration Date; and</w:t>
      </w:r>
    </w:p>
    <w:p>
      <w:pPr>
        <w:spacing w:after="0" w:line="155" w:lineRule="exact"/>
        <w:rPr>
          <w:rFonts w:ascii="Times New Roman" w:cs="Times New Roman" w:eastAsia="Times New Roman" w:hAnsi="Times New Roman"/>
          <w:sz w:val="16"/>
          <w:szCs w:val="16"/>
          <w:color w:val="auto"/>
        </w:rPr>
      </w:pPr>
    </w:p>
    <w:p>
      <w:pPr>
        <w:jc w:val="both"/>
        <w:ind w:left="845" w:hanging="562"/>
        <w:spacing w:after="0" w:line="253" w:lineRule="auto"/>
        <w:tabs>
          <w:tab w:leader="none" w:pos="845"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confirmation of a book-entry transfer into the Exchange Agent’s account at DTC of all warrants delivered electronically, in each case, together with a properly completed and duly executed Letter of Transmittal and Consent with any required signature guarantees (or, in the case of a book-entry transfer without delivery of a Letter of Transmittal and Consent, an Agent’s Message), and any other documents required by this Letter of Transmittal and Consent, must be received by the Exchange Agent within two days that the Nasdaq is open for trading after the date the exchange agent receives such Notice of Guaranteed Delivery, all as provided in the Prospectus/Offer to Exchange.</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 warrant holder may deliver the Notice of Guaranteed Delivery by facsimile transmission or mail to the Exchange Agent.</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Except as specifically permitted by the Prospectus/Offer to Exchange, no alternative or contingent exchanges will be accepted.</w:t>
      </w:r>
    </w:p>
    <w:p>
      <w:pPr>
        <w:spacing w:after="0" w:line="192" w:lineRule="exact"/>
        <w:rPr>
          <w:sz w:val="20"/>
          <w:szCs w:val="20"/>
          <w:color w:val="auto"/>
        </w:rPr>
      </w:pPr>
    </w:p>
    <w:p>
      <w:pPr>
        <w:jc w:val="both"/>
        <w:ind w:left="5" w:right="20" w:hanging="5"/>
        <w:spacing w:after="0" w:line="262" w:lineRule="auto"/>
        <w:tabs>
          <w:tab w:leader="none" w:pos="175"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Signatures on Letter of Transmittal and Consent and Other Documents</w:t>
      </w:r>
      <w:r>
        <w:rPr>
          <w:rFonts w:ascii="Times New Roman" w:cs="Times New Roman" w:eastAsia="Times New Roman" w:hAnsi="Times New Roman"/>
          <w:sz w:val="16"/>
          <w:szCs w:val="16"/>
          <w:color w:val="auto"/>
        </w:rPr>
        <w:t>. For purposes of the tender and consent procedures set forth in this Letter of Transmittal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Consent, the term “registered holder” means any person in whose name warrants are registered on the books of the Company or who is listed as a participant in a clearing agency’s security position listing with respect to the warrants.</w:t>
      </w:r>
    </w:p>
    <w:p>
      <w:pPr>
        <w:spacing w:after="0" w:line="156"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If this Letter of Transmittal and Consent is signed by a trustee, executor, administrator, guardian, attorney-in-fact, officer of a corporation, or others acting in a fiduciary or representative capacity, such person must so indicate when signing and, unless waived by the Company, must submit to the Exchange Agent proper evidence satisfactory to the Company of the authority so to act.</w:t>
      </w:r>
    </w:p>
    <w:p>
      <w:pPr>
        <w:spacing w:after="0" w:line="154" w:lineRule="exact"/>
        <w:rPr>
          <w:sz w:val="20"/>
          <w:szCs w:val="20"/>
          <w:color w:val="auto"/>
        </w:rPr>
      </w:pPr>
    </w:p>
    <w:p>
      <w:pPr>
        <w:ind w:left="165" w:hanging="165"/>
        <w:spacing w:after="0"/>
        <w:tabs>
          <w:tab w:leader="none" w:pos="165"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Guarantee of Signatures</w:t>
      </w:r>
      <w:r>
        <w:rPr>
          <w:rFonts w:ascii="Times New Roman" w:cs="Times New Roman" w:eastAsia="Times New Roman" w:hAnsi="Times New Roman"/>
          <w:sz w:val="16"/>
          <w:szCs w:val="16"/>
          <w:color w:val="auto"/>
        </w:rPr>
        <w:t>. No signature guarantee is required if:</w:t>
      </w:r>
    </w:p>
    <w:p>
      <w:pPr>
        <w:spacing w:after="0" w:line="196" w:lineRule="exact"/>
        <w:rPr>
          <w:rFonts w:ascii="Times New Roman" w:cs="Times New Roman" w:eastAsia="Times New Roman" w:hAnsi="Times New Roman"/>
          <w:sz w:val="16"/>
          <w:szCs w:val="16"/>
          <w:color w:val="auto"/>
        </w:rPr>
      </w:pPr>
    </w:p>
    <w:p>
      <w:pPr>
        <w:ind w:left="845" w:hanging="562"/>
        <w:spacing w:after="0" w:line="275" w:lineRule="auto"/>
        <w:tabs>
          <w:tab w:leader="none" w:pos="84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of Transmittal and Consent is signed by the registered holder of the warrants and such holder has not completed the box entitled “Special Issuance Instructions;” or</w:t>
      </w:r>
    </w:p>
    <w:p>
      <w:pPr>
        <w:spacing w:after="0" w:line="145" w:lineRule="exact"/>
        <w:rPr>
          <w:rFonts w:ascii="Times New Roman" w:cs="Times New Roman" w:eastAsia="Times New Roman" w:hAnsi="Times New Roman"/>
          <w:sz w:val="16"/>
          <w:szCs w:val="16"/>
          <w:color w:val="auto"/>
        </w:rPr>
      </w:pPr>
    </w:p>
    <w:p>
      <w:pPr>
        <w:jc w:val="both"/>
        <w:ind w:left="845" w:hanging="562"/>
        <w:spacing w:after="0" w:line="261" w:lineRule="auto"/>
        <w:tabs>
          <w:tab w:leader="none" w:pos="84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warrants are tendered for the account of an “Eligible Institution.”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w:t>
      </w:r>
    </w:p>
    <w:p>
      <w:pPr>
        <w:spacing w:after="0" w:line="154" w:lineRule="exact"/>
        <w:rPr>
          <w:sz w:val="20"/>
          <w:szCs w:val="20"/>
          <w:color w:val="auto"/>
        </w:rPr>
      </w:pPr>
    </w:p>
    <w:p>
      <w:pPr>
        <w:ind w:left="5" w:right="20"/>
        <w:spacing w:after="0" w:line="278" w:lineRule="auto"/>
        <w:rPr>
          <w:sz w:val="20"/>
          <w:szCs w:val="20"/>
          <w:color w:val="auto"/>
        </w:rPr>
      </w:pPr>
      <w:r>
        <w:rPr>
          <w:rFonts w:ascii="Times New Roman" w:cs="Times New Roman" w:eastAsia="Times New Roman" w:hAnsi="Times New Roman"/>
          <w:sz w:val="16"/>
          <w:szCs w:val="16"/>
          <w:b w:val="1"/>
          <w:bCs w:val="1"/>
          <w:color w:val="auto"/>
        </w:rPr>
        <w:t>IN ALL OTHER CASES, AN ELIGIBLE INSTITUTION MUST GUARANTEE ALL SIGNATURES ON THIS LETTER OF TRANSMITTAL AND CONSENT BY COMPLETING AND SIGNING THE TABLE ENTITLED “GUARANTEE OF SIGNATURE(S)” ABOVE.</w:t>
      </w:r>
    </w:p>
    <w:p>
      <w:pPr>
        <w:spacing w:after="0" w:line="141" w:lineRule="exact"/>
        <w:rPr>
          <w:sz w:val="20"/>
          <w:szCs w:val="20"/>
          <w:color w:val="auto"/>
        </w:rPr>
      </w:pPr>
    </w:p>
    <w:p>
      <w:pPr>
        <w:ind w:left="5" w:right="20" w:hanging="5"/>
        <w:spacing w:after="0" w:line="278" w:lineRule="auto"/>
        <w:tabs>
          <w:tab w:leader="none" w:pos="16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Warrants Tendered</w:t>
      </w:r>
      <w:r>
        <w:rPr>
          <w:rFonts w:ascii="Times New Roman" w:cs="Times New Roman" w:eastAsia="Times New Roman" w:hAnsi="Times New Roman"/>
          <w:sz w:val="16"/>
          <w:szCs w:val="16"/>
          <w:color w:val="auto"/>
        </w:rPr>
        <w:t>. Any warrant holder who chooses to participate in the Offer and Consent Solicitation may exchange some or all of such holder’s warrants pursuant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terms of the Offer and Consent Solicitation.</w:t>
      </w:r>
    </w:p>
    <w:p>
      <w:pPr>
        <w:spacing w:after="0" w:line="140" w:lineRule="exact"/>
        <w:rPr>
          <w:rFonts w:ascii="Times New Roman" w:cs="Times New Roman" w:eastAsia="Times New Roman" w:hAnsi="Times New Roman"/>
          <w:sz w:val="16"/>
          <w:szCs w:val="16"/>
          <w:color w:val="auto"/>
        </w:rPr>
      </w:pPr>
    </w:p>
    <w:p>
      <w:pPr>
        <w:ind w:left="5" w:right="20" w:hanging="5"/>
        <w:spacing w:after="0" w:line="312" w:lineRule="auto"/>
        <w:tabs>
          <w:tab w:leader="none" w:pos="163"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Inadequate Space</w:t>
      </w:r>
      <w:r>
        <w:rPr>
          <w:rFonts w:ascii="Times New Roman" w:cs="Times New Roman" w:eastAsia="Times New Roman" w:hAnsi="Times New Roman"/>
          <w:sz w:val="15"/>
          <w:szCs w:val="15"/>
          <w:color w:val="auto"/>
        </w:rPr>
        <w:t>. If the space provided under “Description of Warrants Tendered” is inadequate, the name(s) and address(es) of the registered holder(s), number of warrants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being delivered herewith, and number of such warrants tendered hereby should be listed on a separate, signed schedule and attached to this Letter of Transmittal and Consent.</w:t>
      </w:r>
    </w:p>
    <w:p>
      <w:pPr>
        <w:spacing w:after="0" w:line="3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352" w:name="page353"/>
    <w:bookmarkEnd w:id="352"/>
    <w:p>
      <w:pPr>
        <w:jc w:val="both"/>
        <w:ind w:left="5" w:hanging="5"/>
        <w:spacing w:after="0" w:line="262" w:lineRule="auto"/>
        <w:tabs>
          <w:tab w:leader="none" w:pos="16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The Company will pay all transfer taxes, if any, applicable to the transfer of warrants to the Company in the Offer and Consent Solicitation. If transfer taxes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imposed for any other reason, the amount of those transfer taxes, whether imposed on the registered holder or any other persons, will be payable by the tendering holder. Other reasons transfer taxes could be imposed include:</w:t>
      </w:r>
    </w:p>
    <w:p>
      <w:pPr>
        <w:spacing w:after="0" w:line="155" w:lineRule="exact"/>
        <w:rPr>
          <w:rFonts w:ascii="Times New Roman" w:cs="Times New Roman" w:eastAsia="Times New Roman" w:hAnsi="Times New Roman"/>
          <w:sz w:val="16"/>
          <w:szCs w:val="16"/>
          <w:color w:val="auto"/>
        </w:rPr>
      </w:pPr>
    </w:p>
    <w:p>
      <w:pPr>
        <w:ind w:left="845" w:hanging="562"/>
        <w:spacing w:after="0"/>
        <w:tabs>
          <w:tab w:leader="none" w:pos="845"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Class A Common Stock is to be registered or issued in the name of any person other than the person signing this Letter of Transmittal and Consent; or</w:t>
      </w:r>
    </w:p>
    <w:p>
      <w:pPr>
        <w:spacing w:after="0" w:line="194" w:lineRule="exact"/>
        <w:rPr>
          <w:rFonts w:ascii="Times New Roman" w:cs="Times New Roman" w:eastAsia="Times New Roman" w:hAnsi="Times New Roman"/>
          <w:sz w:val="16"/>
          <w:szCs w:val="16"/>
          <w:color w:val="auto"/>
        </w:rPr>
      </w:pPr>
    </w:p>
    <w:p>
      <w:pPr>
        <w:ind w:left="845" w:hanging="562"/>
        <w:spacing w:after="0"/>
        <w:tabs>
          <w:tab w:leader="none" w:pos="845"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tendered warrants are registered in the name of any person other than the person signing this Letter of Transmittal and Consent.</w:t>
      </w:r>
    </w:p>
    <w:p>
      <w:pPr>
        <w:spacing w:after="0" w:line="194" w:lineRule="exact"/>
        <w:rPr>
          <w:sz w:val="20"/>
          <w:szCs w:val="20"/>
          <w:color w:val="auto"/>
        </w:rPr>
      </w:pPr>
    </w:p>
    <w:p>
      <w:pPr>
        <w:ind w:left="5" w:right="20"/>
        <w:spacing w:after="0" w:line="275" w:lineRule="auto"/>
        <w:rPr>
          <w:sz w:val="20"/>
          <w:szCs w:val="20"/>
          <w:color w:val="auto"/>
        </w:rPr>
      </w:pPr>
      <w:r>
        <w:rPr>
          <w:rFonts w:ascii="Times New Roman" w:cs="Times New Roman" w:eastAsia="Times New Roman" w:hAnsi="Times New Roman"/>
          <w:sz w:val="16"/>
          <w:szCs w:val="16"/>
          <w:color w:val="auto"/>
        </w:rPr>
        <w:t>If satisfactory evidence of payment of or exemption from those transfer taxes is not submitted with this Letter of Transmittal and Consent, the amount of those transfer taxes will be billed directly to the tendering holder and/or withheld from any payment due with respect to the warrants tendered by such holder.</w:t>
      </w:r>
    </w:p>
    <w:p>
      <w:pPr>
        <w:spacing w:after="0" w:line="143" w:lineRule="exact"/>
        <w:rPr>
          <w:sz w:val="20"/>
          <w:szCs w:val="20"/>
          <w:color w:val="auto"/>
        </w:rPr>
      </w:pPr>
    </w:p>
    <w:p>
      <w:pPr>
        <w:jc w:val="both"/>
        <w:ind w:left="5" w:hanging="5"/>
        <w:spacing w:after="0" w:line="249" w:lineRule="auto"/>
        <w:tabs>
          <w:tab w:leader="none" w:pos="16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Validity of Tenders</w:t>
      </w:r>
      <w:r>
        <w:rPr>
          <w:rFonts w:ascii="Times New Roman" w:cs="Times New Roman" w:eastAsia="Times New Roman" w:hAnsi="Times New Roman"/>
          <w:sz w:val="16"/>
          <w:szCs w:val="16"/>
          <w:color w:val="auto"/>
        </w:rPr>
        <w:t>. All questions as to the number of warrants to be accepted, and the validity, form, eligibility (including time of receipt), and acceptance of any tender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warrants will be determined by the Company in its reasonable discretion, which determinations shall be final and binding on all parties. The Company reserves the absolute right to reject any or all tenders of warrants it determines not to be in proper form or to reject those warrants, the acceptance of which may, in the opinion of the Company’s counsel, be unlawful. The Company also reserves the absolute right to waive any defect or irregularity in the tender of any particular warrants, whether or not similar defects or irregularities are waived in the case of other tendered warrants. The Company’s interpretation of the terms and conditions of the Offer and Consent Solicitation (including this Letter of Transmittal and Consent and the instructions hereto) will be final and binding on all parties. Unless waived, any defects or irregularities in connection with tenders of warrants must be cured within such time as the Company shall determine. None of the Company, the Exchange Agent, the information agent, the dealer manager, or any other person is or will be obligated to give notice of any defects or irregularities in tenders of warrants, and none of them will incur any liability for failure to give any such notice. Tenders of warrants will not be deemed to have been validly made until all defects and irregularities have been cured or waived. Any warrants received by the Exchange Agent that are not validly tendered and as to which the defects or irregularities have not been cured or waived will be returned by the Exchange Agent to the holders, unless otherwise provided in this Letter of Transmittal and Consent, as soon as practicable following the Expiration Date. Warrant holders who have any questions about the procedure for tendering warrants in the Offer and Consent Solicitation should contact the information agent at the address and telephone number indicated herein. Warrants properly tendered and not validly withdrawn that are accepted for exchange constitute the holder’s validly delivered consent to the Warrant Amendment.</w:t>
      </w:r>
    </w:p>
    <w:p>
      <w:pPr>
        <w:spacing w:after="0" w:line="164" w:lineRule="exact"/>
        <w:rPr>
          <w:rFonts w:ascii="Times New Roman" w:cs="Times New Roman" w:eastAsia="Times New Roman" w:hAnsi="Times New Roman"/>
          <w:sz w:val="16"/>
          <w:szCs w:val="16"/>
          <w:color w:val="auto"/>
        </w:rPr>
      </w:pPr>
    </w:p>
    <w:p>
      <w:pPr>
        <w:ind w:left="5" w:right="20" w:hanging="5"/>
        <w:spacing w:after="0" w:line="278" w:lineRule="auto"/>
        <w:tabs>
          <w:tab w:leader="none" w:pos="16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Waiver of Conditions</w:t>
      </w:r>
      <w:r>
        <w:rPr>
          <w:rFonts w:ascii="Times New Roman" w:cs="Times New Roman" w:eastAsia="Times New Roman" w:hAnsi="Times New Roman"/>
          <w:sz w:val="16"/>
          <w:szCs w:val="16"/>
          <w:color w:val="auto"/>
        </w:rPr>
        <w:t>. The Company reserves the absolute right to waive any condition, other than as described in the section of the Prospectus/Offer to Exchange entitled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Offer and Consent Solicitation-General Terms-Conditions to the Offer and Consent Solicitation.”</w:t>
      </w:r>
    </w:p>
    <w:p>
      <w:pPr>
        <w:spacing w:after="0" w:line="140" w:lineRule="exact"/>
        <w:rPr>
          <w:rFonts w:ascii="Times New Roman" w:cs="Times New Roman" w:eastAsia="Times New Roman" w:hAnsi="Times New Roman"/>
          <w:sz w:val="16"/>
          <w:szCs w:val="16"/>
          <w:color w:val="auto"/>
        </w:rPr>
      </w:pPr>
    </w:p>
    <w:p>
      <w:pPr>
        <w:jc w:val="both"/>
        <w:ind w:left="5" w:hanging="5"/>
        <w:spacing w:after="0" w:line="249" w:lineRule="auto"/>
        <w:tabs>
          <w:tab w:leader="none" w:pos="25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Withdrawal</w:t>
      </w:r>
      <w:r>
        <w:rPr>
          <w:rFonts w:ascii="Times New Roman" w:cs="Times New Roman" w:eastAsia="Times New Roman" w:hAnsi="Times New Roman"/>
          <w:sz w:val="16"/>
          <w:szCs w:val="16"/>
          <w:color w:val="auto"/>
        </w:rPr>
        <w:t>. Tenders of warrants may be withdrawn only pursuant to the procedures and subject to the terms set forth in the section of the Prospectus/Offer to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entitled “The Offer and Consent Solicitation-Withdrawal Rights.” Warrant holders can withdraw tendered warrants at any time prior to the Expiration Date, and warrants that the Company has not accepted for exchange by December 16, 2022 may thereafter be withdrawn at any time after such date until such warrants are accepted by the Company for exchange pursuant to the Offer and Consent Solicitation. Except as otherwise provided in the Prospectus/Offer to Exchange, in order for the withdrawal of warrants to be effective, a written notice of withdrawal satisfying the applicable requirements for withdrawal set forth in the section of the Prospectus/Offer to Exchange entitled “The Offer and Consent Solicitation-Withdrawal Rights” must be timely received from the holder by the exchange agent at its address stated herein, together with any other information required as described in such section of the Prospectus/Offer to Exchange. All questions as to the form and validity (including time of receipt) of any notice of withdrawal will be determined by the Company, in its reasonable discretion, and its determination shall be final and binding. None of the Company, the Exchange Agent, the information agent, the dealer manager, or any other person is under any duty to give notification of any defect or irregularity in any notice of withdrawal or will incur any liability for failure to give any such notification. Any warrants properly withdrawn will be deemed not to have been validly tendered for purposes of the Offer and Consent Solicitation. However, at any time prior to the Expiration Date, a warrant holder may re-tender withdrawn warrants by following the applicable procedures discussed in the Prospectus/Offer to Exchange and this Letter of Transmittal and Consent. Consents may be revoked only by withdrawing the related warrants, and the withdrawal of any warrants will automatically constitute a revocation of the related consents.</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353" w:name="page354"/>
    <w:bookmarkEnd w:id="353"/>
    <w:p>
      <w:pPr>
        <w:jc w:val="both"/>
        <w:ind w:left="5" w:hanging="5"/>
        <w:spacing w:after="0" w:line="251" w:lineRule="auto"/>
        <w:tabs>
          <w:tab w:leader="none" w:pos="236"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IRS Form W-9 or IRS Form W-8</w:t>
      </w:r>
      <w:r>
        <w:rPr>
          <w:rFonts w:ascii="Times New Roman" w:cs="Times New Roman" w:eastAsia="Times New Roman" w:hAnsi="Times New Roman"/>
          <w:sz w:val="16"/>
          <w:szCs w:val="16"/>
          <w:color w:val="auto"/>
        </w:rPr>
        <w:t>. Failure to provide a properly completed and signed IRS Form W-9 or applicable IRS Form W-8 (and any required attachments thereto)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result in U.S. federal backup withholding with respect to any cash paid in lieu of fractional shares and may result in a penalty imposed by the U.S. Internal Revenue Service. If the tendering warrant holder is a U.S. person, complete and sign the accompanying IRS Form W-9 to certify (i) such holder’s tax identification number, generally the holder’s social security or employer identification number and (ii) that such holder is not subject to U.S. federal backup withholding. If the tendering holder is not a U.S. person, complete and sign an applicable IRS Form W-8 (and any required attachments thereto) to certify such holder’s non-U.S. status. The applicable IRS Form W-8 and instructions for completing such form may be obtained at www.irs.gov. Tendering warrant holders should consult their tax advisors regarding the completion of IRS Form W-9 or an applicable IRS Form W-8 and the application of the backup withholding rules.</w:t>
      </w:r>
    </w:p>
    <w:p>
      <w:pPr>
        <w:spacing w:after="0" w:line="165" w:lineRule="exact"/>
        <w:rPr>
          <w:rFonts w:ascii="Times New Roman" w:cs="Times New Roman" w:eastAsia="Times New Roman" w:hAnsi="Times New Roman"/>
          <w:sz w:val="16"/>
          <w:szCs w:val="16"/>
          <w:color w:val="auto"/>
        </w:rPr>
      </w:pPr>
    </w:p>
    <w:p>
      <w:pPr>
        <w:ind w:left="5" w:right="20" w:hanging="5"/>
        <w:spacing w:after="0" w:line="278" w:lineRule="auto"/>
        <w:tabs>
          <w:tab w:leader="none" w:pos="241"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Questions and Requests for Assistance and Additional Copies</w:t>
      </w:r>
      <w:r>
        <w:rPr>
          <w:rFonts w:ascii="Times New Roman" w:cs="Times New Roman" w:eastAsia="Times New Roman" w:hAnsi="Times New Roman"/>
          <w:sz w:val="16"/>
          <w:szCs w:val="16"/>
          <w:color w:val="auto"/>
        </w:rPr>
        <w:t>. Please direct questions or requests for assistance, or additional copies of the Prospectus/Offer to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Letter of Transmittal and Consent, or other materials, in writing to the information agent for the Offer and Consent Solicitation at:</w:t>
      </w:r>
    </w:p>
    <w:p>
      <w:pPr>
        <w:spacing w:after="0" w:line="14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and Consent Solicitation is:</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D.F. King &amp; Co.,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5" w:lineRule="exact"/>
        <w:rPr>
          <w:sz w:val="20"/>
          <w:szCs w:val="20"/>
          <w:color w:val="auto"/>
        </w:rPr>
      </w:pPr>
    </w:p>
    <w:p>
      <w:pPr>
        <w:jc w:val="both"/>
        <w:ind w:left="5" w:right="20"/>
        <w:spacing w:after="0" w:line="254" w:lineRule="auto"/>
        <w:rPr>
          <w:sz w:val="20"/>
          <w:szCs w:val="20"/>
          <w:color w:val="auto"/>
        </w:rPr>
      </w:pPr>
      <w:r>
        <w:rPr>
          <w:rFonts w:ascii="Times New Roman" w:cs="Times New Roman" w:eastAsia="Times New Roman" w:hAnsi="Times New Roman"/>
          <w:sz w:val="16"/>
          <w:szCs w:val="16"/>
          <w:b w:val="1"/>
          <w:bCs w:val="1"/>
          <w:color w:val="auto"/>
        </w:rPr>
        <w:t>IMPORTANT: THIS LETTER OF TRANSMITTAL AND CONSENT, OR THE “AGENT’S MESSAGE” (IF TENDERING PURSUANT TO THE PROCEDURES FOR BOOK-ENTRY TRANSFER WITHOUT EXECUTION AND DELIVERY OF A LETTER OF TRANSMITTAL AND CONSENT), TOGETHER WITH THE TENDERED WARRANTS AND ALL OTHER REQUIRED DOCUMENTS, MUST BE RECEIVED BY THE EXCHANGE AGENT ON OR PRIOR TO 11:59 P.M., EASTERN TIME, ON THE EXPIRATION DATE, UNLESS A NOTICE OF GUARANTEED DELIVERY IS RECEIVED BY THE EXCHANGE AGENT BY SUCH DATE.</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The Exchange Agent for the Offer and Consent Solicitation is:</w:t>
      </w:r>
    </w:p>
    <w:p>
      <w:pPr>
        <w:spacing w:after="0" w:line="1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Continental Stock Transfer &amp; Trust Company</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One State Street, 30th Floor</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New York, NY 10004</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Attention: Corporate Actions Department</w:t>
      </w:r>
    </w:p>
    <w:p>
      <w:pPr>
        <w:spacing w:after="0" w:line="177"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Questions or requests for assistance may be directed to the information agent at the address and telephone number listed below. Additional copies of the Prospectus/Offer to Exchange, this Letter of Transmittal and Consent, and the Notice of Guaranteed Delivery may also be obtained from the information agent. Any warrant holder may also contact its broker, dealer, commercial bank, or trust company for assistance concerning the Offer and Consent Solicitation.</w:t>
      </w:r>
    </w:p>
    <w:p>
      <w:pPr>
        <w:spacing w:after="0" w:line="3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GUARANTEED DELIVERY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the Prospectus/Offer to Exchange, dated November 18,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Instructions for Use</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Unless defined herein, terms used in this notice of guaranteed delivery (this “Notice of Guaranteed Delivery”) shall have the definitions set forth in the prospectus/offer to exchange, dated November 18, 2022 (as amended or supplemented from time to time, the “Prospectus/Offer to Exchange”).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Notice of Guaranteed Delivery, or one substantially in the form hereof, may be used to accept the Offer if:</w:t>
      </w:r>
    </w:p>
    <w:p>
      <w:pPr>
        <w:spacing w:after="0" w:line="194" w:lineRule="exact"/>
        <w:rPr>
          <w:sz w:val="20"/>
          <w:szCs w:val="20"/>
          <w:color w:val="auto"/>
        </w:rPr>
      </w:pPr>
    </w:p>
    <w:p>
      <w:pPr>
        <w:ind w:left="1120" w:hanging="558"/>
        <w:spacing w:after="0"/>
        <w:tabs>
          <w:tab w:leader="none" w:pos="11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 for book-entry transfer cannot be completed on a timely basis; or</w:t>
      </w:r>
    </w:p>
    <w:p>
      <w:pPr>
        <w:spacing w:after="0" w:line="194" w:lineRule="exact"/>
        <w:rPr>
          <w:rFonts w:ascii="Times New Roman" w:cs="Times New Roman" w:eastAsia="Times New Roman" w:hAnsi="Times New Roman"/>
          <w:sz w:val="16"/>
          <w:szCs w:val="16"/>
          <w:color w:val="auto"/>
        </w:rPr>
      </w:pPr>
    </w:p>
    <w:p>
      <w:pPr>
        <w:ind w:left="1120" w:hanging="558"/>
        <w:spacing w:after="0" w:line="275" w:lineRule="auto"/>
        <w:tabs>
          <w:tab w:leader="none" w:pos="11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will not permit all required documents, including a properly completed and duly executed Letter of Transmittal and Consent (as defined below) and any other required documents, to reach Continental Stock Transfer &amp; Trust Company (the “Exchange Agent”) prior to the Expiration Date.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Notice of Guaranteed Delivery, properly completed and duly executed, must be delivered by hand, mail, overnight courier, or facsimile transmission to the Exchange Agent, as described in the section of the Prospectus/Offer to Exchange entitled “The Offer and Consent Solicitation-Procedure for Tendering Warrants for Exchange and Consenting to the Warrant Amendment” The method of delivery of all required documents is at the holder’s option and risk.</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For this Notice of Guaranteed Delivery to be validly delivered, it must be </w:t>
      </w:r>
      <w:r>
        <w:rPr>
          <w:rFonts w:ascii="Times New Roman" w:cs="Times New Roman" w:eastAsia="Times New Roman" w:hAnsi="Times New Roman"/>
          <w:sz w:val="16"/>
          <w:szCs w:val="16"/>
          <w:b w:val="1"/>
          <w:bCs w:val="1"/>
          <w:i w:val="1"/>
          <w:iCs w:val="1"/>
          <w:color w:val="auto"/>
        </w:rPr>
        <w:t>received</w:t>
      </w:r>
      <w:r>
        <w:rPr>
          <w:rFonts w:ascii="Times New Roman" w:cs="Times New Roman" w:eastAsia="Times New Roman" w:hAnsi="Times New Roman"/>
          <w:sz w:val="16"/>
          <w:szCs w:val="16"/>
          <w:color w:val="auto"/>
        </w:rPr>
        <w:t xml:space="preserve"> by the Exchange Agent at the address below before the Expiration Date. Delivery of this notice to another address will not constitute a valid delivery. Delivery to OPAL Fuels Inc. (the “Company”), the information agent, or the book-entry transfer facility will not be forwarded to the Exchange Agent and will not constitute a valid delivery.</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holder’s signature on this Notice of Guaranteed Delivery must be guaranteed by an “Eligible Institution,” and the Eligible Institution must also execute the Guarantee of Delivery attached hereto.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w:t>
      </w:r>
    </w:p>
    <w:p>
      <w:pPr>
        <w:spacing w:after="0" w:line="1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In addition, if the instructions to the Letter of Transmittal and Consent require a signature on a Letter of Transmittal and Consent to be guaranteed by an Eligible Institution, such signature guarantee must appear in the applicable space provided in the signature box on the Letter of Transmittal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7149465"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16"/>
          <w:szCs w:val="16"/>
          <w:b w:val="1"/>
          <w:bCs w:val="1"/>
          <w:color w:val="auto"/>
        </w:rPr>
        <w:t>NOTICE OF GUARANTEED DELIVERY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the Prospectus/Offer to Exchange, dated November 18,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w:t>
      </w:r>
      <w:r>
        <w:rPr>
          <w:rFonts w:ascii="Times New Roman" w:cs="Times New Roman" w:eastAsia="Times New Roman" w:hAnsi="Times New Roman"/>
          <w:sz w:val="16"/>
          <w:szCs w:val="16"/>
          <w:b w:val="1"/>
          <w:bCs w:val="1"/>
          <w:color w:val="auto"/>
        </w:rPr>
        <w:t>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178562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1785620" cy="1524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State Street Plaza, 30th Floor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10004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Corporate Actions Department</w:t>
      </w:r>
    </w:p>
    <w:p>
      <w:pPr>
        <w:spacing w:after="0" w:line="17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undersigned acknowledges receipt of the prospectus/offer to exchange, dated November 18, 2022 (the “Prospectus/Offer to Exchange”), and the related letter of transmittal and consent (as it may be amended and supplemented from time to time, the “Letter of Transmittal and Consent”).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By signing this Notice of Guaranteed Delivery, the holder tenders for exchange, upon the terms and subject to the conditions described in the Prospectus/Offer to Exchange and in the Letter of Transmittal and Consent, the number of warrants specified below, and provides consent to the Warrant Amendment (as defined in the Prospectus/Offer to Exchange), pursuant to the guaranteed delivery procedures described in the section of the Prospectus/Offer to Exchange entitled “The Offer and Consent Solicitation-Procedure for Tendering Warrants for Exchange and Consenting to the Warrant Amendment.”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812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 OF WARRANTS TENDERED</w:t>
            </w:r>
          </w:p>
        </w:tc>
      </w:tr>
      <w:tr>
        <w:trPr>
          <w:trHeight w:val="378"/>
        </w:trPr>
        <w:tc>
          <w:tcPr>
            <w:tcW w:w="11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List below the warrants to which this Notice of Guaranteed Delivery relates.</w:t>
            </w:r>
          </w:p>
        </w:tc>
      </w:tr>
      <w:tr>
        <w:trPr>
          <w:trHeight w:val="35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Name(s) and Address(es) of</w:t>
            </w: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11"/>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Registered Holder(s) of Warrants</w:t>
            </w:r>
          </w:p>
        </w:tc>
        <w:tc>
          <w:tcPr>
            <w:tcW w:w="2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 of Warrants Tendered</w:t>
            </w:r>
          </w:p>
        </w:tc>
      </w:tr>
    </w:tbl>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Unless otherwise indicated above, it will be assumed that all warrants listed above are being tendered pursuant to this Notice of Guaranteed Delivery.</w:t>
      </w:r>
    </w:p>
    <w:p>
      <w:pPr>
        <w:spacing w:after="0" w:line="218" w:lineRule="exact"/>
        <w:rPr>
          <w:sz w:val="20"/>
          <w:szCs w:val="20"/>
          <w:color w:val="auto"/>
        </w:rPr>
      </w:pPr>
    </w:p>
    <w:p>
      <w:pPr>
        <w:jc w:val="both"/>
        <w:ind w:left="560" w:right="20" w:hanging="282"/>
        <w:spacing w:after="0" w:line="261" w:lineRule="auto"/>
        <w:tabs>
          <w:tab w:leader="none" w:pos="560" w:val="left"/>
        </w:tabs>
        <w:numPr>
          <w:ilvl w:val="0"/>
          <w:numId w:val="2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HERE IF THE WARRANTS LISTED ABOVE WILL BE DELIVERED BY BOOK-ENTRY TRANSFER MADE TO THE ACCOUNT MAINTAINED BY THE EXCHANGE AGENT WITH THE DEPOSITORY TRUST COMPANY (“DTC”) AND COMPLETE THE FOLLOWING (FOR USE BY ELIGIBLE INSTITUTIONS ONLY):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Tendering Institution: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Number: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56" w:name="page357"/>
    <w:bookmarkEnd w:id="356"/>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of Warrant 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Name(s) of Warrant Holder(s) (Please Print)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 Code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Number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92"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6"/>
          <w:szCs w:val="16"/>
          <w:b w:val="1"/>
          <w:bCs w:val="1"/>
          <w:color w:val="auto"/>
        </w:rPr>
        <w:t>GUARANTEE OF SIGNATURES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(Please Print)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right="4739"/>
        <w:spacing w:after="0" w:line="275" w:lineRule="auto"/>
        <w:rPr>
          <w:sz w:val="20"/>
          <w:szCs w:val="20"/>
          <w:color w:val="auto"/>
        </w:rPr>
      </w:pPr>
      <w:r>
        <w:rPr>
          <w:rFonts w:ascii="Times New Roman" w:cs="Times New Roman" w:eastAsia="Times New Roman" w:hAnsi="Times New Roman"/>
          <w:sz w:val="16"/>
          <w:szCs w:val="16"/>
          <w:color w:val="auto"/>
        </w:rPr>
        <w:t>Name of Firm (must be an Eligible Institution as defined in this Notice of Guaranteed Delivery)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 Code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Number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357" w:name="page358"/>
    <w:bookmarkEnd w:id="357"/>
    <w:p>
      <w:pPr>
        <w:jc w:val="center"/>
        <w:spacing w:after="0"/>
        <w:rPr>
          <w:sz w:val="20"/>
          <w:szCs w:val="20"/>
          <w:color w:val="auto"/>
        </w:rPr>
      </w:pPr>
      <w:r>
        <w:rPr>
          <w:rFonts w:ascii="Times New Roman" w:cs="Times New Roman" w:eastAsia="Times New Roman" w:hAnsi="Times New Roman"/>
          <w:sz w:val="16"/>
          <w:szCs w:val="16"/>
          <w:b w:val="1"/>
          <w:bCs w:val="1"/>
          <w:color w:val="auto"/>
        </w:rPr>
        <w:t>GUARANTEE OF DELIVERY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to be used for Signature Guarantee)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undersigned,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 (each of the foregoing constituting an “Eligible Institution”), guarantees delivery to the Exchange Agent of the warrants tendered and consents given, in proper form for transfer, or a confirmation that the warrants tendered have been delivered pursuant to the procedure for book-entry transfer described in the Prospectus/Offer to Exchange and the Letter of Transmittal and Consent into the Exchange Agent’s account at the book-entry transfer facility, in each case together with a properly completed and duly executed Letter(s) of Transmittal and Consent, or an Agent’s Message (as defined in the Prospectus/Offer to Exchange) in the case of a book-entry transfer, and any other required documents, all within two trading days on The Nasdaq Global Market after the date of receipt by the Exchange Agent of this Notice of Guaranteed Delivery.</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Eligible Institution that completes this form must communicate the guarantee to the Exchange Agent and must deliver the Letter of Transmittal and Consent to the Exchange Agent, or confirmation of receipt of the warrants pursuant to the procedure for book-entry transfer and an Agent’s Message, within the time set forth above. Failure to do so could result in a financial loss to such Eligible Institution.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Signature Name (Please Print)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Zip Code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Number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9"/>
          <w:szCs w:val="19"/>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LETTER TO BROKERS, DEALERS,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COMMERCIAL BANKS, TRUST COMPANIES, AND OTHER NOMINEES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Offer to Exchange Warrants to Acquire Shares of Class A Common Stock</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Solicitation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THE OFFER AND CONSENT SOLICITATION (EACH AS DEFINED BELOW) AND WITHDRAWAL RIGHTS WILL EXPIRE AT 11:59 P.M., EASTERN TIME, ON DECEMBER 16, 2022, OR SUCH LATER TIME AND DATE TO WHICH THE COMPANY MAY EXTEND THE OFFER. WARRANTS (AS DEFINED BELOW) TENDERED PURSUANT TO THE OFFER AND CONSENT SOLICITATION MAY BE WITHDRAWN PRIOR TO THE EXPIRATION DATE (AS DEFINED BELOW). CONSENTS MAY BE REVOKED ONLY BY WITHDRAWING THE TENDER OF THE RELATED WARRANTS AND THE WITHDRAWAL OF ANY WARRANTS WILL AUTOMATICALLY CONSTITUTE A REVOCATION OF THE RELATED CONSENTS.</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November 18,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Brokers, Dealers, Commercial Banks, Trust Companies, and Other Nominees:</w:t>
      </w:r>
    </w:p>
    <w:p>
      <w:pPr>
        <w:spacing w:after="0" w:line="196"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6"/>
          <w:szCs w:val="16"/>
          <w:color w:val="auto"/>
        </w:rPr>
        <w:t>Enclosed are the prospectus/offer to exchange, dated November 18, 2022 (as it may be amended and supplemented from time to time, the “Prospectus/Offer to Exchange”), and the related letter of transmittal and consent (as it may be amended and supplemented from time to time, the “Letter of Transmittal and Consent”), which together set forth the offer of OPAL Fuels Inc., Delaware corporation (the “Company”), to each holder of the Company’s warrants to purchase shares of the Company’s Class A common stock, par value $0.0001 per share (“Class A Common Stock”), to receive 0.250 shares of Class A Common Stock in exchange for each warrant tendered by the holder and exchanged pursuant to the offer (the “Offer”). The Offer is made solely upon the terms and conditions in the Prospectus/Offer to Exchange and in the Letter of Transmittal and Consent. The Offer will be open until 11:59 p.m., Eastern Time, on December 16, 2022, or such later time and date to which the Company may extend the Offer. The period during which the Offer is open, giving effect to any withdrawal or extension, is referred to as the “Offer Period.” The date and time at which the Offer Period ends is referred to as the “Expiration Date.”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Offer is being made to all holders of:</w:t>
      </w:r>
    </w:p>
    <w:p>
      <w:pPr>
        <w:spacing w:after="0" w:line="194" w:lineRule="exact"/>
        <w:rPr>
          <w:sz w:val="20"/>
          <w:szCs w:val="20"/>
          <w:color w:val="auto"/>
        </w:rPr>
      </w:pPr>
    </w:p>
    <w:p>
      <w:pPr>
        <w:jc w:val="both"/>
        <w:ind w:left="1120" w:hanging="275"/>
        <w:spacing w:after="0" w:line="256" w:lineRule="auto"/>
        <w:tabs>
          <w:tab w:leader="none" w:pos="112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that were (i) sold in connection with the initial public offering of ArcLight Clean Transition Corp. II, a Cayman Islands exempted company and the Company’s predecessor (“Arclight”) (the “IPO”) (whether they were purchased in the IPO or thereafter in the open market) or (ii) initially issued as private placement warrants to certain parties in connection with the IPO that have been transferred to any person other than permitted transferees (collectively, the “public warrants”); and</w:t>
      </w:r>
    </w:p>
    <w:p>
      <w:pPr>
        <w:spacing w:after="0" w:line="160" w:lineRule="exact"/>
        <w:rPr>
          <w:rFonts w:ascii="Times New Roman" w:cs="Times New Roman" w:eastAsia="Times New Roman" w:hAnsi="Times New Roman"/>
          <w:sz w:val="16"/>
          <w:szCs w:val="16"/>
          <w:color w:val="auto"/>
        </w:rPr>
      </w:pPr>
    </w:p>
    <w:p>
      <w:pPr>
        <w:ind w:left="1120" w:right="20" w:hanging="275"/>
        <w:spacing w:after="0" w:line="310" w:lineRule="auto"/>
        <w:tabs>
          <w:tab w:leader="none" w:pos="112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warrants that were issued to certain parties in a private placement in connection with the closing of the IPO that have not become public warrants as a result of being transferred to any person other than permitted transferees (the “private placement warrants” and, together with the public warrants, the “warrants”).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6"/>
          <w:szCs w:val="16"/>
          <w:color w:val="auto"/>
        </w:rPr>
        <w:t>Each warrant entitles the holder to purchase one share of Class A Common Stock at a price of $11.50 per share, subject to adjustment. The public warrants are quoted on The Nasdaq Capital Market (the “Nasdaq”) under the symbol “OPALW.” As of November 16, 2022, 6,223,233 public warrants and 9,223,261 private placement warrants were outstanding. Pursuant to the Offer, the Company is offering up to an aggregate of 3,861,623 shares of Class A Common Stock in exchange for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364490</wp:posOffset>
            </wp:positionV>
            <wp:extent cx="714946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59" w:name="page360"/>
    <w:bookmarkEnd w:id="359"/>
    <w:p>
      <w:pPr>
        <w:jc w:val="both"/>
        <w:ind w:right="20" w:firstLine="567"/>
        <w:spacing w:after="0" w:line="275" w:lineRule="auto"/>
        <w:rPr>
          <w:sz w:val="20"/>
          <w:szCs w:val="20"/>
          <w:color w:val="auto"/>
        </w:rPr>
      </w:pPr>
      <w:r>
        <w:rPr>
          <w:rFonts w:ascii="Times New Roman" w:cs="Times New Roman" w:eastAsia="Times New Roman" w:hAnsi="Times New Roman"/>
          <w:sz w:val="16"/>
          <w:szCs w:val="16"/>
          <w:color w:val="auto"/>
        </w:rPr>
        <w:t>Each holder whose warrants are exchanged pursuant to the Offer will receive 0.250 shares of Class A Common Stock for each warrant tendered by such holder and exchanged. Any warrant holder that participates in the Offer may tender less than all of its warrants for exchange.</w:t>
      </w:r>
    </w:p>
    <w:p>
      <w:pPr>
        <w:spacing w:after="0" w:line="145" w:lineRule="exact"/>
        <w:rPr>
          <w:sz w:val="20"/>
          <w:szCs w:val="20"/>
          <w:color w:val="auto"/>
        </w:rPr>
      </w:pPr>
    </w:p>
    <w:p>
      <w:pPr>
        <w:jc w:val="both"/>
        <w:ind w:right="20" w:firstLine="567"/>
        <w:spacing w:after="0" w:line="256" w:lineRule="auto"/>
        <w:rPr>
          <w:sz w:val="20"/>
          <w:szCs w:val="20"/>
          <w:color w:val="auto"/>
        </w:rPr>
      </w:pPr>
      <w:r>
        <w:rPr>
          <w:rFonts w:ascii="Times New Roman" w:cs="Times New Roman" w:eastAsia="Times New Roman" w:hAnsi="Times New Roman"/>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Class A Common Stock on the Nasdaq on the last trading day of the Offer Period, less any applicable withholding taxes. The Company’s obligation to complete the offer is not conditioned on the receipt of a minimum number of tendered public warrants.</w:t>
      </w:r>
    </w:p>
    <w:p>
      <w:pPr>
        <w:spacing w:after="0" w:line="160" w:lineRule="exact"/>
        <w:rPr>
          <w:sz w:val="20"/>
          <w:szCs w:val="20"/>
          <w:color w:val="auto"/>
        </w:rPr>
      </w:pPr>
    </w:p>
    <w:p>
      <w:pPr>
        <w:jc w:val="both"/>
        <w:ind w:right="20" w:firstLine="567"/>
        <w:spacing w:after="0" w:line="256" w:lineRule="auto"/>
        <w:rPr>
          <w:sz w:val="20"/>
          <w:szCs w:val="20"/>
          <w:color w:val="auto"/>
        </w:rPr>
      </w:pPr>
      <w:r>
        <w:rPr>
          <w:rFonts w:ascii="Times New Roman" w:cs="Times New Roman" w:eastAsia="Times New Roman" w:hAnsi="Times New Roman"/>
          <w:sz w:val="16"/>
          <w:szCs w:val="16"/>
          <w:color w:val="auto"/>
        </w:rPr>
        <w:t>Concurrently with the Offer, the Company is also soliciting consents (the “Consent Solicitation”) from holders of the warrants to amend (the “Warrant Amendment”) that certain Warrant Agreement, dated as of March 25, 2021, by and between the Company (as successor to ArcLight) and Continental Stock Transfer &amp; Trust Company, as warrant agent (the “Warrant Agreement”), to permit the Company to require that each warrant that is outstanding upon the closing of the Offer be exchanged for 0.225 shares of Class A Common Stock, which is a ratio 10% less than the exchange ratio applicable to the Offer.</w:t>
      </w:r>
    </w:p>
    <w:p>
      <w:pPr>
        <w:spacing w:after="0" w:line="160" w:lineRule="exact"/>
        <w:rPr>
          <w:sz w:val="20"/>
          <w:szCs w:val="20"/>
          <w:color w:val="auto"/>
        </w:rPr>
      </w:pPr>
    </w:p>
    <w:p>
      <w:pPr>
        <w:jc w:val="both"/>
        <w:ind w:right="20" w:firstLine="567"/>
        <w:spacing w:after="0" w:line="275" w:lineRule="auto"/>
        <w:rPr>
          <w:sz w:val="20"/>
          <w:szCs w:val="20"/>
          <w:color w:val="auto"/>
        </w:rPr>
      </w:pPr>
      <w:r>
        <w:rPr>
          <w:rFonts w:ascii="Times New Roman" w:cs="Times New Roman" w:eastAsia="Times New Roman" w:hAnsi="Times New Roman"/>
          <w:sz w:val="16"/>
          <w:szCs w:val="16"/>
          <w:color w:val="auto"/>
        </w:rPr>
        <w:t>Pursuant to the terms of the Warrant Agreement, the proposed Warrant Amendment requires the vote or written consent of holders of at least 65% of each of the outstanding public warrants and the outstanding private placement warrants.</w:t>
      </w:r>
    </w:p>
    <w:p>
      <w:pPr>
        <w:spacing w:after="0" w:line="14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6"/>
          <w:szCs w:val="16"/>
          <w:color w:val="auto"/>
        </w:rPr>
        <w:t>Parties representing approximately 53.30% of the outstanding public warrants and 100% of the outstanding private placement warrants have agreed to tender their public warrants and private placement warrants (as applicable) in the Offer and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described on the Offer and Consent Solicitation are satisfied or waived, then the Warrant Amendment will be adopted.</w:t>
      </w:r>
    </w:p>
    <w:p>
      <w:pPr>
        <w:spacing w:after="0" w:line="160" w:lineRule="exact"/>
        <w:rPr>
          <w:sz w:val="20"/>
          <w:szCs w:val="20"/>
          <w:color w:val="auto"/>
        </w:rPr>
      </w:pPr>
    </w:p>
    <w:p>
      <w:pPr>
        <w:jc w:val="both"/>
        <w:ind w:right="20" w:firstLine="567"/>
        <w:spacing w:after="0" w:line="256" w:lineRule="auto"/>
        <w:rPr>
          <w:sz w:val="20"/>
          <w:szCs w:val="20"/>
          <w:color w:val="auto"/>
        </w:rPr>
      </w:pPr>
      <w:r>
        <w:rPr>
          <w:rFonts w:ascii="Times New Roman" w:cs="Times New Roman" w:eastAsia="Times New Roman" w:hAnsi="Times New Roman"/>
          <w:sz w:val="16"/>
          <w:szCs w:val="16"/>
          <w:color w:val="auto"/>
        </w:rPr>
        <w:t>Holders of warrants may not consent to the Warrant Amendment without tendering warrants in the Offer and holders may not tender such warrants without consenting to the Warrant Amendment. The consent to the Warrant Amendment is a part of this Letter of Transmittal and Consent relating to the warrants and, therefore, by tendering warrants for exchange, holders will be delivering to us their consent to the Warrant Amendment. Warrant holders may revoke consent at any time prior to the Expiration Date by withdrawing the warrants holders have tendered in the Offer.</w:t>
      </w:r>
    </w:p>
    <w:p>
      <w:pPr>
        <w:spacing w:after="0" w:line="160"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6"/>
          <w:szCs w:val="16"/>
          <w:color w:val="auto"/>
        </w:rPr>
        <w:t>Warrants not exchanged for shares of our Class A Common Stock pursuant to the Offer will remain outstanding subject to their current terms, or amended terms if the Warrant Amendment is approved. If the Warrant Amendment is approved, the Company intends to require the exchange of all outstanding warrants for shares of Class A Common Stock as provided in the Warrant Amendment.</w:t>
      </w:r>
    </w:p>
    <w:p>
      <w:pPr>
        <w:spacing w:after="0" w:line="154" w:lineRule="exact"/>
        <w:rPr>
          <w:sz w:val="20"/>
          <w:szCs w:val="20"/>
          <w:color w:val="auto"/>
        </w:rPr>
      </w:pPr>
    </w:p>
    <w:p>
      <w:pPr>
        <w:jc w:val="both"/>
        <w:ind w:right="20"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THE OFFER AND CONSENT SOLICITATION IS NOT MADE TO THOSE HOLDERS WHO RESIDE IN STATES OR OTHER JURISDICTIONS WHERE AN OFFER, SOLICITATION, OR SALE WOULD BE UNLAWFUL.</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Enclosed with this letter are copies of the following documents:</w:t>
      </w:r>
    </w:p>
    <w:p>
      <w:pPr>
        <w:spacing w:after="0" w:line="194" w:lineRule="exact"/>
        <w:rPr>
          <w:sz w:val="20"/>
          <w:szCs w:val="20"/>
          <w:color w:val="auto"/>
        </w:rPr>
      </w:pPr>
    </w:p>
    <w:p>
      <w:pPr>
        <w:ind w:left="780" w:hanging="218"/>
        <w:spacing w:after="0"/>
        <w:tabs>
          <w:tab w:leader="none" w:pos="78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Prospectus/Offer to Exchange;</w:t>
      </w:r>
    </w:p>
    <w:p>
      <w:pPr>
        <w:spacing w:after="0" w:line="194" w:lineRule="exact"/>
        <w:rPr>
          <w:rFonts w:ascii="Times New Roman" w:cs="Times New Roman" w:eastAsia="Times New Roman" w:hAnsi="Times New Roman"/>
          <w:sz w:val="16"/>
          <w:szCs w:val="16"/>
          <w:color w:val="auto"/>
        </w:rPr>
      </w:pPr>
    </w:p>
    <w:p>
      <w:pPr>
        <w:jc w:val="both"/>
        <w:ind w:firstLine="562"/>
        <w:spacing w:after="0" w:line="261" w:lineRule="auto"/>
        <w:tabs>
          <w:tab w:leader="none" w:pos="798"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Letter of Transmittal and Consent, for your use in accepting the Offer, providing your consent to the Warrant Amendment, and tendering warrants for exchange and for the information of your clients for whose accounts you hold warrants registered in your name or in the name of your nominee. Manually signed copies of the Letter of Transmittal and Consent may be used to tender warrants and provide consent;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60" w:name="page361"/>
    <w:bookmarkEnd w:id="360"/>
    <w:p>
      <w:pPr>
        <w:ind w:right="20" w:firstLine="562"/>
        <w:spacing w:after="0" w:line="275" w:lineRule="auto"/>
        <w:tabs>
          <w:tab w:leader="none" w:pos="797"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of Guaranteed Delivery to be used to accept the Offer in the event (i) the procedure for book-entry transfer cannot be completed on a timely basis or (ii) time will not permit all required documents to reach Continental Stock Transfer &amp; Trust Company (the “Exchange Agent”) prior to the Expiration Date;</w:t>
      </w:r>
    </w:p>
    <w:p>
      <w:pPr>
        <w:spacing w:after="0" w:line="145" w:lineRule="exact"/>
        <w:rPr>
          <w:rFonts w:ascii="Times New Roman" w:cs="Times New Roman" w:eastAsia="Times New Roman" w:hAnsi="Times New Roman"/>
          <w:sz w:val="16"/>
          <w:szCs w:val="16"/>
          <w:color w:val="auto"/>
        </w:rPr>
      </w:pPr>
    </w:p>
    <w:p>
      <w:pPr>
        <w:ind w:right="20" w:firstLine="562"/>
        <w:spacing w:after="0" w:line="275" w:lineRule="auto"/>
        <w:tabs>
          <w:tab w:leader="none" w:pos="791"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letter which may be sent by you to your clients for whose accounts you hold warrants registered in your name or in the name of your nominee, including an Instructions Form provided for obtaining each such client’s instructions with regard to the Offer; and</w:t>
      </w:r>
    </w:p>
    <w:p>
      <w:pPr>
        <w:spacing w:after="0" w:line="145" w:lineRule="exact"/>
        <w:rPr>
          <w:rFonts w:ascii="Times New Roman" w:cs="Times New Roman" w:eastAsia="Times New Roman" w:hAnsi="Times New Roman"/>
          <w:sz w:val="16"/>
          <w:szCs w:val="16"/>
          <w:color w:val="auto"/>
        </w:rPr>
      </w:pPr>
    </w:p>
    <w:p>
      <w:pPr>
        <w:ind w:left="780" w:hanging="218"/>
        <w:spacing w:after="0"/>
        <w:tabs>
          <w:tab w:leader="none" w:pos="7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return envelope addressed to Continental Stock Transfer &amp; Trust Company.</w:t>
      </w:r>
    </w:p>
    <w:p>
      <w:pPr>
        <w:spacing w:after="0" w:line="192" w:lineRule="exact"/>
        <w:rPr>
          <w:sz w:val="20"/>
          <w:szCs w:val="20"/>
          <w:color w:val="auto"/>
        </w:rPr>
      </w:pPr>
    </w:p>
    <w:p>
      <w:pPr>
        <w:jc w:val="both"/>
        <w:ind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Certain conditions to the Offer are described in the section of the Prospectus/Offer to Exchange entitled “The Offer and Consent Solicitation- General Terms-Conditions to the Offer and Consent Solicitation.”</w:t>
      </w:r>
    </w:p>
    <w:p>
      <w:pPr>
        <w:spacing w:after="0" w:line="141" w:lineRule="exact"/>
        <w:rPr>
          <w:sz w:val="20"/>
          <w:szCs w:val="20"/>
          <w:color w:val="auto"/>
        </w:rPr>
      </w:pPr>
    </w:p>
    <w:p>
      <w:pPr>
        <w:jc w:val="both"/>
        <w:ind w:right="20" w:firstLine="567"/>
        <w:spacing w:after="0" w:line="278" w:lineRule="auto"/>
        <w:rPr>
          <w:sz w:val="20"/>
          <w:szCs w:val="20"/>
          <w:color w:val="auto"/>
        </w:rPr>
      </w:pPr>
      <w:r>
        <w:rPr>
          <w:rFonts w:ascii="Times New Roman" w:cs="Times New Roman" w:eastAsia="Times New Roman" w:hAnsi="Times New Roman"/>
          <w:sz w:val="16"/>
          <w:szCs w:val="16"/>
          <w:b w:val="1"/>
          <w:bCs w:val="1"/>
          <w:color w:val="auto"/>
        </w:rPr>
        <w:t>We urge you to contact your clients promptly. Please note that the Offer and withdrawal rights will expire at 11:59 p.m., Eastern Time, on December 16, 2022, or such later time and date to which the Company may extend the Offer.</w:t>
      </w:r>
    </w:p>
    <w:p>
      <w:pPr>
        <w:spacing w:after="0" w:line="143" w:lineRule="exact"/>
        <w:rPr>
          <w:sz w:val="20"/>
          <w:szCs w:val="20"/>
          <w:color w:val="auto"/>
        </w:rPr>
      </w:pPr>
    </w:p>
    <w:p>
      <w:pPr>
        <w:jc w:val="both"/>
        <w:ind w:right="20" w:firstLine="567"/>
        <w:spacing w:after="0" w:line="256" w:lineRule="auto"/>
        <w:rPr>
          <w:sz w:val="20"/>
          <w:szCs w:val="20"/>
          <w:color w:val="auto"/>
        </w:rPr>
      </w:pPr>
      <w:r>
        <w:rPr>
          <w:rFonts w:ascii="Times New Roman" w:cs="Times New Roman" w:eastAsia="Times New Roman" w:hAnsi="Times New Roman"/>
          <w:sz w:val="16"/>
          <w:szCs w:val="16"/>
          <w:color w:val="auto"/>
        </w:rPr>
        <w:t>The Company will not pay any fees or commissions to any broker, dealer, or other person (other than the Exchange Agent, the information agent, dealer manager, and certain other persons, as described in the section of the Prospectus/Offer to Exchange entitled “Market Information, Dividends, and Related Stockholder Matters-Fees and Expenses”) for soliciting tenders of warrants pursuant to the Offer. However, the Company will, on request, reimburse you for customary clerical and mailing expenses incurred by you in forwarding copies of the enclosed materials to your clients for whose accounts you hold warrants.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Any questions you have regarding the Offer should be directed to, and additional copies of the enclosed materials may be obtained from, the information agent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and Consent Solicitation is: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D.F. King &amp; Co.,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 Wall Street, 22nd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New York 10005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Banks and Brokers call: (212) 269-5550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Call Toll Free: (800) 549-6864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Email: opal@dfking.com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OPAL Fuels Inc.</w:t>
      </w:r>
    </w:p>
    <w:p>
      <w:pPr>
        <w:spacing w:after="0" w:line="1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Nothing contained in this letter or in the enclosed documents shall constitute you or any other person the agent of the Company, the Exchange Agent, the dealer manager, the information agent, or any affiliate of any of them, or authorize you or any other person to give any information or use any document or make any statement on behalf of any of them in connection with the Offer and Consent Solicitation other than the enclosed documents and the statements contained therein.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19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LETTER TO CLIENTS OF BROKERS, DEALERS, COMMERCIAL BANKS, TRUST</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COMPANIES, AND OTHER NOMINEES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Offer to Exchange Warrants to Acquire Shares of Class A Common Stock</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Consent Solicitation</w:t>
      </w:r>
    </w:p>
    <w:p>
      <w:pPr>
        <w:spacing w:after="0" w:line="175"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b w:val="1"/>
          <w:bCs w:val="1"/>
          <w:color w:val="auto"/>
        </w:rPr>
        <w:t>THE OFFER AND CONSENT SOLICITATION (EACH AS DEFINED BELOW) AND WITHDRAWAL RIGHTS WILL EXPIRE AT 11:59 P.M., EASTERN TIME, ON DECEMBER 16, 2022, OR SUCH LATER TIME AND DATE TO WHICH THE COMPANY MAY EXTEND THE OFFER. WARRANTS (AS DEFINED BELOW) TENDERED PURSUANT TO THE OFFER AND CONSENT SOLICITATION MAY BE WITHDRAWN PRIOR TO THE EXPIRATION DATE (AS DEFINED BELOW). CONSENTS MAY BE REVOKED ONLY BY WITHDRAWING THE TENDER OF THE RELATED WARRANTS AND THE WITHDRAWAL OF ANY WARRANTS WILL AUTOMATICALLY CONSTITUTE A REVOCATION OF THE RELATED CONSENTS.</w:t>
      </w:r>
    </w:p>
    <w:p>
      <w:pPr>
        <w:spacing w:after="0" w:line="163" w:lineRule="exact"/>
        <w:rPr>
          <w:sz w:val="20"/>
          <w:szCs w:val="20"/>
          <w:color w:val="auto"/>
        </w:rPr>
      </w:pPr>
    </w:p>
    <w:p>
      <w:pPr>
        <w:ind w:left="10005"/>
        <w:spacing w:after="0"/>
        <w:rPr>
          <w:sz w:val="20"/>
          <w:szCs w:val="20"/>
          <w:color w:val="auto"/>
        </w:rPr>
      </w:pPr>
      <w:r>
        <w:rPr>
          <w:rFonts w:ascii="Times New Roman" w:cs="Times New Roman" w:eastAsia="Times New Roman" w:hAnsi="Times New Roman"/>
          <w:sz w:val="15"/>
          <w:szCs w:val="15"/>
          <w:color w:val="auto"/>
        </w:rPr>
        <w:t>November 18, 2022</w:t>
      </w:r>
    </w:p>
    <w:p>
      <w:pPr>
        <w:spacing w:after="0" w:line="2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To Our Clients:</w:t>
      </w:r>
    </w:p>
    <w:p>
      <w:pPr>
        <w:spacing w:after="0" w:line="196"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Enclosed are the prospectus/offer to exchange, dated November 18, 2022 (as it may be amended and supplemented from time to time, the “Prospectus/Offer to Exchange”), and the related letter of transmittal and consent (as it may be amended and supplemented from time to time, the “Letter of Transmittal and Consent”), which together set forth the offer of OPAL Fuels Inc., a Delaware corporation (the “Company”), to each holder of the Company’s warrants to purchase shares of the Company’s Class A common stock, par value $0.0001 per share (“Class A Common Stock”), to receive 0.250 shares of Class A Common Stock in exchange for each warrant tendered by the holder and exchanged pursuant to the offer (the “Offer”). The Offer is made solely upon the terms and conditions in the Prospectus/Offer to Exchange and in the Letter of Transmittal and Consent. The Offer will be open until 11:59 p.m., Eastern Time, on December 16, 2022, or such later time and date to which the Company may extend the Offer. The period during which the Offer is open, giving effect to any withdrawal or extension, is referred to as the “Offer Period.” The date and time at which the Offer Period ends is referred to as the “Expiration Date.”</w:t>
      </w:r>
    </w:p>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Offer is being made to all holders of:</w:t>
      </w:r>
    </w:p>
    <w:p>
      <w:pPr>
        <w:spacing w:after="0" w:line="194" w:lineRule="exact"/>
        <w:rPr>
          <w:sz w:val="20"/>
          <w:szCs w:val="20"/>
          <w:color w:val="auto"/>
        </w:rPr>
      </w:pPr>
    </w:p>
    <w:p>
      <w:pPr>
        <w:jc w:val="both"/>
        <w:ind w:left="565" w:hanging="565"/>
        <w:spacing w:after="0" w:line="286" w:lineRule="auto"/>
        <w:tabs>
          <w:tab w:leader="none" w:pos="565"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warrants that were (i) sold in connection with the initial public offering of ArcLight Clean Transition Corp. II, a Cayman Islands exempted company and the Company’s predecessor (“Arclight”) (the “IPO”) (whether they were purchased in the IPO or thereafter in the open market) or (ii) initially issued as private placement warrants to certain parties in connection with the IPO that have been transferred to any person other than permitted transferees (collectively, the “public warrants”); and</w:t>
      </w:r>
    </w:p>
    <w:p>
      <w:pPr>
        <w:spacing w:after="0" w:line="139" w:lineRule="exact"/>
        <w:rPr>
          <w:rFonts w:ascii="Times New Roman" w:cs="Times New Roman" w:eastAsia="Times New Roman" w:hAnsi="Times New Roman"/>
          <w:sz w:val="15"/>
          <w:szCs w:val="15"/>
          <w:color w:val="auto"/>
        </w:rPr>
      </w:pPr>
    </w:p>
    <w:p>
      <w:pPr>
        <w:ind w:left="565" w:hanging="565"/>
        <w:spacing w:after="0" w:line="275" w:lineRule="auto"/>
        <w:tabs>
          <w:tab w:leader="none" w:pos="56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that were issued to certain parties in a private placement in connection with the closing of the IPO that have not become public warrants as a result of being transferred to any person other than permitted transferees (the “private placement warrants” and, together with the public warrants, the “warrants”).</w:t>
      </w:r>
    </w:p>
    <w:p>
      <w:pPr>
        <w:spacing w:after="0" w:line="145"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Each warrant entitles the holder to purchase one share of Class A Common Stock at a price of $11.50 per share, subject to adjustment. The public warrants are quoted on The Nasdaq Global Market (the “Nasdaq”) under the symbol “OPALW.” As of November 16, 2022, 6,223,233 public warrants and 9,223,261 private placement warrants were outstanding. Pursuant to the Offer, the Company is offering up to an aggregate of 3,861,623 shares of Class A Common Stock in exchange for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14946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121" w:right="31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6"/>
          <w:szCs w:val="16"/>
          <w:color w:val="auto"/>
        </w:rPr>
        <w:t>Each holder whose warrants are exchanged pursuant to the Offer will receive 0.250 shares of Class A Common Stock for each warrant tendered by such holder and exchanged.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warrant holder that participates in the Offer may tender less than all of its warrants for exchange.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Class A Common Stock on the Nasdaq on the last trading day of the Offer Period, less any applicable withholding taxes. The Company’s obligation to complete the offer is not conditioned on the receipt of a minimum number of tendered public warrants.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Concurrently with the Offer, the Company is also soliciting consents (the “Consent Solicitation”) from holders of the warrants to amend (the “Warrant Amendment”) that certain Warrant Agreement, dated as of March 25, 2021, by and between the Company (as successor to ArcLight) and Continental Stock Transfer &amp; Trust Company, as warrant agent (the “Warrant Agreement”), to permit the Company to require that each warrant that is outstanding upon the closing of the Offer be exchanged for 0.225 shares of Class A Common Stock, which is a ratio 10% less than the exchange ratio applicable to the Offer.</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Pursuant to the terms of the Warrant Agreement, the proposed Warrant Amendment requires the vote or written consent of holders of at least 65% of each of the outstanding public warrants and the outstanding private placement warrants.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Parties representing approximately 53.30% of the outstanding public warrants and 100% of the outstanding private placement warrants have agreed to tender their public warrants and private placement warrants (as applicable) in the Offer and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described on the Offer and Consent Solicitation are satisfied or waived, then the Warrant Amendment will be adopted.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Holders of warrants may not consent to the Warrant Amendment without tendering warrants in the Offer and holders may not tender such warrants without consenting to the Warrant Amendment. The consent to the Warrant Amendment is a part of this Letter of Transmittal and Consent relating to the warrants and, therefore, by tendering warrants for exchange, holders will be delivering to us their consent to the Warrant Amendment. Warrant holders may revoke consent at any time prior to the Expiration Date by withdrawing the warrants holders have tendered in the Offer.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Warrants not exchanged for shares of our Class A Common Stock pursuant to the Offer will remain outstanding subject to their current terms, or amended terms if the Warrant Amendment is approved. If the Warrant Amendment is approved, the Company intends to require the exchange of all outstanding warrants for shares of Class A Common Stock as provided in the Warrant Amendment.</w:t>
      </w:r>
    </w:p>
    <w:p>
      <w:pPr>
        <w:spacing w:after="0" w:line="1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THE OFFER AND CONSENT SOLICITATION IS NOT MADE TO THOSE HOLDERS WHO RESIDE IN STATES OR OTHER JURISDICTIONS WHERE AN OFFER, SOLICITATION, OR SALE WOULD BE UNLAWFUL.</w:t>
      </w:r>
    </w:p>
    <w:p>
      <w:pPr>
        <w:spacing w:after="0" w:line="14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i w:val="1"/>
          <w:iCs w:val="1"/>
          <w:color w:val="auto"/>
        </w:rPr>
        <w:t>Please follow the instructions in this document and the related documents, including the accompanying Letter of Transmittal and Consent, to cause your warrants to be tendered for exchange pursuant to the Offer and provide consent to the Warrant Amendment.</w:t>
      </w:r>
    </w:p>
    <w:p>
      <w:pPr>
        <w:spacing w:after="0" w:line="14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On the terms and subject to the conditions of the Offer, the Company will allow the exchange of all warrants properly tendered before the Expiration Date and not properly withdrawn, at an exchange rate of 0.250 shares of Class A Common Stock for each warrant so tendered.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363" w:name="page364"/>
    <w:bookmarkEnd w:id="363"/>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We are the owner of record of warrants held for your account. As such, only we can exchange and tender your warrants, and then only pursuant to your instructions. We are sending you the Letter of Transmittal and Consent for your information only; you cannot use it to exchange and tender warrants we hold for your account, nor to provide consent to the Warrant Amendment.</w:t>
      </w:r>
    </w:p>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Please instruct us as to whether you wish us to tender for exchange any or all of the warrants we hold for your account, on the terms and subject to the conditions of the Offer.</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Please note the following:</w:t>
      </w:r>
    </w:p>
    <w:p>
      <w:pPr>
        <w:spacing w:after="0" w:line="194" w:lineRule="exact"/>
        <w:rPr>
          <w:sz w:val="20"/>
          <w:szCs w:val="20"/>
          <w:color w:val="auto"/>
        </w:rPr>
      </w:pPr>
    </w:p>
    <w:p>
      <w:pPr>
        <w:ind w:left="565" w:hanging="565"/>
        <w:spacing w:after="0"/>
        <w:tabs>
          <w:tab w:leader="none" w:pos="56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warrants may be exchanged at the exchange rate of 0.250 shares of Class A Common Stock for every one of your warrants properly tendered for exchange.</w:t>
      </w:r>
    </w:p>
    <w:p>
      <w:pPr>
        <w:spacing w:after="0" w:line="194" w:lineRule="exact"/>
        <w:rPr>
          <w:rFonts w:ascii="Times New Roman" w:cs="Times New Roman" w:eastAsia="Times New Roman" w:hAnsi="Times New Roman"/>
          <w:sz w:val="16"/>
          <w:szCs w:val="16"/>
          <w:color w:val="auto"/>
        </w:rPr>
      </w:pPr>
    </w:p>
    <w:p>
      <w:pPr>
        <w:ind w:left="565" w:hanging="565"/>
        <w:spacing w:after="0" w:line="275" w:lineRule="auto"/>
        <w:tabs>
          <w:tab w:leader="none" w:pos="56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 is made solely upon the terms and conditions set forth in the Prospectus/Offer to Exchange and in the Letter of Transmittal and Consent. In particular, please see “The Offer and Consent Solicitation-General Terms-Conditions to the Offer and Consent Solicitation” in the Prospectus/Offer to Exchange.</w:t>
      </w:r>
    </w:p>
    <w:p>
      <w:pPr>
        <w:spacing w:after="0" w:line="145" w:lineRule="exact"/>
        <w:rPr>
          <w:rFonts w:ascii="Times New Roman" w:cs="Times New Roman" w:eastAsia="Times New Roman" w:hAnsi="Times New Roman"/>
          <w:sz w:val="16"/>
          <w:szCs w:val="16"/>
          <w:color w:val="auto"/>
        </w:rPr>
      </w:pPr>
    </w:p>
    <w:p>
      <w:pPr>
        <w:ind w:left="565" w:right="20" w:hanging="565"/>
        <w:spacing w:after="0" w:line="275" w:lineRule="auto"/>
        <w:tabs>
          <w:tab w:leader="none" w:pos="56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tendering your warrants for exchange, you are concurrently consenting to the Warrant Amendment. You may not consent to the Warrant Amendment without tendering your warrants in the Offer and you may not tender your warrants without consenting to the Warrant Amendment.</w:t>
      </w:r>
    </w:p>
    <w:p>
      <w:pPr>
        <w:spacing w:after="0" w:line="145"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 and withdrawal rights will expire at 11:59 p.m., Eastern Time, on December 16, 2022, or such later time and date to which the Company may extend the Offer.</w:t>
      </w:r>
    </w:p>
    <w:p>
      <w:pPr>
        <w:spacing w:after="0" w:line="204"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b w:val="1"/>
          <w:bCs w:val="1"/>
          <w:color w:val="auto"/>
        </w:rPr>
        <w:t>If you wish to have us tender any or all of your warrants for exchange pursuant to the Offer and Consent Solicitation, please so instruct us by completing, executing, detaching, and returning to us the attached Instructions Form. If you authorize us to tender your warrants, we will tender for exchange all of your warrants unless you specify otherwise on the attached Instruction Form.</w:t>
      </w:r>
    </w:p>
    <w:p>
      <w:pPr>
        <w:spacing w:after="0" w:line="154"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b w:val="1"/>
          <w:bCs w:val="1"/>
          <w:color w:val="auto"/>
        </w:rPr>
        <w:t>Your prompt action is requested. Your Instruction Form should be forwarded to us in ample time to permit us to submit a tender on your behalf before the Expiration Date. Please note that the Offer and withdrawal rights will expire at 11:59 p.m., Eastern Time, on December 16, 2022, or such later time and date to which the Company may extend the Offer.</w:t>
      </w:r>
    </w:p>
    <w:p>
      <w:pPr>
        <w:spacing w:after="0" w:line="154"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b w:val="1"/>
          <w:bCs w:val="1"/>
          <w:color w:val="auto"/>
        </w:rPr>
        <w:t>The board of directors of the Company has approved the Offer and Consent Solicitation. However, neither the Company nor any of its management, its board of directors, the dealer manager, the information agent, or the exchange agent for the Offer is making any recommendation as to whether holders of warrants should tender warrants for exchange in the Offer and Consent Solicitation. The Company has not authorized any person to make any recommendation. You should carefully evaluate all information in the Prospectus/Offer to Exchange and in the Letter of Transmittal and Consent, and should consult your own investment and tax advisors. You must decide whether to have your warrants exchanged and, if so, how many warrants to have exchanged. In doing so, you should read carefully the information in the Prospectus/Offer to Exchange and in the Letter of Transmittal and Consent.</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8" w:right="319" w:bottom="1440" w:gutter="0" w:footer="0" w:header="0"/>
        </w:sectPr>
      </w:pPr>
    </w:p>
    <w:bookmarkStart w:id="364" w:name="page365"/>
    <w:bookmarkEnd w:id="364"/>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Instructions Form</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Offer to Exchange Warrants to Acquire Shares of Class A Common Stock</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Consent Solicitation</w:t>
      </w:r>
    </w:p>
    <w:p>
      <w:pPr>
        <w:spacing w:after="0" w:line="177"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The undersigned acknowledges receipt of your letter and the enclosed prospectus/offer to exchange dated November 18, 2022 (the “Prospectus/Offer to Exchange”), and the related letter of transmittal and consent (as it may be amended and supplemented from time to time, the “Letter of Transmittal and Consent”), which together set forth the offer of OPAL Fuels Inc., a Delaware corporation (the “Company”), to each holder of the Company’s warrants to purchase the Company’s Class A common stock, par value $0.0001 per share (“Class A Common Stock”).</w:t>
      </w:r>
    </w:p>
    <w:p>
      <w:pPr>
        <w:spacing w:after="0" w:line="158"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b w:val="1"/>
          <w:bCs w:val="1"/>
          <w:color w:val="auto"/>
        </w:rPr>
        <w:t>The undersigned hereby instructs you to tender for exchange the number of warrants indicated below or, if no number is indicated, all warrants you hold for the account of the undersigned, on the terms and subject to the conditions set forth in the Prospectus/Offer to Exchange and in the Letter of Transmittal and Consent.</w:t>
      </w:r>
    </w:p>
    <w:p>
      <w:pPr>
        <w:spacing w:after="0" w:line="143"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6"/>
          <w:szCs w:val="16"/>
          <w:color w:val="auto"/>
        </w:rPr>
        <w:t>By participating in the Offer, the undersigned acknowledges that: (i) the Offer and Consent Solicitation are made solely only upon the terms and conditions in the Prospectus/Offer to Exchange and in the Letter of Transmittal and Consent; (ii) upon and subject to the terms and conditions set forth in the Prospectus/Offer to Exchange and the Letter of Transmittal and Consent, warrants properly tendered and accepted and not validly withdrawn constitute the undersigned’s validly delivered consent to the Warrant Amendment; (iii) the Offer will be open until 11:59 p.m., Eastern Time, on December 16, 2022, or such later time and date to which the Company may extend the Offer (the period during which the Offer is open, giving effect to any withdrawal or extension, is referred to as the “Offer Period”); (iv) the Offer is established voluntarily by the Company, it is discretionary in nature, and it may be extended, modified, suspended, or terminated by the Company as provided in the Prospectus/Offer to Exchange; (v) the undersigned is voluntarily participating in the Offer and is aware of the conditions of the Offer; (vi) the future value of the Class A Common Stock and the warrants is unknown and cannot be predicted with certainty; (vii) the undersigned has received and read the Prospectus/Offer to Exchange and the Letter of Transmittal and Consent; and (viii) regardless of any action that the Company takes with respect to any or all income/capital gains tax, social security or insurance, transfer tax, or other tax-related items (“Tax Items”) related to the Offer and the disposition of warrants, the undersigned acknowledges that the ultimate liability for all Tax Items is and remains the responsibility solely of the undersigned. In that regard, the undersigned authorizes the Company to withhold all applicable Tax Items legally payable by the undersigned.</w:t>
      </w:r>
    </w:p>
    <w:p>
      <w:pPr>
        <w:spacing w:after="0" w:line="1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Number of warrants to be exchanged by you for the account of the undersigned:</w:t>
      </w:r>
    </w:p>
    <w:p>
      <w:pPr>
        <w:spacing w:after="0" w:line="196" w:lineRule="exact"/>
        <w:rPr>
          <w:sz w:val="20"/>
          <w:szCs w:val="20"/>
          <w:color w:val="auto"/>
        </w:rPr>
      </w:pPr>
    </w:p>
    <w:p>
      <w:pPr>
        <w:jc w:val="both"/>
        <w:ind w:left="5" w:hanging="5"/>
        <w:spacing w:after="0" w:line="256" w:lineRule="auto"/>
        <w:tabs>
          <w:tab w:leader="none" w:pos="124"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the Class A Common Stock on The Nasdaq Global Market on the last trading day of the Offer Period, less any applicable withholding taxes. The Company’s obligation to complete the offer is not conditioned on the receipt of a minimum number of tendered warrants.</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Unless otherwise indicated it will be assumed that all warrants held by us for your account are to be exchanged.</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2540</wp:posOffset>
            </wp:positionV>
            <wp:extent cx="272351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2723515" cy="15240"/>
                    </a:xfrm>
                    <a:prstGeom prst="rect">
                      <a:avLst/>
                    </a:prstGeom>
                    <a:noFill/>
                  </pic:spPr>
                </pic:pic>
              </a:graphicData>
            </a:graphic>
          </wp:anchor>
        </w:drawing>
      </w:r>
    </w:p>
    <w:p>
      <w:pPr>
        <w:spacing w:after="0" w:line="1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7620</wp:posOffset>
            </wp:positionV>
            <wp:extent cx="321056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3210560" cy="15240"/>
                    </a:xfrm>
                    <a:prstGeom prst="rect">
                      <a:avLst/>
                    </a:prstGeom>
                    <a:noFill/>
                  </pic:spPr>
                </pic:pic>
              </a:graphicData>
            </a:graphic>
          </wp:anchor>
        </w:drawing>
      </w:r>
    </w:p>
    <w:p>
      <w:pPr>
        <w:spacing w:after="0" w:line="4" w:lineRule="exact"/>
        <w:rPr>
          <w:sz w:val="20"/>
          <w:szCs w:val="20"/>
          <w:color w:val="auto"/>
        </w:rPr>
      </w:pPr>
    </w:p>
    <w:p>
      <w:pPr>
        <w:ind w:left="5645"/>
        <w:spacing w:after="0"/>
        <w:rPr>
          <w:sz w:val="20"/>
          <w:szCs w:val="20"/>
          <w:color w:val="auto"/>
        </w:rPr>
      </w:pPr>
      <w:r>
        <w:rPr>
          <w:rFonts w:ascii="Times New Roman" w:cs="Times New Roman" w:eastAsia="Times New Roman" w:hAnsi="Times New Roman"/>
          <w:sz w:val="16"/>
          <w:szCs w:val="16"/>
          <w:color w:val="auto"/>
        </w:rPr>
        <w:t>(Please Print)</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Tax Identification Number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7620</wp:posOffset>
            </wp:positionV>
            <wp:extent cx="321056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3210560" cy="15240"/>
                    </a:xfrm>
                    <a:prstGeom prst="rect">
                      <a:avLst/>
                    </a:prstGeom>
                    <a:noFill/>
                  </pic:spPr>
                </pic:pic>
              </a:graphicData>
            </a:graphic>
          </wp:anchor>
        </w:drawing>
      </w:r>
    </w:p>
    <w:p>
      <w:pPr>
        <w:spacing w:after="0" w:line="21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Address(es)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7620</wp:posOffset>
            </wp:positionV>
            <wp:extent cx="321056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3210560" cy="152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
        <w:spacing w:after="0"/>
        <w:tabs>
          <w:tab w:leader="none" w:pos="5625" w:val="left"/>
        </w:tabs>
        <w:rPr>
          <w:sz w:val="20"/>
          <w:szCs w:val="20"/>
          <w:color w:val="auto"/>
        </w:rPr>
      </w:pPr>
      <w:r>
        <w:rPr>
          <w:rFonts w:ascii="Times New Roman" w:cs="Times New Roman" w:eastAsia="Times New Roman" w:hAnsi="Times New Roman"/>
          <w:sz w:val="16"/>
          <w:szCs w:val="16"/>
          <w:color w:val="auto"/>
        </w:rPr>
        <w:t>Area Code/Phone Number:</w:t>
      </w:r>
      <w:r>
        <w:rPr>
          <w:sz w:val="20"/>
          <w:szCs w:val="20"/>
          <w:color w:val="auto"/>
        </w:rPr>
        <w:tab/>
      </w:r>
      <w:r>
        <w:rPr>
          <w:rFonts w:ascii="Times New Roman" w:cs="Times New Roman" w:eastAsia="Times New Roman" w:hAnsi="Times New Roman"/>
          <w:sz w:val="15"/>
          <w:szCs w:val="15"/>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-113030</wp:posOffset>
            </wp:positionV>
            <wp:extent cx="321056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3210560" cy="15240"/>
                    </a:xfrm>
                    <a:prstGeom prst="rect">
                      <a:avLst/>
                    </a:prstGeom>
                    <a:noFill/>
                  </pic:spPr>
                </pic:pic>
              </a:graphicData>
            </a:graphic>
          </wp:anchor>
        </w:drawing>
      </w:r>
    </w:p>
    <w:p>
      <w:pPr>
        <w:spacing w:after="0" w:line="18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6350</wp:posOffset>
            </wp:positionV>
            <wp:extent cx="321056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3210560" cy="15240"/>
                    </a:xfrm>
                    <a:prstGeom prst="rect">
                      <a:avLst/>
                    </a:prstGeom>
                    <a:noFill/>
                  </pic:spPr>
                </pic:pic>
              </a:graphicData>
            </a:graphic>
          </wp:anchor>
        </w:drawing>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806" w:right="319" w:bottom="1440" w:gutter="0" w:footer="0" w:header="0"/>
        </w:sectPr>
      </w:pPr>
    </w:p>
    <w:bookmarkStart w:id="365" w:name="page366"/>
    <w:bookmarkEnd w:id="365"/>
    <w:p>
      <w:pPr>
        <w:ind w:left="10480"/>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Calculation of Filing Fee Table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S-4</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Type)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Table 1: Newly Registered Securities and Carry Forward Securities</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40" w:type="dxa"/>
            <w:vAlign w:val="bottom"/>
            <w:tcBorders>
              <w:top w:val="single" w:sz="8" w:color="auto"/>
              <w:left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Filing Fee</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Paid In</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Connection</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Proposed</w:t>
            </w: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Carry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Unsold</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Calculation</w:t>
            </w:r>
          </w:p>
        </w:tc>
        <w:tc>
          <w:tcPr>
            <w:tcW w:w="9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Carry</w:t>
            </w:r>
          </w:p>
        </w:tc>
        <w:tc>
          <w:tcPr>
            <w:tcW w:w="1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182"/>
        </w:trPr>
        <w:tc>
          <w:tcPr>
            <w:tcW w:w="840" w:type="dxa"/>
            <w:vAlign w:val="bottom"/>
            <w:tcBorders>
              <w:left w:val="single" w:sz="8" w:color="auto"/>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or Carry</w:t>
            </w:r>
          </w:p>
        </w:tc>
        <w:tc>
          <w:tcPr>
            <w:tcW w:w="9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8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c>
          <w:tcPr>
            <w:tcW w:w="7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1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5"/>
              </w:rPr>
              <w:t>Forward</w:t>
            </w:r>
          </w:p>
        </w:tc>
        <w:tc>
          <w:tcPr>
            <w:tcW w:w="7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5"/>
              </w:rPr>
              <w:t>Initial</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5"/>
              </w:rPr>
              <w:t>to be</w:t>
            </w:r>
          </w:p>
        </w:tc>
        <w:tc>
          <w:tcPr>
            <w:tcW w:w="0" w:type="dxa"/>
            <w:vAlign w:val="bottom"/>
          </w:tcPr>
          <w:p>
            <w:pPr>
              <w:spacing w:after="0"/>
              <w:rPr>
                <w:sz w:val="1"/>
                <w:szCs w:val="1"/>
                <w:color w:val="auto"/>
              </w:rPr>
            </w:pPr>
          </w:p>
        </w:tc>
      </w:tr>
      <w:tr>
        <w:trPr>
          <w:trHeight w:val="89"/>
        </w:trPr>
        <w:tc>
          <w:tcPr>
            <w:tcW w:w="840" w:type="dxa"/>
            <w:vAlign w:val="bottom"/>
            <w:tcBorders>
              <w:left w:val="single" w:sz="8" w:color="auto"/>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effective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Carried</w:t>
            </w:r>
          </w:p>
        </w:tc>
        <w:tc>
          <w:tcPr>
            <w:tcW w:w="0" w:type="dxa"/>
            <w:vAlign w:val="bottom"/>
          </w:tcPr>
          <w:p>
            <w:pPr>
              <w:spacing w:after="0"/>
              <w:rPr>
                <w:sz w:val="1"/>
                <w:szCs w:val="1"/>
                <w:color w:val="auto"/>
              </w:rPr>
            </w:pPr>
          </w:p>
        </w:tc>
      </w:tr>
      <w:tr>
        <w:trPr>
          <w:trHeight w:val="100"/>
        </w:trPr>
        <w:tc>
          <w:tcPr>
            <w:tcW w:w="840" w:type="dxa"/>
            <w:vAlign w:val="bottom"/>
            <w:tcBorders>
              <w:left w:val="single" w:sz="8" w:color="auto"/>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9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8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40" w:type="dxa"/>
            <w:vAlign w:val="bottom"/>
            <w:tcBorders>
              <w:left w:val="single" w:sz="8" w:color="auto"/>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9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Type</w:t>
            </w:r>
          </w:p>
        </w:tc>
        <w:tc>
          <w:tcPr>
            <w:tcW w:w="10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0" w:type="dxa"/>
            <w:vAlign w:val="bottom"/>
          </w:tcPr>
          <w:p>
            <w:pPr>
              <w:spacing w:after="0"/>
              <w:rPr>
                <w:sz w:val="1"/>
                <w:szCs w:val="1"/>
                <w:color w:val="auto"/>
              </w:rPr>
            </w:pPr>
          </w:p>
        </w:tc>
      </w:tr>
      <w:tr>
        <w:trPr>
          <w:trHeight w:val="100"/>
        </w:trPr>
        <w:tc>
          <w:tcPr>
            <w:tcW w:w="840" w:type="dxa"/>
            <w:vAlign w:val="bottom"/>
            <w:tcBorders>
              <w:left w:val="single" w:sz="8" w:color="auto"/>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restart"/>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94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restart"/>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8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40" w:type="dxa"/>
            <w:vAlign w:val="bottom"/>
            <w:tcBorders>
              <w:left w:val="single" w:sz="8" w:color="auto"/>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960" w:type="dxa"/>
            <w:vAlign w:val="bottom"/>
            <w:tcBorders>
              <w:right w:val="single" w:sz="8" w:color="auto"/>
            </w:tcBorders>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9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740" w:type="dxa"/>
            <w:vAlign w:val="bottom"/>
            <w:tcBorders>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Security Type</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94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40" w:type="dxa"/>
            <w:vAlign w:val="bottom"/>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7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Class A</w:t>
            </w:r>
          </w:p>
        </w:tc>
        <w:tc>
          <w:tcPr>
            <w:tcW w:w="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stock, par</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Rule 457(f)(1)</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3,861,623 </w:t>
            </w:r>
            <w:r>
              <w:rPr>
                <w:rFonts w:ascii="Times New Roman" w:cs="Times New Roman" w:eastAsia="Times New Roman" w:hAnsi="Times New Roman"/>
                <w:sz w:val="26"/>
                <w:szCs w:val="26"/>
                <w:color w:val="auto"/>
                <w:w w:val="92"/>
                <w:vertAlign w:val="superscript"/>
              </w:rPr>
              <w:t>(1)</w:t>
            </w: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Fees To Be</w:t>
            </w:r>
          </w:p>
        </w:tc>
        <w:tc>
          <w:tcPr>
            <w:tcW w:w="10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96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16"/>
                <w:szCs w:val="16"/>
                <w:color w:val="auto"/>
              </w:rPr>
              <w:t>$7.9375</w:t>
            </w:r>
            <w:r>
              <w:rPr>
                <w:rFonts w:ascii="Times New Roman" w:cs="Times New Roman" w:eastAsia="Times New Roman" w:hAnsi="Times New Roman"/>
                <w:sz w:val="26"/>
                <w:szCs w:val="26"/>
                <w:color w:val="auto"/>
                <w:vertAlign w:val="superscript"/>
              </w:rPr>
              <w:t>(3)</w:t>
            </w: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8"/>
              </w:rPr>
              <w:t>Paid</w:t>
            </w:r>
          </w:p>
        </w:tc>
        <w:tc>
          <w:tcPr>
            <w:tcW w:w="10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8"/>
              </w:rPr>
              <w:t>Equity</w:t>
            </w:r>
          </w:p>
        </w:tc>
        <w:tc>
          <w:tcPr>
            <w:tcW w:w="70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per share</w:t>
            </w:r>
          </w:p>
        </w:tc>
        <w:tc>
          <w:tcPr>
            <w:tcW w:w="94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$30,651,633</w:t>
            </w:r>
          </w:p>
        </w:tc>
        <w:tc>
          <w:tcPr>
            <w:tcW w:w="82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16"/>
                <w:szCs w:val="16"/>
                <w:color w:val="auto"/>
                <w:highlight w:val="white"/>
                <w:w w:val="95"/>
              </w:rPr>
              <w:t>0.00011020</w:t>
            </w: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$3,378</w:t>
            </w: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4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Warrants</w:t>
            </w:r>
          </w:p>
        </w:tc>
        <w:tc>
          <w:tcPr>
            <w:tcW w:w="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purchase</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15,446,494</w:t>
            </w:r>
            <w:r>
              <w:rPr>
                <w:rFonts w:ascii="Times New Roman" w:cs="Times New Roman" w:eastAsia="Times New Roman" w:hAnsi="Times New Roman"/>
                <w:sz w:val="26"/>
                <w:szCs w:val="26"/>
                <w:color w:val="auto"/>
                <w:w w:val="93"/>
                <w:vertAlign w:val="superscript"/>
              </w:rPr>
              <w:t>(4)</w:t>
            </w: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1"/>
                <w:szCs w:val="31"/>
                <w:color w:val="auto"/>
                <w:w w:val="89"/>
                <w:vertAlign w:val="subscript"/>
              </w:rPr>
              <w:t>—</w:t>
            </w:r>
            <w:r>
              <w:rPr>
                <w:rFonts w:ascii="Times New Roman" w:cs="Times New Roman" w:eastAsia="Times New Roman" w:hAnsi="Times New Roman"/>
                <w:sz w:val="13"/>
                <w:szCs w:val="13"/>
                <w:color w:val="auto"/>
                <w:w w:val="89"/>
              </w:rPr>
              <w:t>(5)</w:t>
            </w: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stock</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vMerge w:val="continue"/>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Fees</w:t>
            </w:r>
          </w:p>
        </w:tc>
        <w:tc>
          <w:tcPr>
            <w:tcW w:w="10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Previously</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Paid</w:t>
            </w:r>
          </w:p>
        </w:tc>
        <w:tc>
          <w:tcPr>
            <w:tcW w:w="10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Carry</w:t>
            </w:r>
          </w:p>
        </w:tc>
        <w:tc>
          <w:tcPr>
            <w:tcW w:w="10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Forward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Securities</w:t>
            </w:r>
          </w:p>
        </w:tc>
        <w:tc>
          <w:tcPr>
            <w:tcW w:w="10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Total Offering Amounts</w:t>
            </w:r>
          </w:p>
        </w:tc>
        <w:tc>
          <w:tcPr>
            <w:tcW w:w="8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$30,651,633</w:t>
            </w:r>
          </w:p>
        </w:tc>
        <w:tc>
          <w:tcPr>
            <w:tcW w:w="8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$3,378</w:t>
            </w: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Total Fees Previously Paid</w:t>
            </w:r>
          </w:p>
        </w:tc>
        <w:tc>
          <w:tcPr>
            <w:tcW w:w="8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Total Fee Offsets</w:t>
            </w:r>
          </w:p>
        </w:tc>
        <w:tc>
          <w:tcPr>
            <w:tcW w:w="8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Net Fee Due</w:t>
            </w:r>
          </w:p>
        </w:tc>
        <w:tc>
          <w:tcPr>
            <w:tcW w:w="8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$3,378</w:t>
            </w:r>
          </w:p>
        </w:tc>
        <w:tc>
          <w:tcPr>
            <w:tcW w:w="7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120" w:right="20" w:hanging="558"/>
        <w:spacing w:after="0" w:line="275" w:lineRule="auto"/>
        <w:tabs>
          <w:tab w:leader="none" w:pos="11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maximum number of Class A common stock, par value $0.0001 per share (the “Class A common stock”) of the Registrant that may be issued directly to holders of the Registrant’s public warrants and holders of the Registrant’s private placement warrants who tender their respective warrants.</w:t>
      </w:r>
    </w:p>
    <w:p>
      <w:pPr>
        <w:spacing w:after="0" w:line="145" w:lineRule="exact"/>
        <w:rPr>
          <w:rFonts w:ascii="Times New Roman" w:cs="Times New Roman" w:eastAsia="Times New Roman" w:hAnsi="Times New Roman"/>
          <w:sz w:val="16"/>
          <w:szCs w:val="16"/>
          <w:color w:val="auto"/>
        </w:rPr>
      </w:pPr>
    </w:p>
    <w:p>
      <w:pPr>
        <w:ind w:left="1120" w:right="20" w:hanging="558"/>
        <w:spacing w:after="0" w:line="275" w:lineRule="auto"/>
        <w:tabs>
          <w:tab w:leader="none" w:pos="11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of 1933, as amended (the “Securities Act”), this Registration Statement shall also cover an indeterminate number of additional shares of Class A common stock issuable by reason of any stock dividend, stock split, recapitalization or other similar transaction).</w:t>
      </w:r>
    </w:p>
    <w:p>
      <w:pPr>
        <w:spacing w:after="0" w:line="145" w:lineRule="exact"/>
        <w:rPr>
          <w:rFonts w:ascii="Times New Roman" w:cs="Times New Roman" w:eastAsia="Times New Roman" w:hAnsi="Times New Roman"/>
          <w:sz w:val="16"/>
          <w:szCs w:val="16"/>
          <w:color w:val="auto"/>
        </w:rPr>
      </w:pPr>
    </w:p>
    <w:p>
      <w:pPr>
        <w:jc w:val="both"/>
        <w:ind w:left="1120" w:right="20" w:hanging="558"/>
        <w:spacing w:after="0" w:line="261" w:lineRule="auto"/>
        <w:tabs>
          <w:tab w:leader="none" w:pos="11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pursuant to Rules 457(f) and 457(c) under the Securities Act, and solely for the purpose of calculating the registration fee, the proposed maximum offering price is $7.9375 per share, which is the average of the high and low prices of the Class A Common Stock as reported on The Nasdaq Capital Market on November 16, 2022.</w:t>
      </w:r>
    </w:p>
    <w:p>
      <w:pPr>
        <w:spacing w:after="0" w:line="155" w:lineRule="exact"/>
        <w:rPr>
          <w:rFonts w:ascii="Times New Roman" w:cs="Times New Roman" w:eastAsia="Times New Roman" w:hAnsi="Times New Roman"/>
          <w:sz w:val="16"/>
          <w:szCs w:val="16"/>
          <w:color w:val="auto"/>
        </w:rPr>
      </w:pPr>
    </w:p>
    <w:p>
      <w:pPr>
        <w:ind w:left="1120" w:hanging="558"/>
        <w:spacing w:after="0"/>
        <w:tabs>
          <w:tab w:leader="none" w:pos="11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maximum number of warrants that may be exchanged pursuant to this Registration Statement in connection with the exchange offer.</w:t>
      </w:r>
    </w:p>
    <w:p>
      <w:pPr>
        <w:spacing w:after="0" w:line="194" w:lineRule="exact"/>
        <w:rPr>
          <w:rFonts w:ascii="Times New Roman" w:cs="Times New Roman" w:eastAsia="Times New Roman" w:hAnsi="Times New Roman"/>
          <w:sz w:val="16"/>
          <w:szCs w:val="16"/>
          <w:color w:val="auto"/>
        </w:rPr>
      </w:pPr>
    </w:p>
    <w:p>
      <w:pPr>
        <w:ind w:left="1120" w:hanging="558"/>
        <w:spacing w:after="0"/>
        <w:tabs>
          <w:tab w:leader="none" w:pos="11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additional registration fee is payable pursuant to Rule 457(g) under the Securities Act.</w:t>
      </w:r>
    </w:p>
    <w:sectPr>
      <w:pgSz w:w="11900" w:h="16838" w:orient="portrait"/>
      <w:cols w:equalWidth="0" w:num="1">
        <w:col w:w="11260"/>
      </w:cols>
      <w:pgMar w:left="320" w:top="3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1)"/>
      <w:numFmt w:val="lowerRoman"/>
      <w:start w:val="6"/>
    </w:lvl>
  </w:abstractNum>
  <w:abstractNum w:abstractNumId="5">
    <w:nsid w:val="45E6D486"/>
    <w:multiLevelType w:val="hybridMultilevel"/>
    <w:lvl w:ilvl="0">
      <w:lvlJc w:val="left"/>
      <w:lvlText w:val="(%1)"/>
      <w:numFmt w:val="lowerRoman"/>
      <w:start w:val="2"/>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
      <w:numFmt w:val="bullet"/>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1)"/>
      <w:numFmt w:val="lowerRoman"/>
      <w:start w:val="2"/>
    </w:lvl>
  </w:abstractNum>
  <w:abstractNum w:abstractNumId="22">
    <w:nsid w:val="3DB012B3"/>
    <w:multiLevelType w:val="hybridMultilevel"/>
    <w:lvl w:ilvl="0">
      <w:lvlJc w:val="left"/>
      <w:lvlText w:val="(%1)"/>
      <w:numFmt w:val="lowerRoman"/>
      <w:start w:val="4"/>
    </w:lvl>
  </w:abstractNum>
  <w:abstractNum w:abstractNumId="23">
    <w:nsid w:val="2708C9AF"/>
    <w:multiLevelType w:val="hybridMultilevel"/>
    <w:lvl w:ilvl="0">
      <w:lvlJc w:val="left"/>
      <w:lvlText w:val="(%1)"/>
      <w:numFmt w:val="lowerRoman"/>
      <w:start w:val="2"/>
    </w:lvl>
  </w:abstractNum>
  <w:abstractNum w:abstractNumId="24">
    <w:nsid w:val="5B25ACE2"/>
    <w:multiLevelType w:val="hybridMultilevel"/>
    <w:lvl w:ilvl="0">
      <w:lvlJc w:val="left"/>
      <w:lvlText w:val="(%1)"/>
      <w:numFmt w:val="decimal"/>
      <w:start w:val="1"/>
    </w:lvl>
  </w:abstractNum>
  <w:abstractNum w:abstractNumId="25">
    <w:nsid w:val="175DFCF0"/>
    <w:multiLevelType w:val="hybridMultilevel"/>
    <w:lvl w:ilvl="0">
      <w:lvlJc w:val="left"/>
      <w:lvlText w:val="(%1)"/>
      <w:numFmt w:val="decimal"/>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1)"/>
      <w:numFmt w:val="lowerLetter"/>
      <w:start w:val="1"/>
    </w:lvl>
  </w:abstractNum>
  <w:abstractNum w:abstractNumId="31">
    <w:nsid w:val="519E3149"/>
    <w:multiLevelType w:val="hybridMultilevel"/>
    <w:lvl w:ilvl="0">
      <w:lvlJc w:val="left"/>
      <w:lvlText w:val="(%1)"/>
      <w:numFmt w:val="lowerLetter"/>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
      <w:numFmt w:val="bullet"/>
      <w:start w:val="1"/>
    </w:lvl>
  </w:abstractNum>
  <w:abstractNum w:abstractNumId="34">
    <w:nsid w:val="4DF72E4E"/>
    <w:multiLevelType w:val="hybridMultilevel"/>
    <w:lvl w:ilvl="0">
      <w:lvlJc w:val="left"/>
      <w:lvlText w:val="●"/>
      <w:numFmt w:val="bullet"/>
      <w:start w:val="1"/>
    </w:lvl>
    <w:lvl w:ilvl="1">
      <w:lvlJc w:val="left"/>
      <w:lvlText w:val="◦"/>
      <w:numFmt w:val="bullet"/>
      <w:start w:val="1"/>
    </w:lvl>
  </w:abstractNum>
  <w:abstractNum w:abstractNumId="35">
    <w:nsid w:val="5046B5A9"/>
    <w:multiLevelType w:val="hybridMultilevel"/>
    <w:lvl w:ilvl="0">
      <w:lvlJc w:val="left"/>
      <w:lvlText w:val="●"/>
      <w:numFmt w:val="bullet"/>
      <w:start w:val="1"/>
    </w:lvl>
  </w:abstractNum>
  <w:abstractNum w:abstractNumId="36">
    <w:nsid w:val="5D888A08"/>
    <w:multiLevelType w:val="hybridMultilevel"/>
    <w:lvl w:ilvl="0">
      <w:lvlJc w:val="left"/>
      <w:lvlText w:val="(%1)"/>
      <w:numFmt w:val="decimal"/>
      <w:start w:val="1"/>
    </w:lvl>
  </w:abstractNum>
  <w:abstractNum w:abstractNumId="37">
    <w:nsid w:val="2A082C70"/>
    <w:multiLevelType w:val="hybridMultilevel"/>
    <w:lvl w:ilvl="0">
      <w:lvlJc w:val="left"/>
      <w:lvlText w:val="(%1)"/>
      <w:numFmt w:val="decimal"/>
      <w:start w:val="1"/>
    </w:lvl>
  </w:abstractNum>
  <w:abstractNum w:abstractNumId="38">
    <w:nsid w:val="5EC6AFD4"/>
    <w:multiLevelType w:val="hybridMultilevel"/>
    <w:lvl w:ilvl="0">
      <w:lvlJc w:val="left"/>
      <w:lvlText w:val="●"/>
      <w:numFmt w:val="bullet"/>
      <w:start w:val="1"/>
    </w:lvl>
  </w:abstractNum>
  <w:abstractNum w:abstractNumId="39">
    <w:nsid w:val="19E21BB2"/>
    <w:multiLevelType w:val="hybridMultilevel"/>
    <w:lvl w:ilvl="0">
      <w:lvlJc w:val="left"/>
      <w:lvlText w:val="(%1)"/>
      <w:numFmt w:val="decimal"/>
      <w:start w:val="1"/>
    </w:lvl>
  </w:abstractNum>
  <w:abstractNum w:abstractNumId="40">
    <w:nsid w:val="75E0858A"/>
    <w:multiLevelType w:val="hybridMultilevel"/>
    <w:lvl w:ilvl="0">
      <w:lvlJc w:val="left"/>
      <w:lvlText w:val="(%1)"/>
      <w:numFmt w:val="decimal"/>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1)"/>
      <w:numFmt w:val="lowerRoman"/>
      <w:start w:val="1"/>
    </w:lvl>
  </w:abstractNum>
  <w:abstractNum w:abstractNumId="44">
    <w:nsid w:val="4427069A"/>
    <w:multiLevelType w:val="hybridMultilevel"/>
    <w:lvl w:ilvl="0">
      <w:lvlJc w:val="left"/>
      <w:lvlText w:val="●"/>
      <w:numFmt w:val="bullet"/>
      <w:start w:val="1"/>
    </w:lvl>
  </w:abstractNum>
  <w:abstractNum w:abstractNumId="45">
    <w:nsid w:val="B37E80A"/>
    <w:multiLevelType w:val="hybridMultilevel"/>
    <w:lvl w:ilvl="0">
      <w:lvlJc w:val="left"/>
      <w:lvlText w:val="●"/>
      <w:numFmt w:val="bullet"/>
      <w:start w:val="1"/>
    </w:lvl>
  </w:abstractNum>
  <w:abstractNum w:abstractNumId="46">
    <w:nsid w:val="2157F6BC"/>
    <w:multiLevelType w:val="hybridMultilevel"/>
    <w:lvl w:ilvl="0">
      <w:lvlJc w:val="left"/>
      <w:lvlText w:val="●"/>
      <w:numFmt w:val="bullet"/>
      <w:start w:val="1"/>
    </w:lvl>
  </w:abstractNum>
  <w:abstractNum w:abstractNumId="47">
    <w:nsid w:val="704E1DD5"/>
    <w:multiLevelType w:val="hybridMultilevel"/>
    <w:lvl w:ilvl="0">
      <w:lvlJc w:val="left"/>
      <w:lvlText w:val="(%1)"/>
      <w:numFmt w:val="lowerLetter"/>
      <w:start w:val="1"/>
    </w:lvl>
  </w:abstractNum>
  <w:abstractNum w:abstractNumId="48">
    <w:nsid w:val="57D2F10E"/>
    <w:multiLevelType w:val="hybridMultilevel"/>
    <w:lvl w:ilvl="0">
      <w:lvlJc w:val="left"/>
      <w:lvlText w:val="(%1)"/>
      <w:numFmt w:val="lowerLetter"/>
      <w:start w:val="1"/>
    </w:lvl>
  </w:abstractNum>
  <w:abstractNum w:abstractNumId="49">
    <w:nsid w:val="BFFAE18"/>
    <w:multiLevelType w:val="hybridMultilevel"/>
    <w:lvl w:ilvl="0">
      <w:lvlJc w:val="left"/>
      <w:lvlText w:val="(%1)"/>
      <w:numFmt w:val="lowerLetter"/>
      <w:start w:val="1"/>
    </w:lvl>
  </w:abstractNum>
  <w:abstractNum w:abstractNumId="50">
    <w:nsid w:val="E3E47A8"/>
    <w:multiLevelType w:val="hybridMultilevel"/>
    <w:lvl w:ilvl="0">
      <w:lvlJc w:val="left"/>
      <w:lvlText w:val="%1."/>
      <w:numFmt w:val="lowerLetter"/>
      <w:start w:val="1"/>
    </w:lvl>
  </w:abstractNum>
  <w:abstractNum w:abstractNumId="51">
    <w:nsid w:val="2E48F044"/>
    <w:multiLevelType w:val="hybridMultilevel"/>
    <w:lvl w:ilvl="0">
      <w:lvlJc w:val="left"/>
      <w:lvlText w:val="(%1)"/>
      <w:numFmt w:val="lowerLetter"/>
      <w:start w:val="1"/>
    </w:lvl>
  </w:abstractNum>
  <w:abstractNum w:abstractNumId="52">
    <w:nsid w:val="49D0FEAC"/>
    <w:multiLevelType w:val="hybridMultilevel"/>
    <w:lvl w:ilvl="0">
      <w:lvlJc w:val="left"/>
      <w:lvlText w:val="%1."/>
      <w:numFmt w:val="lowerLetter"/>
      <w:start w:val="1"/>
    </w:lvl>
  </w:abstractNum>
  <w:abstractNum w:abstractNumId="53">
    <w:nsid w:val="4BEE5A5B"/>
    <w:multiLevelType w:val="hybridMultilevel"/>
    <w:lvl w:ilvl="0">
      <w:lvlJc w:val="left"/>
      <w:lvlText w:val="(%1)"/>
      <w:numFmt w:val="lowerRoman"/>
      <w:start w:val="2"/>
    </w:lvl>
  </w:abstractNum>
  <w:abstractNum w:abstractNumId="54">
    <w:nsid w:val="5551B9F3"/>
    <w:multiLevelType w:val="hybridMultilevel"/>
    <w:lvl w:ilvl="0">
      <w:lvlJc w:val="left"/>
      <w:lvlText w:val="●"/>
      <w:numFmt w:val="bullet"/>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
      <w:numFmt w:val="bullet"/>
      <w:start w:val="1"/>
    </w:lvl>
  </w:abstractNum>
  <w:abstractNum w:abstractNumId="57">
    <w:nsid w:val="24E99DD7"/>
    <w:multiLevelType w:val="hybridMultilevel"/>
    <w:lvl w:ilvl="0">
      <w:lvlJc w:val="left"/>
      <w:lvlText w:val="●"/>
      <w:numFmt w:val="bullet"/>
      <w:start w:val="1"/>
    </w:lvl>
  </w:abstractNum>
  <w:abstractNum w:abstractNumId="58">
    <w:nsid w:val="2A31B62D"/>
    <w:multiLevelType w:val="hybridMultilevel"/>
    <w:lvl w:ilvl="0">
      <w:lvlJc w:val="left"/>
      <w:lvlText w:val="(%1)"/>
      <w:numFmt w:val="lowerLetter"/>
      <w:start w:val="1"/>
    </w:lvl>
  </w:abstractNum>
  <w:abstractNum w:abstractNumId="59">
    <w:nsid w:val="1849C29B"/>
    <w:multiLevelType w:val="hybridMultilevel"/>
    <w:lvl w:ilvl="0">
      <w:lvlJc w:val="left"/>
      <w:lvlText w:val="(%1)"/>
      <w:numFmt w:val="lowerLetter"/>
      <w:start w:val="2"/>
    </w:lvl>
  </w:abstractNum>
  <w:abstractNum w:abstractNumId="60">
    <w:nsid w:val="7DFF9D09"/>
    <w:multiLevelType w:val="hybridMultilevel"/>
    <w:lvl w:ilvl="0">
      <w:lvlJc w:val="left"/>
      <w:lvlText w:val="(%1)"/>
      <w:numFmt w:val="lowerRoman"/>
      <w:start w:val="3"/>
    </w:lvl>
  </w:abstractNum>
  <w:abstractNum w:abstractNumId="61">
    <w:nsid w:val="754342"/>
    <w:multiLevelType w:val="hybridMultilevel"/>
    <w:lvl w:ilvl="0">
      <w:lvlJc w:val="left"/>
      <w:lvlText w:val="●"/>
      <w:numFmt w:val="bullet"/>
      <w:start w:val="1"/>
    </w:lvl>
  </w:abstractNum>
  <w:abstractNum w:abstractNumId="62">
    <w:nsid w:val="69E7F3E5"/>
    <w:multiLevelType w:val="hybridMultilevel"/>
    <w:lvl w:ilvl="0">
      <w:lvlJc w:val="left"/>
      <w:lvlText w:val="(%1)"/>
      <w:numFmt w:val="decimal"/>
      <w:start w:val="1"/>
    </w:lvl>
  </w:abstractNum>
  <w:abstractNum w:abstractNumId="63">
    <w:nsid w:val="2A6DE806"/>
    <w:multiLevelType w:val="hybridMultilevel"/>
    <w:lvl w:ilvl="0">
      <w:lvlJc w:val="left"/>
      <w:lvlText w:val="(%1)"/>
      <w:numFmt w:val="decimal"/>
      <w:start w:val="3"/>
    </w:lvl>
  </w:abstractNum>
  <w:abstractNum w:abstractNumId="64">
    <w:nsid w:val="1816F8C4"/>
    <w:multiLevelType w:val="hybridMultilevel"/>
    <w:lvl w:ilvl="0">
      <w:lvlJc w:val="left"/>
      <w:lvlText w:val="(%1)"/>
      <w:numFmt w:val="decimal"/>
      <w:start w:val="1"/>
    </w:lvl>
  </w:abstractNum>
  <w:abstractNum w:abstractNumId="65">
    <w:nsid w:val="37DF2233"/>
    <w:multiLevelType w:val="hybridMultilevel"/>
    <w:lvl w:ilvl="0">
      <w:lvlJc w:val="left"/>
      <w:lvlText w:val="(%1)"/>
      <w:numFmt w:val="decimal"/>
      <w:start w:val="1"/>
    </w:lvl>
  </w:abstractNum>
  <w:abstractNum w:abstractNumId="66">
    <w:nsid w:val="7AB49DAF"/>
    <w:multiLevelType w:val="hybridMultilevel"/>
    <w:lvl w:ilvl="0">
      <w:lvlJc w:val="left"/>
      <w:lvlText w:val="●"/>
      <w:numFmt w:val="bullet"/>
      <w:start w:val="1"/>
    </w:lvl>
  </w:abstractNum>
  <w:abstractNum w:abstractNumId="67">
    <w:nsid w:val="759F82CD"/>
    <w:multiLevelType w:val="hybridMultilevel"/>
    <w:lvl w:ilvl="0">
      <w:lvlJc w:val="left"/>
      <w:lvlText w:val="●"/>
      <w:numFmt w:val="bullet"/>
      <w:start w:val="1"/>
    </w:lvl>
  </w:abstractNum>
  <w:abstractNum w:abstractNumId="68">
    <w:nsid w:val="61E74EA3"/>
    <w:multiLevelType w:val="hybridMultilevel"/>
    <w:lvl w:ilvl="0">
      <w:lvlJc w:val="left"/>
      <w:lvlText w:val="●"/>
      <w:numFmt w:val="bullet"/>
      <w:start w:val="1"/>
    </w:lvl>
  </w:abstractNum>
  <w:abstractNum w:abstractNumId="69">
    <w:nsid w:val="597B4D84"/>
    <w:multiLevelType w:val="hybridMultilevel"/>
    <w:lvl w:ilvl="0">
      <w:lvlJc w:val="left"/>
      <w:lvlText w:val="(%1)"/>
      <w:numFmt w:val="decimal"/>
      <w:start w:val="1"/>
    </w:lvl>
  </w:abstractNum>
  <w:abstractNum w:abstractNumId="70">
    <w:nsid w:val="F819E7F"/>
    <w:multiLevelType w:val="hybridMultilevel"/>
    <w:lvl w:ilvl="0">
      <w:lvlJc w:val="left"/>
      <w:lvlText w:val="(%1)"/>
      <w:numFmt w:val="decimal"/>
      <w:start w:val="1"/>
    </w:lvl>
  </w:abstractNum>
  <w:abstractNum w:abstractNumId="71">
    <w:nsid w:val="57C7D42D"/>
    <w:multiLevelType w:val="hybridMultilevel"/>
    <w:lvl w:ilvl="0">
      <w:lvlJc w:val="left"/>
      <w:lvlText w:val="(%1)"/>
      <w:numFmt w:val="decimal"/>
      <w:start w:val="1"/>
    </w:lvl>
  </w:abstractNum>
  <w:abstractNum w:abstractNumId="72">
    <w:nsid w:val="312167AD"/>
    <w:multiLevelType w:val="hybridMultilevel"/>
    <w:lvl w:ilvl="0">
      <w:lvlJc w:val="left"/>
      <w:lvlText w:val="(%1)"/>
      <w:numFmt w:val="decimal"/>
      <w:start w:val="1"/>
    </w:lvl>
  </w:abstractNum>
  <w:abstractNum w:abstractNumId="73">
    <w:nsid w:val="631B64D4"/>
    <w:multiLevelType w:val="hybridMultilevel"/>
    <w:lvl w:ilvl="0">
      <w:lvlJc w:val="left"/>
      <w:lvlText w:val="(%1)"/>
      <w:numFmt w:val="decimal"/>
      <w:start w:val="1"/>
    </w:lvl>
  </w:abstractNum>
  <w:abstractNum w:abstractNumId="74">
    <w:nsid w:val="78B5E776"/>
    <w:multiLevelType w:val="hybridMultilevel"/>
    <w:lvl w:ilvl="0">
      <w:lvlJc w:val="left"/>
      <w:lvlText w:val="●"/>
      <w:numFmt w:val="bullet"/>
      <w:start w:val="1"/>
    </w:lvl>
  </w:abstractNum>
  <w:abstractNum w:abstractNumId="75">
    <w:nsid w:val="75486E47"/>
    <w:multiLevelType w:val="hybridMultilevel"/>
    <w:lvl w:ilvl="0">
      <w:lvlJc w:val="left"/>
      <w:lvlText w:val="●"/>
      <w:numFmt w:val="bullet"/>
      <w:start w:val="1"/>
    </w:lvl>
  </w:abstractNum>
  <w:abstractNum w:abstractNumId="76">
    <w:nsid w:val="6E534CDE"/>
    <w:multiLevelType w:val="hybridMultilevel"/>
    <w:lvl w:ilvl="0">
      <w:lvlJc w:val="left"/>
      <w:lvlText w:val="●"/>
      <w:numFmt w:val="bullet"/>
      <w:start w:val="1"/>
    </w:lvl>
  </w:abstractNum>
  <w:abstractNum w:abstractNumId="77">
    <w:nsid w:val="1A0DDE32"/>
    <w:multiLevelType w:val="hybridMultilevel"/>
    <w:lvl w:ilvl="0">
      <w:lvlJc w:val="left"/>
      <w:lvlText w:val="●"/>
      <w:numFmt w:val="bullet"/>
      <w:start w:val="1"/>
    </w:lvl>
    <w:lvl w:ilvl="1">
      <w:lvlJc w:val="left"/>
      <w:lvlText w:val="○"/>
      <w:numFmt w:val="bullet"/>
      <w:start w:val="1"/>
    </w:lvl>
  </w:abstractNum>
  <w:abstractNum w:abstractNumId="78">
    <w:nsid w:val="65968C1C"/>
    <w:multiLevelType w:val="hybridMultilevel"/>
    <w:lvl w:ilvl="0">
      <w:lvlJc w:val="left"/>
      <w:lvlText w:val="●"/>
      <w:numFmt w:val="bullet"/>
      <w:start w:val="1"/>
    </w:lvl>
    <w:lvl w:ilvl="1">
      <w:lvlJc w:val="left"/>
      <w:lvlText w:val="○"/>
      <w:numFmt w:val="bullet"/>
      <w:start w:val="1"/>
    </w:lvl>
  </w:abstractNum>
  <w:abstractNum w:abstractNumId="79">
    <w:nsid w:val="46263DEC"/>
    <w:multiLevelType w:val="hybridMultilevel"/>
    <w:lvl w:ilvl="0">
      <w:lvlJc w:val="left"/>
      <w:lvlText w:val="(%1)"/>
      <w:numFmt w:val="decimal"/>
      <w:start w:val="1"/>
    </w:lvl>
  </w:abstractNum>
  <w:abstractNum w:abstractNumId="80">
    <w:nsid w:val="260D8C4A"/>
    <w:multiLevelType w:val="hybridMultilevel"/>
    <w:lvl w:ilvl="0">
      <w:lvlJc w:val="left"/>
      <w:lvlText w:val="●"/>
      <w:numFmt w:val="bullet"/>
      <w:start w:val="1"/>
    </w:lvl>
  </w:abstractNum>
  <w:abstractNum w:abstractNumId="81">
    <w:nsid w:val="73D4D3C4"/>
    <w:multiLevelType w:val="hybridMultilevel"/>
    <w:lvl w:ilvl="0">
      <w:lvlJc w:val="left"/>
      <w:lvlText w:val="●"/>
      <w:numFmt w:val="bullet"/>
      <w:start w:val="1"/>
    </w:lvl>
  </w:abstractNum>
  <w:abstractNum w:abstractNumId="82">
    <w:nsid w:val="746F2E30"/>
    <w:multiLevelType w:val="hybridMultilevel"/>
    <w:lvl w:ilvl="0">
      <w:lvlJc w:val="left"/>
      <w:lvlText w:val="(%1)"/>
      <w:numFmt w:val="decimal"/>
      <w:start w:val="1"/>
    </w:lvl>
  </w:abstractNum>
  <w:abstractNum w:abstractNumId="83">
    <w:nsid w:val="6FDE8AF6"/>
    <w:multiLevelType w:val="hybridMultilevel"/>
    <w:lvl w:ilvl="0">
      <w:lvlJc w:val="left"/>
      <w:lvlText w:val="("/>
      <w:numFmt w:val="bullet"/>
      <w:start w:val="1"/>
    </w:lvl>
  </w:abstractNum>
  <w:abstractNum w:abstractNumId="84">
    <w:nsid w:val="3FC32E20"/>
    <w:multiLevelType w:val="hybridMultilevel"/>
    <w:lvl w:ilvl="0">
      <w:lvlJc w:val="left"/>
      <w:lvlText w:val="●"/>
      <w:numFmt w:val="bullet"/>
      <w:start w:val="1"/>
    </w:lvl>
  </w:abstractNum>
  <w:abstractNum w:abstractNumId="85">
    <w:nsid w:val="49C0E823"/>
    <w:multiLevelType w:val="hybridMultilevel"/>
    <w:lvl w:ilvl="0">
      <w:lvlJc w:val="left"/>
      <w:lvlText w:val="%1."/>
      <w:numFmt w:val="decimal"/>
      <w:start w:val="1"/>
    </w:lvl>
  </w:abstractNum>
  <w:abstractNum w:abstractNumId="86">
    <w:nsid w:val="14D53685"/>
    <w:multiLevelType w:val="hybridMultilevel"/>
    <w:lvl w:ilvl="0">
      <w:lvlJc w:val="left"/>
      <w:lvlText w:val="%1."/>
      <w:numFmt w:val="decimal"/>
      <w:start w:val="17"/>
    </w:lvl>
  </w:abstractNum>
  <w:abstractNum w:abstractNumId="87">
    <w:nsid w:val="230F856C"/>
    <w:multiLevelType w:val="hybridMultilevel"/>
    <w:lvl w:ilvl="0">
      <w:lvlJc w:val="left"/>
      <w:lvlText w:val="(%1)"/>
      <w:numFmt w:val="decimal"/>
      <w:start w:val="1"/>
    </w:lvl>
  </w:abstractNum>
  <w:abstractNum w:abstractNumId="88">
    <w:nsid w:val="6EAA85FB"/>
    <w:multiLevelType w:val="hybridMultilevel"/>
    <w:lvl w:ilvl="0">
      <w:lvlJc w:val="left"/>
      <w:lvlText w:val="(%1)"/>
      <w:numFmt w:val="decimal"/>
      <w:start w:val="1"/>
    </w:lvl>
  </w:abstractNum>
  <w:abstractNum w:abstractNumId="89">
    <w:nsid w:val="3F06ECB2"/>
    <w:multiLevelType w:val="hybridMultilevel"/>
    <w:lvl w:ilvl="0">
      <w:lvlJc w:val="left"/>
      <w:lvlText w:val="(%1)"/>
      <w:numFmt w:val="decimal"/>
      <w:start w:val="1"/>
    </w:lvl>
  </w:abstractNum>
  <w:abstractNum w:abstractNumId="90">
    <w:nsid w:val="3B594807"/>
    <w:multiLevelType w:val="hybridMultilevel"/>
    <w:lvl w:ilvl="0">
      <w:lvlJc w:val="left"/>
      <w:lvlText w:val="(%1)"/>
      <w:numFmt w:val="decimal"/>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1)"/>
      <w:numFmt w:val="decimal"/>
      <w:start w:val="1"/>
    </w:lvl>
  </w:abstractNum>
  <w:abstractNum w:abstractNumId="93">
    <w:nsid w:val="25413BEC"/>
    <w:multiLevelType w:val="hybridMultilevel"/>
    <w:lvl w:ilvl="0">
      <w:lvlJc w:val="left"/>
      <w:lvlText w:val="(%1)"/>
      <w:numFmt w:val="decimal"/>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
      <w:numFmt w:val="bullet"/>
      <w:start w:val="1"/>
    </w:lvl>
  </w:abstractNum>
  <w:abstractNum w:abstractNumId="96">
    <w:nsid w:val="5D205E20"/>
    <w:multiLevelType w:val="hybridMultilevel"/>
    <w:lvl w:ilvl="0">
      <w:lvlJc w:val="left"/>
      <w:lvlText w:val="●"/>
      <w:numFmt w:val="bullet"/>
      <w:start w:val="1"/>
    </w:lvl>
  </w:abstractNum>
  <w:abstractNum w:abstractNumId="97">
    <w:nsid w:val="11CCA8BA"/>
    <w:multiLevelType w:val="hybridMultilevel"/>
    <w:lvl w:ilvl="0">
      <w:lvlJc w:val="left"/>
      <w:lvlText w:val="(%1)"/>
      <w:numFmt w:val="decimal"/>
      <w:start w:val="1"/>
    </w:lvl>
  </w:abstractNum>
  <w:abstractNum w:abstractNumId="98">
    <w:nsid w:val="4D32AB86"/>
    <w:multiLevelType w:val="hybridMultilevel"/>
    <w:lvl w:ilvl="0">
      <w:lvlJc w:val="left"/>
      <w:lvlText w:val="(%1)"/>
      <w:numFmt w:val="decimal"/>
      <w:start w:val="1"/>
    </w:lvl>
  </w:abstractNum>
  <w:abstractNum w:abstractNumId="99">
    <w:nsid w:val="3F07ACC3"/>
    <w:multiLevelType w:val="hybridMultilevel"/>
    <w:lvl w:ilvl="0">
      <w:lvlJc w:val="left"/>
      <w:lvlText w:val="%1."/>
      <w:numFmt w:val="decimal"/>
      <w:start w:val="4"/>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1)"/>
      <w:numFmt w:val="decimal"/>
      <w:start w:val="1"/>
    </w:lvl>
  </w:abstractNum>
  <w:abstractNum w:abstractNumId="102">
    <w:nsid w:val="16CF80F1"/>
    <w:multiLevelType w:val="hybridMultilevel"/>
    <w:lvl w:ilvl="0">
      <w:lvlJc w:val="left"/>
      <w:lvlText w:val="(%1)"/>
      <w:numFmt w:val="decimal"/>
      <w:start w:val="1"/>
    </w:lvl>
  </w:abstractNum>
  <w:abstractNum w:abstractNumId="103">
    <w:nsid w:val="1C695DEC"/>
    <w:multiLevelType w:val="hybridMultilevel"/>
    <w:lvl w:ilvl="0">
      <w:lvlJc w:val="left"/>
      <w:lvlText w:val="(%1)"/>
      <w:numFmt w:val="decimal"/>
      <w:start w:val="1"/>
    </w:lvl>
  </w:abstractNum>
  <w:abstractNum w:abstractNumId="104">
    <w:nsid w:val="3FCFAED9"/>
    <w:multiLevelType w:val="hybridMultilevel"/>
    <w:lvl w:ilvl="0">
      <w:lvlJc w:val="left"/>
      <w:lvlText w:val="(%1)"/>
      <w:numFmt w:val="decimal"/>
      <w:start w:val="1"/>
    </w:lvl>
  </w:abstractNum>
  <w:abstractNum w:abstractNumId="105">
    <w:nsid w:val="F856867"/>
    <w:multiLevelType w:val="hybridMultilevel"/>
    <w:lvl w:ilvl="0">
      <w:lvlJc w:val="left"/>
      <w:lvlText w:val="(%1)"/>
      <w:numFmt w:val="decimal"/>
      <w:start w:val="1"/>
    </w:lvl>
  </w:abstractNum>
  <w:abstractNum w:abstractNumId="106">
    <w:nsid w:val="11B1CC33"/>
    <w:multiLevelType w:val="hybridMultilevel"/>
    <w:lvl w:ilvl="0">
      <w:lvlJc w:val="left"/>
      <w:lvlText w:val="(%1)"/>
      <w:numFmt w:val="decimal"/>
      <w:start w:val="1"/>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1."/>
      <w:numFmt w:val="decimal"/>
      <w:start w:val="15"/>
    </w:lvl>
    <w:lvl w:ilvl="1">
      <w:lvlJc w:val="left"/>
      <w:lvlText w:val="●"/>
      <w:numFmt w:val="bullet"/>
      <w:start w:val="1"/>
    </w:lvl>
  </w:abstractNum>
  <w:abstractNum w:abstractNumId="109">
    <w:nsid w:val="77485850"/>
    <w:multiLevelType w:val="hybridMultilevel"/>
    <w:lvl w:ilvl="0">
      <w:lvlJc w:val="left"/>
      <w:lvlText w:val="(%1)"/>
      <w:numFmt w:val="decimal"/>
      <w:start w:val="1"/>
    </w:lvl>
  </w:abstractNum>
  <w:abstractNum w:abstractNumId="110">
    <w:nsid w:val="744939A3"/>
    <w:multiLevelType w:val="hybridMultilevel"/>
    <w:lvl w:ilvl="0">
      <w:lvlJc w:val="left"/>
      <w:lvlText w:val="(%1)"/>
      <w:numFmt w:val="decimal"/>
      <w:start w:val="1"/>
    </w:lvl>
  </w:abstractNum>
  <w:abstractNum w:abstractNumId="111">
    <w:nsid w:val="4FA0D2E3"/>
    <w:multiLevelType w:val="hybridMultilevel"/>
    <w:lvl w:ilvl="0">
      <w:lvlJc w:val="left"/>
      <w:lvlText w:val="(%1)"/>
      <w:numFmt w:val="decimal"/>
      <w:start w:val="1"/>
    </w:lvl>
  </w:abstractNum>
  <w:abstractNum w:abstractNumId="112">
    <w:nsid w:val="6B1D2C14"/>
    <w:multiLevelType w:val="hybridMultilevel"/>
    <w:lvl w:ilvl="0">
      <w:lvlJc w:val="left"/>
      <w:lvlText w:val="(%1)"/>
      <w:numFmt w:val="decimal"/>
      <w:start w:val="1"/>
    </w:lvl>
  </w:abstractNum>
  <w:abstractNum w:abstractNumId="113">
    <w:nsid w:val="68B867D3"/>
    <w:multiLevelType w:val="hybridMultilevel"/>
    <w:lvl w:ilvl="0">
      <w:lvlJc w:val="left"/>
      <w:lvlText w:val="●"/>
      <w:numFmt w:val="bullet"/>
      <w:start w:val="1"/>
    </w:lvl>
  </w:abstractNum>
  <w:abstractNum w:abstractNumId="114">
    <w:nsid w:val="3F7F5DD9"/>
    <w:multiLevelType w:val="hybridMultilevel"/>
    <w:lvl w:ilvl="0">
      <w:lvlJc w:val="left"/>
      <w:lvlText w:val="●"/>
      <w:numFmt w:val="bullet"/>
      <w:start w:val="1"/>
    </w:lvl>
  </w:abstractNum>
  <w:abstractNum w:abstractNumId="115">
    <w:nsid w:val="2AE05A34"/>
    <w:multiLevelType w:val="hybridMultilevel"/>
    <w:lvl w:ilvl="0">
      <w:lvlJc w:val="left"/>
      <w:lvlText w:val="(%1)"/>
      <w:numFmt w:val="decimal"/>
      <w:start w:val="1"/>
    </w:lvl>
  </w:abstractNum>
  <w:abstractNum w:abstractNumId="116">
    <w:nsid w:val="32794FF7"/>
    <w:multiLevelType w:val="hybridMultilevel"/>
    <w:lvl w:ilvl="0">
      <w:lvlJc w:val="left"/>
      <w:lvlText w:val="(%1)"/>
      <w:numFmt w:val="lowerRoman"/>
      <w:start w:val="1"/>
    </w:lvl>
  </w:abstractNum>
  <w:abstractNum w:abstractNumId="117">
    <w:nsid w:val="5454945E"/>
    <w:multiLevelType w:val="hybridMultilevel"/>
    <w:lvl w:ilvl="0">
      <w:lvlJc w:val="left"/>
      <w:lvlText w:val="%1."/>
      <w:numFmt w:val="decimal"/>
      <w:start w:val="1"/>
    </w:lvl>
  </w:abstractNum>
  <w:abstractNum w:abstractNumId="118">
    <w:nsid w:val="4DEFDFA0"/>
    <w:multiLevelType w:val="hybridMultilevel"/>
    <w:lvl w:ilvl="0">
      <w:lvlJc w:val="left"/>
      <w:lvlText w:val="(%1)"/>
      <w:numFmt w:val="decimal"/>
      <w:start w:val="1"/>
    </w:lvl>
  </w:abstractNum>
  <w:abstractNum w:abstractNumId="119">
    <w:nsid w:val="2123D5F2"/>
    <w:multiLevelType w:val="hybridMultilevel"/>
    <w:lvl w:ilvl="0">
      <w:lvlJc w:val="left"/>
      <w:lvlText w:val="●"/>
      <w:numFmt w:val="bullet"/>
      <w:start w:val="1"/>
    </w:lvl>
  </w:abstractNum>
  <w:abstractNum w:abstractNumId="120">
    <w:nsid w:val="135B8110"/>
    <w:multiLevelType w:val="hybridMultilevel"/>
    <w:lvl w:ilvl="0">
      <w:lvlJc w:val="left"/>
      <w:lvlText w:val="%1."/>
      <w:numFmt w:val="decimal"/>
      <w:start w:val="1"/>
    </w:lvl>
  </w:abstractNum>
  <w:abstractNum w:abstractNumId="121">
    <w:nsid w:val="94927A8"/>
    <w:multiLevelType w:val="hybridMultilevel"/>
    <w:lvl w:ilvl="0">
      <w:lvlJc w:val="left"/>
      <w:lvlText w:val="%1."/>
      <w:numFmt w:val="decimal"/>
      <w:start w:val="2"/>
    </w:lvl>
  </w:abstractNum>
  <w:abstractNum w:abstractNumId="122">
    <w:nsid w:val="DCDF8F6"/>
    <w:multiLevelType w:val="hybridMultilevel"/>
    <w:lvl w:ilvl="0">
      <w:lvlJc w:val="left"/>
      <w:lvlText w:val="%1."/>
      <w:numFmt w:val="decimal"/>
      <w:start w:val="2"/>
    </w:lvl>
  </w:abstractNum>
  <w:abstractNum w:abstractNumId="123">
    <w:nsid w:val="52D7B105"/>
    <w:multiLevelType w:val="hybridMultilevel"/>
    <w:lvl w:ilvl="0">
      <w:lvlJc w:val="left"/>
      <w:lvlText w:val="%1."/>
      <w:numFmt w:val="decimal"/>
      <w:start w:val="2"/>
    </w:lvl>
  </w:abstractNum>
  <w:abstractNum w:abstractNumId="124">
    <w:nsid w:val="2E8A6394"/>
    <w:multiLevelType w:val="hybridMultilevel"/>
    <w:lvl w:ilvl="0">
      <w:lvlJc w:val="left"/>
      <w:lvlText w:val="%1."/>
      <w:numFmt w:val="decimal"/>
      <w:start w:val="2"/>
    </w:lvl>
  </w:abstractNum>
  <w:abstractNum w:abstractNumId="125">
    <w:nsid w:val="24E60401"/>
    <w:multiLevelType w:val="hybridMultilevel"/>
    <w:lvl w:ilvl="0">
      <w:lvlJc w:val="left"/>
      <w:lvlText w:val="%1."/>
      <w:numFmt w:val="decimal"/>
      <w:start w:val="3"/>
    </w:lvl>
  </w:abstractNum>
  <w:abstractNum w:abstractNumId="126">
    <w:nsid w:val="2A6AD9BE"/>
    <w:multiLevelType w:val="hybridMultilevel"/>
    <w:lvl w:ilvl="0">
      <w:lvlJc w:val="left"/>
      <w:lvlText w:val="%1."/>
      <w:numFmt w:val="decimal"/>
      <w:start w:val="3"/>
    </w:lvl>
  </w:abstractNum>
  <w:abstractNum w:abstractNumId="127">
    <w:nsid w:val="BAAC1B4"/>
    <w:multiLevelType w:val="hybridMultilevel"/>
    <w:lvl w:ilvl="0">
      <w:lvlJc w:val="left"/>
      <w:lvlText w:val="%1."/>
      <w:numFmt w:val="decimal"/>
      <w:start w:val="4"/>
    </w:lvl>
  </w:abstractNum>
  <w:abstractNum w:abstractNumId="128">
    <w:nsid w:val="36B2ACBC"/>
    <w:multiLevelType w:val="hybridMultilevel"/>
    <w:lvl w:ilvl="0">
      <w:lvlJc w:val="left"/>
      <w:lvlText w:val="%1."/>
      <w:numFmt w:val="decimal"/>
      <w:start w:val="4"/>
    </w:lvl>
  </w:abstractNum>
  <w:abstractNum w:abstractNumId="129">
    <w:nsid w:val="779D8544"/>
    <w:multiLevelType w:val="hybridMultilevel"/>
    <w:lvl w:ilvl="0">
      <w:lvlJc w:val="left"/>
      <w:lvlText w:val="%1."/>
      <w:numFmt w:val="decimal"/>
      <w:start w:val="5"/>
    </w:lvl>
  </w:abstractNum>
  <w:abstractNum w:abstractNumId="130">
    <w:nsid w:val="4AB26E78"/>
    <w:multiLevelType w:val="hybridMultilevel"/>
    <w:lvl w:ilvl="0">
      <w:lvlJc w:val="left"/>
      <w:lvlText w:val="%1."/>
      <w:numFmt w:val="decimal"/>
      <w:start w:val="6"/>
    </w:lvl>
  </w:abstractNum>
  <w:abstractNum w:abstractNumId="131">
    <w:nsid w:val="21FAA2FA"/>
    <w:multiLevelType w:val="hybridMultilevel"/>
    <w:lvl w:ilvl="0">
      <w:lvlJc w:val="left"/>
      <w:lvlText w:val="%1."/>
      <w:numFmt w:val="decimal"/>
      <w:start w:val="7"/>
    </w:lvl>
  </w:abstractNum>
  <w:abstractNum w:abstractNumId="132">
    <w:nsid w:val="5451CF49"/>
    <w:multiLevelType w:val="hybridMultilevel"/>
    <w:lvl w:ilvl="0">
      <w:lvlJc w:val="left"/>
      <w:lvlText w:val="%1."/>
      <w:numFmt w:val="decimal"/>
      <w:start w:val="1"/>
    </w:lvl>
  </w:abstractNum>
  <w:abstractNum w:abstractNumId="133">
    <w:nsid w:val="6181EF69"/>
    <w:multiLevelType w:val="hybridMultilevel"/>
    <w:lvl w:ilvl="0">
      <w:lvlJc w:val="left"/>
      <w:lvlText w:val="%1."/>
      <w:numFmt w:val="decimal"/>
      <w:start w:val="2"/>
    </w:lvl>
  </w:abstractNum>
  <w:abstractNum w:abstractNumId="134">
    <w:nsid w:val="3E6400E6"/>
    <w:multiLevelType w:val="hybridMultilevel"/>
    <w:lvl w:ilvl="0">
      <w:lvlJc w:val="left"/>
      <w:lvlText w:val="%1."/>
      <w:numFmt w:val="decimal"/>
      <w:start w:val="2"/>
    </w:lvl>
  </w:abstractNum>
  <w:abstractNum w:abstractNumId="135">
    <w:nsid w:val="14217E23"/>
    <w:multiLevelType w:val="hybridMultilevel"/>
    <w:lvl w:ilvl="0">
      <w:lvlJc w:val="left"/>
      <w:lvlText w:val="%1."/>
      <w:numFmt w:val="decimal"/>
      <w:start w:val="2"/>
    </w:lvl>
  </w:abstractNum>
  <w:abstractNum w:abstractNumId="136">
    <w:nsid w:val="710757D0"/>
    <w:multiLevelType w:val="hybridMultilevel"/>
    <w:lvl w:ilvl="0">
      <w:lvlJc w:val="left"/>
      <w:lvlText w:val="%1."/>
      <w:numFmt w:val="decimal"/>
      <w:start w:val="2"/>
    </w:lvl>
  </w:abstractNum>
  <w:abstractNum w:abstractNumId="137">
    <w:nsid w:val="5015CD1A"/>
    <w:multiLevelType w:val="hybridMultilevel"/>
    <w:lvl w:ilvl="0">
      <w:lvlJc w:val="left"/>
      <w:lvlText w:val="%1."/>
      <w:numFmt w:val="decimal"/>
      <w:start w:val="3"/>
    </w:lvl>
  </w:abstractNum>
  <w:abstractNum w:abstractNumId="138">
    <w:nsid w:val="424479DA"/>
    <w:multiLevelType w:val="hybridMultilevel"/>
    <w:lvl w:ilvl="0">
      <w:lvlJc w:val="left"/>
      <w:lvlText w:val="%1."/>
      <w:numFmt w:val="decimal"/>
      <w:start w:val="3"/>
    </w:lvl>
  </w:abstractNum>
  <w:abstractNum w:abstractNumId="139">
    <w:nsid w:val="1A9A9E69"/>
    <w:multiLevelType w:val="hybridMultilevel"/>
    <w:lvl w:ilvl="0">
      <w:lvlJc w:val="left"/>
      <w:lvlText w:val="%1."/>
      <w:numFmt w:val="decimal"/>
      <w:start w:val="4"/>
    </w:lvl>
  </w:abstractNum>
  <w:abstractNum w:abstractNumId="140">
    <w:nsid w:val="475E256A"/>
    <w:multiLevelType w:val="hybridMultilevel"/>
    <w:lvl w:ilvl="0">
      <w:lvlJc w:val="left"/>
      <w:lvlText w:val="%1."/>
      <w:numFmt w:val="decimal"/>
      <w:start w:val="4"/>
    </w:lvl>
  </w:abstractNum>
  <w:abstractNum w:abstractNumId="141">
    <w:nsid w:val="368DB37E"/>
    <w:multiLevelType w:val="hybridMultilevel"/>
    <w:lvl w:ilvl="0">
      <w:lvlJc w:val="left"/>
      <w:lvlText w:val="%1."/>
      <w:numFmt w:val="decimal"/>
      <w:start w:val="5"/>
    </w:lvl>
  </w:abstractNum>
  <w:abstractNum w:abstractNumId="142">
    <w:nsid w:val="6A3B714C"/>
    <w:multiLevelType w:val="hybridMultilevel"/>
    <w:lvl w:ilvl="0">
      <w:lvlJc w:val="left"/>
      <w:lvlText w:val="%1."/>
      <w:numFmt w:val="decimal"/>
      <w:start w:val="6"/>
    </w:lvl>
  </w:abstractNum>
  <w:abstractNum w:abstractNumId="143">
    <w:nsid w:val="327B517E"/>
    <w:multiLevelType w:val="hybridMultilevel"/>
    <w:lvl w:ilvl="0">
      <w:lvlJc w:val="left"/>
      <w:lvlText w:val="%1."/>
      <w:numFmt w:val="decimal"/>
      <w:start w:val="7"/>
    </w:lvl>
  </w:abstractNum>
  <w:abstractNum w:abstractNumId="144">
    <w:nsid w:val="1F461B51"/>
    <w:multiLevelType w:val="hybridMultilevel"/>
    <w:lvl w:ilvl="0">
      <w:lvlJc w:val="left"/>
      <w:lvlText w:val="%1."/>
      <w:numFmt w:val="decimal"/>
      <w:start w:val="8"/>
    </w:lvl>
  </w:abstractNum>
  <w:abstractNum w:abstractNumId="145">
    <w:nsid w:val="29BACF25"/>
    <w:multiLevelType w:val="hybridMultilevel"/>
    <w:lvl w:ilvl="0">
      <w:lvlJc w:val="left"/>
      <w:lvlText w:val="%1."/>
      <w:numFmt w:val="decimal"/>
      <w:start w:val="9"/>
    </w:lvl>
  </w:abstractNum>
  <w:abstractNum w:abstractNumId="146">
    <w:nsid w:val="5D5BABB3"/>
    <w:multiLevelType w:val="hybridMultilevel"/>
    <w:lvl w:ilvl="0">
      <w:lvlJc w:val="left"/>
      <w:lvlText w:val="%1."/>
      <w:numFmt w:val="decimal"/>
      <w:start w:val="1"/>
    </w:lvl>
  </w:abstractNum>
  <w:abstractNum w:abstractNumId="147">
    <w:nsid w:val="51BF6B48"/>
    <w:multiLevelType w:val="hybridMultilevel"/>
    <w:lvl w:ilvl="0">
      <w:lvlJc w:val="left"/>
      <w:lvlText w:val="%1."/>
      <w:numFmt w:val="decimal"/>
      <w:start w:val="2"/>
    </w:lvl>
  </w:abstractNum>
  <w:abstractNum w:abstractNumId="148">
    <w:nsid w:val="7E0F6384"/>
    <w:multiLevelType w:val="hybridMultilevel"/>
    <w:lvl w:ilvl="0">
      <w:lvlJc w:val="left"/>
      <w:lvlText w:val="3"/>
      <w:numFmt w:val="bullet"/>
      <w:start w:val="1"/>
    </w:lvl>
  </w:abstractNum>
  <w:abstractNum w:abstractNumId="149">
    <w:nsid w:val="2B4B8B53"/>
    <w:multiLevelType w:val="hybridMultilevel"/>
    <w:lvl w:ilvl="0">
      <w:lvlJc w:val="left"/>
      <w:lvlText w:val="*"/>
      <w:numFmt w:val="bullet"/>
      <w:start w:val="1"/>
    </w:lvl>
  </w:abstractNum>
  <w:abstractNum w:abstractNumId="150">
    <w:nsid w:val="72E3413A"/>
    <w:multiLevelType w:val="hybridMultilevel"/>
    <w:lvl w:ilvl="0">
      <w:lvlJc w:val="left"/>
      <w:lvlText w:val="†"/>
      <w:numFmt w:val="bullet"/>
      <w:start w:val="1"/>
    </w:lvl>
  </w:abstractNum>
  <w:abstractNum w:abstractNumId="151">
    <w:nsid w:val="116AE494"/>
    <w:multiLevelType w:val="hybridMultilevel"/>
    <w:lvl w:ilvl="0">
      <w:lvlJc w:val="left"/>
      <w:lvlText w:val="#"/>
      <w:numFmt w:val="bullet"/>
      <w:start w:val="1"/>
    </w:lvl>
  </w:abstractNum>
  <w:abstractNum w:abstractNumId="152">
    <w:nsid w:val="3494B2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3">
    <w:nsid w:val="B13A31"/>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54">
    <w:nsid w:val="6442959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5">
    <w:nsid w:val="631F1690"/>
    <w:multiLevelType w:val="hybridMultilevel"/>
    <w:lvl w:ilvl="0">
      <w:lvlJc w:val="left"/>
      <w:lvlText w:val="%1."/>
      <w:numFmt w:val="decimal"/>
      <w:start w:val="1"/>
    </w:lvl>
  </w:abstractNum>
  <w:abstractNum w:abstractNumId="156">
    <w:nsid w:val="25973E32"/>
    <w:multiLevelType w:val="hybridMultilevel"/>
    <w:lvl w:ilvl="0">
      <w:lvlJc w:val="left"/>
      <w:lvlText w:val="%1."/>
      <w:numFmt w:val="decimal"/>
      <w:start w:val="3"/>
    </w:lvl>
  </w:abstractNum>
  <w:abstractNum w:abstractNumId="157">
    <w:nsid w:val="EAD6F57"/>
    <w:multiLevelType w:val="hybridMultilevel"/>
    <w:lvl w:ilvl="0">
      <w:lvlJc w:val="left"/>
      <w:lvlText w:val="%1."/>
      <w:numFmt w:val="decimal"/>
      <w:start w:val="1"/>
    </w:lvl>
  </w:abstractNum>
  <w:abstractNum w:abstractNumId="158">
    <w:nsid w:val="6EC9D844"/>
    <w:multiLevelType w:val="hybridMultilevel"/>
    <w:lvl w:ilvl="0">
      <w:lvlJc w:val="left"/>
      <w:lvlText w:val="%1."/>
      <w:numFmt w:val="decimal"/>
      <w:start w:val="3"/>
    </w:lvl>
  </w:abstractNum>
  <w:abstractNum w:abstractNumId="159">
    <w:nsid w:val="5C49EAEE"/>
    <w:multiLevelType w:val="hybridMultilevel"/>
    <w:lvl w:ilvl="0">
      <w:lvlJc w:val="left"/>
      <w:lvlText w:val="(%1)"/>
      <w:numFmt w:val="lowerLetter"/>
      <w:start w:val="1"/>
    </w:lvl>
  </w:abstractNum>
  <w:abstractNum w:abstractNumId="160">
    <w:nsid w:val="64AF49B"/>
    <w:multiLevelType w:val="hybridMultilevel"/>
    <w:lvl w:ilvl="0">
      <w:lvlJc w:val="left"/>
      <w:lvlText w:val="1"/>
      <w:numFmt w:val="bullet"/>
      <w:start w:val="1"/>
    </w:lvl>
  </w:abstractNum>
  <w:abstractNum w:abstractNumId="161">
    <w:nsid w:val="397C46BC"/>
    <w:multiLevelType w:val="hybridMultilevel"/>
    <w:lvl w:ilvl="0">
      <w:lvlJc w:val="left"/>
      <w:lvlText w:val="%1."/>
      <w:numFmt w:val="decimal"/>
      <w:start w:val="1"/>
    </w:lvl>
    <w:lvl w:ilvl="1">
      <w:lvlJc w:val="left"/>
      <w:lvlText w:val="(%2)"/>
      <w:numFmt w:val="lowerLetter"/>
      <w:start w:val="1"/>
    </w:lvl>
  </w:abstractNum>
  <w:abstractNum w:abstractNumId="162">
    <w:nsid w:val="7E448DE9"/>
    <w:multiLevelType w:val="hybridMultilevel"/>
    <w:lvl w:ilvl="0">
      <w:lvlJc w:val="left"/>
      <w:lvlText w:val="%1."/>
      <w:numFmt w:val="decimal"/>
      <w:start w:val="3"/>
    </w:lvl>
    <w:lvl w:ilvl="1">
      <w:lvlJc w:val="left"/>
      <w:lvlText w:val="(%2)"/>
      <w:numFmt w:val="lowerLetter"/>
      <w:start w:val="1"/>
    </w:lvl>
  </w:abstractNum>
  <w:abstractNum w:abstractNumId="163">
    <w:nsid w:val="5A9CC3E5"/>
    <w:multiLevelType w:val="hybridMultilevel"/>
    <w:lvl w:ilvl="0">
      <w:lvlJc w:val="left"/>
      <w:lvlText w:val="(%1)"/>
      <w:numFmt w:val="lowerLetter"/>
      <w:start w:val="3"/>
    </w:lvl>
  </w:abstractNum>
  <w:abstractNum w:abstractNumId="164">
    <w:nsid w:val="1AFE3625"/>
    <w:multiLevelType w:val="hybridMultilevel"/>
    <w:lvl w:ilvl="0">
      <w:lvlJc w:val="left"/>
      <w:lvlText w:val="(%1)"/>
      <w:numFmt w:val="lowerLetter"/>
      <w:start w:val="7"/>
    </w:lvl>
  </w:abstractNum>
  <w:abstractNum w:abstractNumId="165">
    <w:nsid w:val="3CA88ECF"/>
    <w:multiLevelType w:val="hybridMultilevel"/>
    <w:lvl w:ilvl="0">
      <w:lvlJc w:val="left"/>
      <w:lvlText w:val="(%1)"/>
      <w:numFmt w:val="lowerLetter"/>
      <w:start w:val="11"/>
    </w:lvl>
  </w:abstractNum>
  <w:abstractNum w:abstractNumId="166">
    <w:nsid w:val="6EBE4208"/>
    <w:multiLevelType w:val="hybridMultilevel"/>
    <w:lvl w:ilvl="0">
      <w:lvlJc w:val="left"/>
      <w:lvlText w:val="(%1)"/>
      <w:numFmt w:val="lowerLetter"/>
      <w:start w:val="14"/>
    </w:lvl>
  </w:abstractNum>
  <w:abstractNum w:abstractNumId="167">
    <w:nsid w:val="C058DF5"/>
    <w:multiLevelType w:val="hybridMultilevel"/>
    <w:lvl w:ilvl="0">
      <w:lvlJc w:val="left"/>
      <w:lvlText w:val="(%1)"/>
      <w:numFmt w:val="lowerLetter"/>
      <w:start w:val="19"/>
    </w:lvl>
  </w:abstractNum>
  <w:abstractNum w:abstractNumId="168">
    <w:nsid w:val="CBE5BE9"/>
    <w:multiLevelType w:val="hybridMultilevel"/>
    <w:lvl w:ilvl="0">
      <w:lvlJc w:val="left"/>
      <w:lvlText w:val="(%1)"/>
      <w:numFmt w:val="lowerLetter"/>
      <w:start w:val="22"/>
    </w:lvl>
  </w:abstractNum>
  <w:abstractNum w:abstractNumId="169">
    <w:nsid w:val="3102BBE2"/>
    <w:multiLevelType w:val="hybridMultilevel"/>
    <w:lvl w:ilvl="0">
      <w:lvlJc w:val="left"/>
      <w:lvlText w:val="(%1)"/>
      <w:numFmt w:val="lowerLetter"/>
      <w:start w:val="25"/>
    </w:lvl>
  </w:abstractNum>
  <w:abstractNum w:abstractNumId="170">
    <w:nsid w:val="26A02C5E"/>
    <w:multiLevelType w:val="hybridMultilevel"/>
    <w:lvl w:ilvl="0">
      <w:lvlJc w:val="left"/>
      <w:lvlText w:val="(%1)"/>
      <w:numFmt w:val="lowerLetter"/>
      <w:start w:val="27"/>
    </w:lvl>
  </w:abstractNum>
  <w:abstractNum w:abstractNumId="171">
    <w:nsid w:val="541C8153"/>
    <w:multiLevelType w:val="hybridMultilevel"/>
    <w:lvl w:ilvl="0">
      <w:lvlJc w:val="left"/>
      <w:lvlText w:val="%1"/>
      <w:numFmt w:val="lowerLetter"/>
      <w:start w:val="1"/>
    </w:lvl>
    <w:lvl w:ilvl="1">
      <w:lvlJc w:val="left"/>
      <w:lvlText w:val="(%2)"/>
      <w:numFmt w:val="lowerLetter"/>
      <w:start w:val="31"/>
    </w:lvl>
  </w:abstractNum>
  <w:abstractNum w:abstractNumId="172">
    <w:nsid w:val="67906F60"/>
    <w:multiLevelType w:val="hybridMultilevel"/>
    <w:lvl w:ilvl="0">
      <w:lvlJc w:val="left"/>
      <w:lvlText w:val="(%1)"/>
      <w:numFmt w:val="lowerLetter"/>
      <w:start w:val="35"/>
    </w:lvl>
    <w:lvl w:ilvl="1">
      <w:lvlJc w:val="left"/>
      <w:lvlText w:val="%2"/>
      <w:numFmt w:val="lowerLetter"/>
      <w:start w:val="1"/>
    </w:lvl>
  </w:abstractNum>
  <w:abstractNum w:abstractNumId="173">
    <w:nsid w:val="10DB9DAA"/>
    <w:multiLevelType w:val="hybridMultilevel"/>
    <w:lvl w:ilvl="0">
      <w:lvlJc w:val="left"/>
      <w:lvlText w:val="(%1)"/>
      <w:numFmt w:val="lowerLetter"/>
      <w:start w:val="34"/>
    </w:lvl>
  </w:abstractNum>
  <w:abstractNum w:abstractNumId="174">
    <w:nsid w:val="697D2D2"/>
    <w:multiLevelType w:val="hybridMultilevel"/>
    <w:lvl w:ilvl="0">
      <w:lvlJc w:val="left"/>
      <w:lvlText w:val="(%1)"/>
      <w:numFmt w:val="lowerLetter"/>
      <w:start w:val="36"/>
    </w:lvl>
  </w:abstractNum>
  <w:abstractNum w:abstractNumId="175">
    <w:nsid w:val="6D68AB2"/>
    <w:multiLevelType w:val="hybridMultilevel"/>
    <w:lvl w:ilvl="0">
      <w:lvlJc w:val="left"/>
      <w:lvlText w:val="%1"/>
      <w:numFmt w:val="lowerLetter"/>
      <w:start w:val="1"/>
    </w:lvl>
    <w:lvl w:ilvl="1">
      <w:lvlJc w:val="left"/>
      <w:lvlText w:val="(%2)"/>
      <w:numFmt w:val="lowerLetter"/>
      <w:start w:val="38"/>
    </w:lvl>
  </w:abstractNum>
  <w:abstractNum w:abstractNumId="176">
    <w:nsid w:val="3A966CD0"/>
    <w:multiLevelType w:val="hybridMultilevel"/>
    <w:lvl w:ilvl="0">
      <w:lvlJc w:val="left"/>
      <w:lvlText w:val="(%1)"/>
      <w:numFmt w:val="lowerLetter"/>
      <w:start w:val="35"/>
    </w:lvl>
    <w:lvl w:ilvl="1">
      <w:lvlJc w:val="left"/>
      <w:lvlText w:val="(%2)"/>
      <w:numFmt w:val="lowerLetter"/>
      <w:start w:val="41"/>
    </w:lvl>
  </w:abstractNum>
  <w:abstractNum w:abstractNumId="177">
    <w:nsid w:val="63F37E85"/>
    <w:multiLevelType w:val="hybridMultilevel"/>
    <w:lvl w:ilvl="0">
      <w:lvlJc w:val="left"/>
      <w:lvlText w:val="(%1)"/>
      <w:numFmt w:val="lowerLetter"/>
      <w:start w:val="43"/>
    </w:lvl>
  </w:abstractNum>
  <w:abstractNum w:abstractNumId="178">
    <w:nsid w:val="5895F5F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9">
    <w:nsid w:val="38A5D05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80">
    <w:nsid w:val="F3F09D8"/>
    <w:multiLevelType w:val="hybridMultilevel"/>
    <w:lvl w:ilvl="0">
      <w:lvlJc w:val="left"/>
      <w:lvlText w:val="(%1)"/>
      <w:numFmt w:val="lowerLetter"/>
      <w:start w:val="2"/>
    </w:lvl>
  </w:abstractNum>
  <w:abstractNum w:abstractNumId="181">
    <w:nsid w:val="4B793735"/>
    <w:multiLevelType w:val="hybridMultilevel"/>
    <w:lvl w:ilvl="0">
      <w:lvlJc w:val="left"/>
      <w:lvlText w:val="(%1)"/>
      <w:numFmt w:val="lowerLetter"/>
      <w:start w:val="4"/>
    </w:lvl>
  </w:abstractNum>
  <w:abstractNum w:abstractNumId="182">
    <w:nsid w:val="4A10B4E8"/>
    <w:multiLevelType w:val="hybridMultilevel"/>
    <w:lvl w:ilvl="0">
      <w:lvlJc w:val="left"/>
      <w:lvlText w:val="%1"/>
      <w:numFmt w:val="lowerLetter"/>
      <w:start w:val="1"/>
    </w:lvl>
    <w:lvl w:ilvl="1">
      <w:lvlJc w:val="left"/>
      <w:lvlText w:val="(%2)"/>
      <w:numFmt w:val="lowerLetter"/>
      <w:start w:val="9"/>
    </w:lvl>
  </w:abstractNum>
  <w:abstractNum w:abstractNumId="183">
    <w:nsid w:val="43D3BCD4"/>
    <w:multiLevelType w:val="hybridMultilevel"/>
    <w:lvl w:ilvl="0">
      <w:lvlJc w:val="left"/>
      <w:lvlText w:val="(%1)"/>
      <w:numFmt w:val="lowerLetter"/>
      <w:start w:val="24"/>
    </w:lvl>
    <w:lvl w:ilvl="1">
      <w:lvlJc w:val="left"/>
      <w:lvlText w:val="%2"/>
      <w:numFmt w:val="lowerLetter"/>
      <w:start w:val="1"/>
    </w:lvl>
  </w:abstractNum>
  <w:abstractNum w:abstractNumId="184">
    <w:nsid w:val="4C2A7166"/>
    <w:multiLevelType w:val="hybridMultilevel"/>
    <w:lvl w:ilvl="0">
      <w:lvlJc w:val="left"/>
      <w:lvlText w:val="%1"/>
      <w:numFmt w:val="decimal"/>
      <w:start w:val="1"/>
    </w:lvl>
    <w:lvl w:ilvl="1">
      <w:lvlJc w:val="left"/>
      <w:lvlText w:val="(%2)"/>
      <w:numFmt w:val="lowerLetter"/>
      <w:start w:val="14"/>
    </w:lvl>
  </w:abstractNum>
  <w:abstractNum w:abstractNumId="185">
    <w:nsid w:val="2E534A82"/>
    <w:multiLevelType w:val="hybridMultilevel"/>
    <w:lvl w:ilvl="0">
      <w:lvlJc w:val="left"/>
      <w:lvlText w:val="%1."/>
      <w:numFmt w:val="decimal"/>
      <w:start w:val="6"/>
    </w:lvl>
    <w:lvl w:ilvl="1">
      <w:lvlJc w:val="left"/>
      <w:lvlText w:val="(%2)"/>
      <w:numFmt w:val="lowerLetter"/>
      <w:start w:val="1"/>
    </w:lvl>
  </w:abstractNum>
  <w:abstractNum w:abstractNumId="186">
    <w:nsid w:val="26F2D364"/>
    <w:multiLevelType w:val="hybridMultilevel"/>
    <w:lvl w:ilvl="0">
      <w:lvlJc w:val="left"/>
      <w:lvlText w:val="(%1)"/>
      <w:numFmt w:val="lowerLetter"/>
      <w:start w:val="5"/>
    </w:lvl>
    <w:lvl w:ilvl="1">
      <w:lvlJc w:val="left"/>
      <w:lvlText w:val="(%2)"/>
      <w:numFmt w:val="lowerRoman"/>
      <w:start w:val="1"/>
    </w:lvl>
  </w:abstractNum>
  <w:abstractNum w:abstractNumId="187">
    <w:nsid w:val="71C1AF98"/>
    <w:multiLevelType w:val="hybridMultilevel"/>
    <w:lvl w:ilvl="0">
      <w:lvlJc w:val="left"/>
      <w:lvlText w:val="(%1)"/>
      <w:numFmt w:val="lowerLetter"/>
      <w:start w:val="11"/>
    </w:lvl>
  </w:abstractNum>
  <w:abstractNum w:abstractNumId="188">
    <w:nsid w:val="3D00B9D9"/>
    <w:multiLevelType w:val="hybridMultilevel"/>
    <w:lvl w:ilvl="0">
      <w:lvlJc w:val="left"/>
      <w:lvlText w:val="%1."/>
      <w:numFmt w:val="decimal"/>
      <w:start w:val="7"/>
    </w:lvl>
    <w:lvl w:ilvl="1">
      <w:lvlJc w:val="left"/>
      <w:lvlText w:val="(%2)"/>
      <w:numFmt w:val="lowerLetter"/>
      <w:start w:val="1"/>
    </w:lvl>
  </w:abstractNum>
  <w:abstractNum w:abstractNumId="189">
    <w:nsid w:val="15BCABA8"/>
    <w:multiLevelType w:val="hybridMultilevel"/>
    <w:lvl w:ilvl="0">
      <w:lvlJc w:val="left"/>
      <w:lvlText w:val="(%1)"/>
      <w:numFmt w:val="lowerLetter"/>
      <w:start w:val="2"/>
    </w:lvl>
  </w:abstractNum>
  <w:abstractNum w:abstractNumId="190">
    <w:nsid w:val="4E0B9A87"/>
    <w:multiLevelType w:val="hybridMultilevel"/>
    <w:lvl w:ilvl="0">
      <w:lvlJc w:val="left"/>
      <w:lvlText w:val="(%1)"/>
      <w:numFmt w:val="lowerLetter"/>
      <w:start w:val="4"/>
    </w:lvl>
  </w:abstractNum>
  <w:abstractNum w:abstractNumId="191">
    <w:nsid w:val="434BAE75"/>
    <w:multiLevelType w:val="hybridMultilevel"/>
    <w:lvl w:ilvl="0">
      <w:lvlJc w:val="left"/>
      <w:lvlText w:val="%1."/>
      <w:numFmt w:val="decimal"/>
      <w:start w:val="8"/>
    </w:lvl>
  </w:abstractNum>
  <w:abstractNum w:abstractNumId="192">
    <w:nsid w:val="4F38F265"/>
    <w:multiLevelType w:val="hybridMultilevel"/>
    <w:lvl w:ilvl="0">
      <w:lvlJc w:val="left"/>
      <w:lvlText w:val="%1."/>
      <w:numFmt w:val="decimal"/>
      <w:start w:val="9"/>
    </w:lvl>
    <w:lvl w:ilvl="1">
      <w:lvlJc w:val="left"/>
      <w:lvlText w:val="(%2)"/>
      <w:numFmt w:val="lowerLetter"/>
      <w:start w:val="1"/>
    </w:lvl>
  </w:abstractNum>
  <w:abstractNum w:abstractNumId="193">
    <w:nsid w:val="4C502870"/>
    <w:multiLevelType w:val="hybridMultilevel"/>
    <w:lvl w:ilvl="0">
      <w:lvlJc w:val="left"/>
      <w:lvlText w:val="%1."/>
      <w:numFmt w:val="decimal"/>
      <w:start w:val="12"/>
    </w:lvl>
  </w:abstractNum>
  <w:abstractNum w:abstractNumId="194">
    <w:nsid w:val="1DE8725A"/>
    <w:multiLevelType w:val="hybridMultilevel"/>
    <w:lvl w:ilvl="0">
      <w:lvlJc w:val="left"/>
      <w:lvlText w:val="%1."/>
      <w:numFmt w:val="decimal"/>
      <w:start w:val="15"/>
    </w:lvl>
  </w:abstractNum>
  <w:abstractNum w:abstractNumId="195">
    <w:nsid w:val="6A37288A"/>
    <w:multiLevelType w:val="hybridMultilevel"/>
    <w:lvl w:ilvl="0">
      <w:lvlJc w:val="left"/>
      <w:lvlText w:val="●"/>
      <w:numFmt w:val="bullet"/>
      <w:start w:val="1"/>
    </w:lvl>
  </w:abstractNum>
  <w:abstractNum w:abstractNumId="196">
    <w:nsid w:val="8F8B73F"/>
    <w:multiLevelType w:val="hybridMultilevel"/>
    <w:lvl w:ilvl="0">
      <w:lvlJc w:val="left"/>
      <w:lvlText w:val="(%1)"/>
      <w:numFmt w:val="lowerRoman"/>
      <w:start w:val="1"/>
    </w:lvl>
  </w:abstractNum>
  <w:abstractNum w:abstractNumId="197">
    <w:nsid w:val="CA6B462"/>
    <w:multiLevelType w:val="hybridMultilevel"/>
    <w:lvl w:ilvl="0">
      <w:lvlJc w:val="left"/>
      <w:lvlText w:val="(%1)"/>
      <w:numFmt w:val="lowerRoman"/>
      <w:start w:val="1"/>
    </w:lvl>
  </w:abstractNum>
  <w:abstractNum w:abstractNumId="198">
    <w:nsid w:val="763CB680"/>
    <w:multiLevelType w:val="hybridMultilevel"/>
    <w:lvl w:ilvl="0">
      <w:lvlJc w:val="left"/>
      <w:lvlText w:val="(%1)"/>
      <w:numFmt w:val="lowerRoman"/>
      <w:start w:val="1"/>
    </w:lvl>
  </w:abstractNum>
  <w:abstractNum w:abstractNumId="199">
    <w:nsid w:val="15B71329"/>
    <w:multiLevelType w:val="hybridMultilevel"/>
    <w:lvl w:ilvl="0">
      <w:lvlJc w:val="left"/>
      <w:lvlText w:val="(%1)"/>
      <w:numFmt w:val="lowerRoman"/>
      <w:start w:val="1"/>
    </w:lvl>
  </w:abstractNum>
  <w:abstractNum w:abstractNumId="200">
    <w:nsid w:val="3DA97044"/>
    <w:multiLevelType w:val="hybridMultilevel"/>
    <w:lvl w:ilvl="0">
      <w:lvlJc w:val="left"/>
      <w:lvlText w:val="(%1)"/>
      <w:numFmt w:val="lowerRoman"/>
      <w:start w:val="3"/>
    </w:lvl>
  </w:abstractNum>
  <w:abstractNum w:abstractNumId="201">
    <w:nsid w:val="1CDCE2DE"/>
    <w:multiLevelType w:val="hybridMultilevel"/>
    <w:lvl w:ilvl="0">
      <w:lvlJc w:val="left"/>
      <w:lvlText w:val="%1."/>
      <w:numFmt w:val="decimal"/>
      <w:start w:val="1"/>
    </w:lvl>
  </w:abstractNum>
  <w:abstractNum w:abstractNumId="202">
    <w:nsid w:val="69D3947C"/>
    <w:multiLevelType w:val="hybridMultilevel"/>
    <w:lvl w:ilvl="0">
      <w:lvlJc w:val="left"/>
      <w:lvlText w:val="(%1)"/>
      <w:numFmt w:val="lowerRoman"/>
      <w:start w:val="1"/>
    </w:lvl>
  </w:abstractNum>
  <w:abstractNum w:abstractNumId="203">
    <w:nsid w:val="2539DFA5"/>
    <w:multiLevelType w:val="hybridMultilevel"/>
    <w:lvl w:ilvl="0">
      <w:lvlJc w:val="left"/>
      <w:lvlText w:val="%1."/>
      <w:numFmt w:val="decimal"/>
      <w:start w:val="2"/>
    </w:lvl>
    <w:lvl w:ilvl="1">
      <w:lvlJc w:val="left"/>
      <w:lvlText w:val="(%2)"/>
      <w:numFmt w:val="lowerRoman"/>
      <w:start w:val="1"/>
    </w:lvl>
  </w:abstractNum>
  <w:abstractNum w:abstractNumId="204">
    <w:nsid w:val="2DB88089"/>
    <w:multiLevelType w:val="hybridMultilevel"/>
    <w:lvl w:ilvl="0">
      <w:lvlJc w:val="left"/>
      <w:lvlText w:val="(%1)"/>
      <w:numFmt w:val="lowerRoman"/>
      <w:start w:val="2"/>
    </w:lvl>
  </w:abstractNum>
  <w:abstractNum w:abstractNumId="205">
    <w:nsid w:val="706B674E"/>
    <w:multiLevelType w:val="hybridMultilevel"/>
    <w:lvl w:ilvl="0">
      <w:lvlJc w:val="left"/>
      <w:lvlText w:val="%1."/>
      <w:numFmt w:val="decimal"/>
      <w:start w:val="3"/>
    </w:lvl>
  </w:abstractNum>
  <w:abstractNum w:abstractNumId="206">
    <w:nsid w:val="2C106A57"/>
    <w:multiLevelType w:val="hybridMultilevel"/>
    <w:lvl w:ilvl="0">
      <w:lvlJc w:val="left"/>
      <w:lvlText w:val="%1."/>
      <w:numFmt w:val="decimal"/>
      <w:start w:val="4"/>
    </w:lvl>
    <w:lvl w:ilvl="1">
      <w:lvlJc w:val="left"/>
      <w:lvlText w:val="(%2)"/>
      <w:numFmt w:val="lowerRoman"/>
      <w:start w:val="1"/>
    </w:lvl>
  </w:abstractNum>
  <w:abstractNum w:abstractNumId="207">
    <w:nsid w:val="684EED59"/>
    <w:multiLevelType w:val="hybridMultilevel"/>
    <w:lvl w:ilvl="0">
      <w:lvlJc w:val="left"/>
      <w:lvlText w:val="%1."/>
      <w:numFmt w:val="decimal"/>
      <w:start w:val="5"/>
    </w:lvl>
  </w:abstractNum>
  <w:abstractNum w:abstractNumId="208">
    <w:nsid w:val="545EE5D3"/>
    <w:multiLevelType w:val="hybridMultilevel"/>
    <w:lvl w:ilvl="0">
      <w:lvlJc w:val="left"/>
      <w:lvlText w:val="%1."/>
      <w:numFmt w:val="decimal"/>
      <w:start w:val="7"/>
    </w:lvl>
    <w:lvl w:ilvl="1">
      <w:lvlJc w:val="left"/>
      <w:lvlText w:val="(%2)"/>
      <w:numFmt w:val="lowerRoman"/>
      <w:start w:val="1"/>
    </w:lvl>
  </w:abstractNum>
  <w:abstractNum w:abstractNumId="209">
    <w:nsid w:val="4A66051"/>
    <w:multiLevelType w:val="hybridMultilevel"/>
    <w:lvl w:ilvl="0">
      <w:lvlJc w:val="left"/>
      <w:lvlText w:val="%1."/>
      <w:numFmt w:val="decimal"/>
      <w:start w:val="8"/>
    </w:lvl>
  </w:abstractNum>
  <w:abstractNum w:abstractNumId="210">
    <w:nsid w:val="20F4BDAD"/>
    <w:multiLevelType w:val="hybridMultilevel"/>
    <w:lvl w:ilvl="0">
      <w:lvlJc w:val="left"/>
      <w:lvlText w:val="%1."/>
      <w:numFmt w:val="decimal"/>
      <w:start w:val="11"/>
    </w:lvl>
  </w:abstractNum>
  <w:abstractNum w:abstractNumId="211">
    <w:nsid w:val="639DEFAC"/>
    <w:multiLevelType w:val="hybridMultilevel"/>
    <w:lvl w:ilvl="0">
      <w:lvlJc w:val="left"/>
      <w:lvlText w:val="●"/>
      <w:numFmt w:val="bullet"/>
      <w:start w:val="1"/>
    </w:lvl>
  </w:abstractNum>
  <w:abstractNum w:abstractNumId="212">
    <w:nsid w:val="501F9786"/>
    <w:multiLevelType w:val="hybridMultilevel"/>
    <w:lvl w:ilvl="0">
      <w:lvlJc w:val="left"/>
      <w:lvlText w:val="☒"/>
      <w:numFmt w:val="bullet"/>
      <w:start w:val="1"/>
    </w:lvl>
  </w:abstractNum>
  <w:abstractNum w:abstractNumId="213">
    <w:nsid w:val="6B057295"/>
    <w:multiLevelType w:val="hybridMultilevel"/>
    <w:lvl w:ilvl="0">
      <w:lvlJc w:val="left"/>
      <w:lvlText w:val="●"/>
      <w:numFmt w:val="bullet"/>
      <w:start w:val="1"/>
    </w:lvl>
  </w:abstractNum>
  <w:abstractNum w:abstractNumId="214">
    <w:nsid w:val="2771AC80"/>
    <w:multiLevelType w:val="hybridMultilevel"/>
    <w:lvl w:ilvl="0">
      <w:lvlJc w:val="left"/>
      <w:lvlText w:val="(%1)"/>
      <w:numFmt w:val="decimal"/>
      <w:start w:val="1"/>
    </w:lvl>
  </w:abstractNum>
  <w:abstractNum w:abstractNumId="215">
    <w:nsid w:val="1C4A08EC"/>
    <w:multiLevelType w:val="hybridMultilevel"/>
    <w:lvl w:ilvl="0">
      <w:lvlJc w:val="left"/>
      <w:lvlText w:val="(%1)"/>
      <w:numFmt w:val="decimal"/>
      <w:start w:val="3"/>
    </w:lvl>
  </w:abstractNum>
  <w:abstractNum w:abstractNumId="216">
    <w:nsid w:val="1958BD17"/>
    <w:multiLevelType w:val="hybridMultilevel"/>
    <w:lvl w:ilvl="0">
      <w:lvlJc w:val="left"/>
      <w:lvlText w:val="●"/>
      <w:numFmt w:val="bullet"/>
      <w:start w:val="1"/>
    </w:lvl>
  </w:abstractNum>
  <w:abstractNum w:abstractNumId="217">
    <w:nsid w:val="4E647FE4"/>
    <w:multiLevelType w:val="hybridMultilevel"/>
    <w:lvl w:ilvl="0">
      <w:lvlJc w:val="left"/>
      <w:lvlText w:val="(%1)"/>
      <w:numFmt w:val="decimal"/>
      <w:start w:val="1"/>
    </w:lvl>
  </w:abstractNum>
  <w:abstractNum w:abstractNumId="218">
    <w:nsid w:val="E0BB885"/>
    <w:multiLevelType w:val="hybridMultilevel"/>
    <w:lvl w:ilvl="0">
      <w:lvlJc w:val="left"/>
      <w:lvlText w:val="*"/>
      <w:numFmt w:val="bullet"/>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19"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jpe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jpe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304" Type="http://schemas.openxmlformats.org/officeDocument/2006/relationships/hyperlink" Target="http://www.sec.gov/Archives/edgar/data/1842279/000119312521347023/d270539dex21.htm" TargetMode="External"/><Relationship Id="rId305" Type="http://schemas.openxmlformats.org/officeDocument/2006/relationships/hyperlink" Target="http://www.sec.gov/Archives/edgar/data/1842279/000121390022046338/ea164030ex3-1_opal.htm" TargetMode="External"/><Relationship Id="rId306" Type="http://schemas.openxmlformats.org/officeDocument/2006/relationships/hyperlink" Target="http://www.sec.gov/Archives/edgar/data/1842279/000121390022042020/ea163248ex3-2_opal.htm" TargetMode="External"/><Relationship Id="rId307" Type="http://schemas.openxmlformats.org/officeDocument/2006/relationships/hyperlink" Target="http://www.sec.gov/Archives/edgar/data/1842279/000119312521073580/d118209dex43.htm" TargetMode="External"/><Relationship Id="rId308" Type="http://schemas.openxmlformats.org/officeDocument/2006/relationships/hyperlink" Target="http://www.sec.gov/Archives/edgar/data/1842279/000119312521096722/d167128dex41.htm" TargetMode="External"/><Relationship Id="rId309" Type="http://schemas.openxmlformats.org/officeDocument/2006/relationships/hyperlink" Target="http://www.sec.gov/Archives/edgar/data/1842279/000121390022024612/fs42022a3ex10-1_arclight2.htm" TargetMode="External"/><Relationship Id="rId310" Type="http://schemas.openxmlformats.org/officeDocument/2006/relationships/hyperlink" Target="http://www.sec.gov/Archives/edgar/data/1842279/000121390022042020/ea163248ex10-2_opal.htm" TargetMode="External"/><Relationship Id="rId311" Type="http://schemas.openxmlformats.org/officeDocument/2006/relationships/hyperlink" Target="http://www.sec.gov/Archives/edgar/data/1842279/000119312521096722/d167128dex104.htm" TargetMode="External"/><Relationship Id="rId312" Type="http://schemas.openxmlformats.org/officeDocument/2006/relationships/hyperlink" Target="http://www.sec.gov/Archives/edgar/data/1842279/000119312521347023/d270539dex102.htm" TargetMode="External"/><Relationship Id="rId313" Type="http://schemas.openxmlformats.org/officeDocument/2006/relationships/hyperlink" Target="http://www.sec.gov/Archives/edgar/data/1842279/000119312521347023/d270539dex101.htm" TargetMode="External"/><Relationship Id="rId314" Type="http://schemas.openxmlformats.org/officeDocument/2006/relationships/hyperlink" Target="http://www.sec.gov/Archives/edgar/data/1842279/000121390022025716/ea159809ex10-1_arclight2.htm" TargetMode="External"/><Relationship Id="rId315" Type="http://schemas.openxmlformats.org/officeDocument/2006/relationships/hyperlink" Target="http://www.sec.gov/Archives/edgar/data/1842279/000121390022042020/ea163248ex10-6_opal.htm" TargetMode="External"/><Relationship Id="rId316" Type="http://schemas.openxmlformats.org/officeDocument/2006/relationships/hyperlink" Target="http://www.sec.gov/Archives/edgar/data/1842279/000121390022042020/ea163248ex10-7_opal.htm" TargetMode="External"/><Relationship Id="rId317" Type="http://schemas.openxmlformats.org/officeDocument/2006/relationships/hyperlink" Target="http://www.sec.gov/Archives/edgar/data/1842279/000121390022042020/ea163248ex10-8_opal.htm" TargetMode="External"/><Relationship Id="rId318" Type="http://schemas.openxmlformats.org/officeDocument/2006/relationships/hyperlink" Target="http://www.sec.gov/Archives/edgar/data/1842279/000121390022015221/ea157420ex10-8_arclight2.htm" TargetMode="External"/><Relationship Id="rId320" Type="http://schemas.openxmlformats.org/officeDocument/2006/relationships/hyperlink" Target="http://www.sec.gov/Archives/edgar/data/1842279/000121390022015221/ea157420ex10-9_arclight2.htm" TargetMode="External"/><Relationship Id="rId321" Type="http://schemas.openxmlformats.org/officeDocument/2006/relationships/hyperlink" Target="http://www.sec.gov/Archives/edgar/data/1842279/000121390022015221/ea157420ex10-10_arclight2.htm" TargetMode="External"/><Relationship Id="rId322" Type="http://schemas.openxmlformats.org/officeDocument/2006/relationships/hyperlink" Target="http://www.sec.gov/Archives/edgar/data/1842279/000121390022015221/ea157420ex10-11_arclight2.htm" TargetMode="External"/><Relationship Id="rId323" Type="http://schemas.openxmlformats.org/officeDocument/2006/relationships/hyperlink" Target="http://www.sec.gov/Archives/edgar/data/1842279/000121390022015221/ea157420ex10-12_arclight2.htm" TargetMode="External"/><Relationship Id="rId324" Type="http://schemas.openxmlformats.org/officeDocument/2006/relationships/hyperlink" Target="http://www.sec.gov/Archives/edgar/data/1842279/000121390022015221/ea157420ex10-13_arclight2.htm" TargetMode="External"/><Relationship Id="rId325" Type="http://schemas.openxmlformats.org/officeDocument/2006/relationships/hyperlink" Target="http://www.sec.gov/Archives/edgar/data/1842279/000184227922000027/executedamendmentno3todd.htm" TargetMode="External"/><Relationship Id="rId326" Type="http://schemas.openxmlformats.org/officeDocument/2006/relationships/hyperlink" Target="http://www.sec.gov/Archives/edgar/data/1842279/000184227922000016/opalfuelsinc-formrestricte.htm" TargetMode="External"/><Relationship Id="rId327" Type="http://schemas.openxmlformats.org/officeDocument/2006/relationships/hyperlink" Target="http://www.sec.gov/Archives/edgar/data/1842279/000121390022039824/ea162977ex10-1_arclight2.htm" TargetMode="External"/><Relationship Id="rId328" Type="http://schemas.openxmlformats.org/officeDocument/2006/relationships/hyperlink" Target="http://www.sec.gov/Archives/edgar/data/1842279/000184227922000009/projectopal-creditagreemen.htm" TargetMode="External"/><Relationship Id="rId329" Type="http://schemas.openxmlformats.org/officeDocument/2006/relationships/hyperlink" Target="http://www.sec.gov/Archives/edgar/data/1842279/000119312522216411/d251514dex106.htm" TargetMode="External"/><Relationship Id="rId330" Type="http://schemas.openxmlformats.org/officeDocument/2006/relationships/hyperlink" Target="http://www.sec.gov/Archives/edgar/data/1842279/000121390022042020/ea163248ex21-1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2022-11-18T08:46:51Z</dcterms:created>
  <dcterms:modified xsi:type="dcterms:W3CDTF">2022-11-18T08:46:51Z</dcterms:modified>
</cp:coreProperties>
</file>