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27, 2022 (July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200" w:type="dxa"/>
            <w:vAlign w:val="bottom"/>
          </w:tcPr>
          <w:p>
            <w:pPr>
              <w:jc w:val="center"/>
              <w:ind w:left="330"/>
              <w:spacing w:after="0"/>
              <w:rPr>
                <w:sz w:val="20"/>
                <w:szCs w:val="20"/>
                <w:color w:val="auto"/>
              </w:rPr>
            </w:pPr>
            <w:r>
              <w:rPr>
                <w:rFonts w:ascii="Arial" w:cs="Arial" w:eastAsia="Arial" w:hAnsi="Arial"/>
                <w:sz w:val="18"/>
                <w:szCs w:val="18"/>
                <w:b w:val="1"/>
                <w:bCs w:val="1"/>
                <w:color w:val="auto"/>
                <w:w w:val="93"/>
              </w:rPr>
              <w:t>Delaware</w:t>
            </w:r>
          </w:p>
        </w:tc>
        <w:tc>
          <w:tcPr>
            <w:tcW w:w="382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0"/>
              </w:rPr>
              <w:t>001-40272</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4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98-1578357</w:t>
            </w:r>
          </w:p>
        </w:tc>
      </w:tr>
      <w:tr>
        <w:trPr>
          <w:trHeight w:val="198"/>
        </w:trPr>
        <w:tc>
          <w:tcPr>
            <w:tcW w:w="3200" w:type="dxa"/>
            <w:vAlign w:val="bottom"/>
            <w:tcBorders>
              <w:top w:val="single" w:sz="8" w:color="auto"/>
            </w:tcBorders>
          </w:tcPr>
          <w:p>
            <w:pPr>
              <w:jc w:val="center"/>
              <w:ind w:left="33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tcPr>
          <w:p>
            <w:pPr>
              <w:jc w:val="center"/>
              <w:ind w:right="47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20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incorporation or organization)</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Pr>
          <w:p>
            <w:pPr>
              <w:jc w:val="center"/>
              <w:ind w:right="45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0"/>
              </w:rPr>
              <w:t>One North Lexington Avenue, Suite 1450</w:t>
            </w:r>
          </w:p>
        </w:tc>
        <w:tc>
          <w:tcPr>
            <w:tcW w:w="3040" w:type="dxa"/>
            <w:vAlign w:val="bottom"/>
          </w:tcPr>
          <w:p>
            <w:pPr>
              <w:spacing w:after="0"/>
              <w:rPr>
                <w:sz w:val="24"/>
                <w:szCs w:val="24"/>
                <w:color w:val="auto"/>
              </w:rPr>
            </w:pPr>
          </w:p>
        </w:tc>
      </w:tr>
      <w:tr>
        <w:trPr>
          <w:trHeight w:val="220"/>
        </w:trPr>
        <w:tc>
          <w:tcPr>
            <w:tcW w:w="3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8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3"/>
              </w:rPr>
              <w:t>White Plains, NY 10601</w:t>
            </w:r>
          </w:p>
        </w:tc>
        <w:tc>
          <w:tcPr>
            <w:tcW w:w="3040" w:type="dxa"/>
            <w:vAlign w:val="bottom"/>
          </w:tcPr>
          <w:p>
            <w:pPr>
              <w:spacing w:after="0"/>
              <w:rPr>
                <w:sz w:val="19"/>
                <w:szCs w:val="19"/>
                <w:color w:val="auto"/>
              </w:rPr>
            </w:pPr>
          </w:p>
        </w:tc>
      </w:tr>
      <w:tr>
        <w:trPr>
          <w:trHeight w:val="230"/>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5"/>
          </w:tcPr>
          <w:p>
            <w:pPr>
              <w:jc w:val="center"/>
              <w:ind w:right="78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1020" w:type="dxa"/>
            <w:vAlign w:val="bottom"/>
            <w:gridSpan w:val="3"/>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431"/>
        </w:trPr>
        <w:tc>
          <w:tcPr>
            <w:tcW w:w="3200" w:type="dxa"/>
            <w:vAlign w:val="bottom"/>
          </w:tcPr>
          <w:p>
            <w:pPr>
              <w:spacing w:after="0"/>
              <w:rPr>
                <w:sz w:val="24"/>
                <w:szCs w:val="24"/>
                <w:color w:val="auto"/>
              </w:rPr>
            </w:pPr>
          </w:p>
        </w:tc>
        <w:tc>
          <w:tcPr>
            <w:tcW w:w="382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0"/>
              </w:rPr>
              <w:t>(914) 705-4000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0"/>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80" w:type="dxa"/>
            <w:vAlign w:val="bottom"/>
            <w:gridSpan w:val="6"/>
          </w:tcPr>
          <w:p>
            <w:pPr>
              <w:ind w:left="60"/>
              <w:spacing w:after="0"/>
              <w:rPr>
                <w:sz w:val="20"/>
                <w:szCs w:val="20"/>
                <w:color w:val="auto"/>
              </w:rPr>
            </w:pPr>
            <w:r>
              <w:rPr>
                <w:rFonts w:ascii="Arial" w:cs="Arial" w:eastAsia="Arial" w:hAnsi="Arial"/>
                <w:sz w:val="18"/>
                <w:szCs w:val="18"/>
                <w:color w:val="auto"/>
              </w:rPr>
              <w:t>(Registrant’s telephone number, including area code)</w:t>
            </w:r>
          </w:p>
        </w:tc>
        <w:tc>
          <w:tcPr>
            <w:tcW w:w="304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4"/>
              </w:rPr>
              <w:t>ArcLight Clean Transition Corp. II</w:t>
            </w:r>
          </w:p>
        </w:tc>
        <w:tc>
          <w:tcPr>
            <w:tcW w:w="304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0"/>
              </w:rPr>
              <w:t>200 Clarendon Street, 55th Floor</w:t>
            </w:r>
          </w:p>
        </w:tc>
        <w:tc>
          <w:tcPr>
            <w:tcW w:w="304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89"/>
              </w:rPr>
              <w:t>Boston, MA, 02116</w:t>
            </w:r>
          </w:p>
        </w:tc>
        <w:tc>
          <w:tcPr>
            <w:tcW w:w="304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500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Former name or former address, if changed since last report)</w:t>
            </w:r>
          </w:p>
        </w:tc>
        <w:tc>
          <w:tcPr>
            <w:tcW w:w="30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OPAL</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Warrants, each whole warrant exercisable for one</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2"/>
              </w:rPr>
              <w:t>OPALW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share of Class A Common Stock at an exercise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price 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announced, ArcLight Clean Transition Corp. II (“</w:t>
      </w:r>
      <w:r>
        <w:rPr>
          <w:rFonts w:ascii="Arial" w:cs="Arial" w:eastAsia="Arial" w:hAnsi="Arial"/>
          <w:sz w:val="18"/>
          <w:szCs w:val="18"/>
          <w:b w:val="1"/>
          <w:bCs w:val="1"/>
          <w:i w:val="1"/>
          <w:iCs w:val="1"/>
          <w:color w:val="auto"/>
        </w:rPr>
        <w:t>ArcLight</w:t>
      </w:r>
      <w:r>
        <w:rPr>
          <w:rFonts w:ascii="Arial" w:cs="Arial" w:eastAsia="Arial" w:hAnsi="Arial"/>
          <w:sz w:val="18"/>
          <w:szCs w:val="18"/>
          <w:color w:val="auto"/>
        </w:rPr>
        <w:t>” and, after the Domestication as described below, “</w:t>
      </w:r>
      <w:r>
        <w:rPr>
          <w:rFonts w:ascii="Arial" w:cs="Arial" w:eastAsia="Arial" w:hAnsi="Arial"/>
          <w:sz w:val="18"/>
          <w:szCs w:val="18"/>
          <w:b w:val="1"/>
          <w:bCs w:val="1"/>
          <w:i w:val="1"/>
          <w:iCs w:val="1"/>
          <w:color w:val="auto"/>
        </w:rPr>
        <w:t>New OPAL</w:t>
      </w:r>
      <w:r>
        <w:rPr>
          <w:rFonts w:ascii="Arial" w:cs="Arial" w:eastAsia="Arial" w:hAnsi="Arial"/>
          <w:sz w:val="18"/>
          <w:szCs w:val="18"/>
          <w:color w:val="auto"/>
        </w:rPr>
        <w:t>”), a Cayman Islands exempted company, entered into that certain Business Combination Agreement, dated December 2, 2021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among ArcLight, Opal Holdco LLC (“</w:t>
      </w:r>
      <w:r>
        <w:rPr>
          <w:rFonts w:ascii="Arial" w:cs="Arial" w:eastAsia="Arial" w:hAnsi="Arial"/>
          <w:sz w:val="18"/>
          <w:szCs w:val="18"/>
          <w:b w:val="1"/>
          <w:bCs w:val="1"/>
          <w:i w:val="1"/>
          <w:iCs w:val="1"/>
          <w:color w:val="auto"/>
        </w:rPr>
        <w:t>OPAL Holdco</w:t>
      </w:r>
      <w:r>
        <w:rPr>
          <w:rFonts w:ascii="Arial" w:cs="Arial" w:eastAsia="Arial" w:hAnsi="Arial"/>
          <w:sz w:val="18"/>
          <w:szCs w:val="18"/>
          <w:color w:val="auto"/>
        </w:rPr>
        <w:t>”), and OPAL Fuels LLC, a Delaware limited liability company (“</w:t>
      </w:r>
      <w:r>
        <w:rPr>
          <w:rFonts w:ascii="Arial" w:cs="Arial" w:eastAsia="Arial" w:hAnsi="Arial"/>
          <w:sz w:val="18"/>
          <w:szCs w:val="18"/>
          <w:b w:val="1"/>
          <w:bCs w:val="1"/>
          <w:i w:val="1"/>
          <w:iCs w:val="1"/>
          <w:color w:val="auto"/>
        </w:rPr>
        <w:t>OPAL Fuels</w:t>
      </w:r>
      <w:r>
        <w:rPr>
          <w:rFonts w:ascii="Arial" w:cs="Arial" w:eastAsia="Arial" w:hAnsi="Arial"/>
          <w:sz w:val="18"/>
          <w:szCs w:val="18"/>
          <w:color w:val="auto"/>
        </w:rPr>
        <w: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21, 2022 (the “</w:t>
      </w:r>
      <w:r>
        <w:rPr>
          <w:rFonts w:ascii="Arial" w:cs="Arial" w:eastAsia="Arial" w:hAnsi="Arial"/>
          <w:sz w:val="16"/>
          <w:szCs w:val="16"/>
          <w:b w:val="1"/>
          <w:bCs w:val="1"/>
          <w:i w:val="1"/>
          <w:iCs w:val="1"/>
          <w:color w:val="auto"/>
        </w:rPr>
        <w:t>Domestication Date</w:t>
      </w:r>
      <w:r>
        <w:rPr>
          <w:rFonts w:ascii="Arial" w:cs="Arial" w:eastAsia="Arial" w:hAnsi="Arial"/>
          <w:sz w:val="16"/>
          <w:szCs w:val="16"/>
          <w:color w:val="auto"/>
        </w:rPr>
        <w:t>”), as contemplated by the Business Combination Agreement and described in the section titled “</w:t>
      </w:r>
      <w:r>
        <w:rPr>
          <w:rFonts w:ascii="Arial" w:cs="Arial" w:eastAsia="Arial" w:hAnsi="Arial"/>
          <w:sz w:val="16"/>
          <w:szCs w:val="16"/>
          <w:i w:val="1"/>
          <w:iCs w:val="1"/>
          <w:color w:val="auto"/>
        </w:rPr>
        <w:t>Proposal No. 2</w:t>
      </w:r>
      <w:r>
        <w:rPr>
          <w:rFonts w:ascii="Arial" w:cs="Arial" w:eastAsia="Arial" w:hAnsi="Arial"/>
          <w:sz w:val="16"/>
          <w:szCs w:val="16"/>
          <w:color w:val="auto"/>
        </w:rPr>
        <w:t xml:space="preserve"> </w:t>
      </w:r>
      <w:r>
        <w:rPr>
          <w:rFonts w:ascii="Arial" w:cs="Arial" w:eastAsia="Arial" w:hAnsi="Arial"/>
          <w:sz w:val="16"/>
          <w:szCs w:val="16"/>
          <w:i w:val="1"/>
          <w:iCs w:val="1"/>
          <w:color w:val="auto"/>
        </w:rPr>
        <w:t>—The Domestication Proposal</w:t>
      </w:r>
      <w:r>
        <w:rPr>
          <w:rFonts w:ascii="Arial" w:cs="Arial" w:eastAsia="Arial" w:hAnsi="Arial"/>
          <w:sz w:val="16"/>
          <w:szCs w:val="16"/>
          <w:color w:val="auto"/>
        </w:rPr>
        <w:t>” beginning on page 169 of the definitive proxy statement and final prospectus, dated June 27, 2022 (the “</w:t>
      </w:r>
      <w:r>
        <w:rPr>
          <w:rFonts w:ascii="Arial" w:cs="Arial" w:eastAsia="Arial" w:hAnsi="Arial"/>
          <w:sz w:val="16"/>
          <w:szCs w:val="16"/>
          <w:b w:val="1"/>
          <w:bCs w:val="1"/>
          <w:i w:val="1"/>
          <w:iCs w:val="1"/>
          <w:color w:val="auto"/>
        </w:rPr>
        <w:t>Proxy</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Statement/Prospectus</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ArcLight filed a notice of deregistration with the Cayman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w:t>
      </w:r>
      <w:r>
        <w:rPr>
          <w:rFonts w:ascii="Arial" w:cs="Arial" w:eastAsia="Arial" w:hAnsi="Arial"/>
          <w:sz w:val="16"/>
          <w:szCs w:val="16"/>
          <w:b w:val="1"/>
          <w:bCs w:val="1"/>
          <w:i w:val="1"/>
          <w:iCs w:val="1"/>
          <w:color w:val="auto"/>
        </w:rPr>
        <w:t>Domestication</w:t>
      </w:r>
      <w:r>
        <w:rPr>
          <w:rFonts w:ascii="Arial" w:cs="Arial" w:eastAsia="Arial" w:hAnsi="Arial"/>
          <w:sz w:val="16"/>
          <w:szCs w:val="16"/>
          <w:color w:val="auto"/>
        </w:rPr>
        <w:t>”). Pursuant to the Domestication, (i) each outstanding Class B ordinary share, par value $0.0001 per share (the “</w:t>
      </w:r>
      <w:r>
        <w:rPr>
          <w:rFonts w:ascii="Arial" w:cs="Arial" w:eastAsia="Arial" w:hAnsi="Arial"/>
          <w:sz w:val="16"/>
          <w:szCs w:val="16"/>
          <w:b w:val="1"/>
          <w:bCs w:val="1"/>
          <w:i w:val="1"/>
          <w:iCs w:val="1"/>
          <w:color w:val="auto"/>
        </w:rPr>
        <w:t>Class B ordinary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ArcLight was automatically converted, on a one-for-one basis, into a Class A ordinary share, par value $0.0001 per share (the “</w:t>
      </w: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 of ArcLight; (ii) each issued and outstanding Class A ordinary share (including Class A ordinary shares resulting from the conversion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B ordinary shares into Class A ordinary shares) was automatically converted, on a one-for-one basis, into a share of New OPAL Class A common stock, par value $0.0001 per share (the “</w:t>
      </w:r>
      <w:r>
        <w:rPr>
          <w:rFonts w:ascii="Arial" w:cs="Arial" w:eastAsia="Arial" w:hAnsi="Arial"/>
          <w:sz w:val="16"/>
          <w:szCs w:val="16"/>
          <w:b w:val="1"/>
          <w:bCs w:val="1"/>
          <w:i w:val="1"/>
          <w:iCs w:val="1"/>
          <w:color w:val="auto"/>
        </w:rPr>
        <w:t>New OPAL Class A common stock</w:t>
      </w:r>
      <w:r>
        <w:rPr>
          <w:rFonts w:ascii="Arial" w:cs="Arial" w:eastAsia="Arial" w:hAnsi="Arial"/>
          <w:sz w:val="16"/>
          <w:szCs w:val="16"/>
          <w:color w:val="auto"/>
        </w:rPr>
        <w:t>”); (iii) each issued and outstanding whole warrant to purchase Class A ordinary shares of ArcLight automatically converted into a warrant to acquire one share of New OPAL Class A common stock at an exercise price of $11.50 per share (each a “</w:t>
      </w:r>
      <w:r>
        <w:rPr>
          <w:rFonts w:ascii="Arial" w:cs="Arial" w:eastAsia="Arial" w:hAnsi="Arial"/>
          <w:sz w:val="16"/>
          <w:szCs w:val="16"/>
          <w:b w:val="1"/>
          <w:bCs w:val="1"/>
          <w:i w:val="1"/>
          <w:iCs w:val="1"/>
          <w:color w:val="auto"/>
        </w:rPr>
        <w:t>New OPAL warrant</w:t>
      </w:r>
      <w:r>
        <w:rPr>
          <w:rFonts w:ascii="Arial" w:cs="Arial" w:eastAsia="Arial" w:hAnsi="Arial"/>
          <w:sz w:val="16"/>
          <w:szCs w:val="16"/>
          <w:color w:val="auto"/>
        </w:rPr>
        <w: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New OPAL Class A common stock and one-half of one New OPAL warrant.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21, 2022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as contemplated by the Business Combination Agreement and described in the sections titled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Agreement—The Business Combination Agreement</w:t>
      </w:r>
      <w:r>
        <w:rPr>
          <w:rFonts w:ascii="Arial" w:cs="Arial" w:eastAsia="Arial" w:hAnsi="Arial"/>
          <w:sz w:val="18"/>
          <w:szCs w:val="18"/>
          <w:color w:val="auto"/>
        </w:rPr>
        <w:t>” and</w:t>
      </w:r>
      <w:r>
        <w:rPr>
          <w:rFonts w:ascii="Arial" w:cs="Arial" w:eastAsia="Arial" w:hAnsi="Arial"/>
          <w:sz w:val="18"/>
          <w:szCs w:val="18"/>
          <w:i w:val="1"/>
          <w:iCs w:val="1"/>
          <w:color w:val="auto"/>
        </w:rPr>
        <w:t xml:space="preserve"> “Proposal No. 1—The Business Combination Proposal</w:t>
      </w:r>
      <w:r>
        <w:rPr>
          <w:rFonts w:ascii="Arial" w:cs="Arial" w:eastAsia="Arial" w:hAnsi="Arial"/>
          <w:sz w:val="18"/>
          <w:szCs w:val="18"/>
          <w:color w:val="auto"/>
        </w:rPr>
        <w:t>” beginning on pages 126 and</w:t>
      </w:r>
      <w:r>
        <w:rPr>
          <w:rFonts w:ascii="Arial" w:cs="Arial" w:eastAsia="Arial" w:hAnsi="Arial"/>
          <w:sz w:val="18"/>
          <w:szCs w:val="18"/>
          <w:i w:val="1"/>
          <w:iCs w:val="1"/>
          <w:color w:val="auto"/>
        </w:rPr>
        <w:t xml:space="preserve"> </w:t>
      </w:r>
      <w:r>
        <w:rPr>
          <w:rFonts w:ascii="Arial" w:cs="Arial" w:eastAsia="Arial" w:hAnsi="Arial"/>
          <w:sz w:val="18"/>
          <w:szCs w:val="18"/>
          <w:color w:val="auto"/>
        </w:rPr>
        <w:t>163, respectively, of the Proxy Statement/Prospectus:</w:t>
      </w:r>
    </w:p>
    <w:p>
      <w:pPr>
        <w:spacing w:after="0" w:line="184" w:lineRule="exact"/>
        <w:rPr>
          <w:sz w:val="20"/>
          <w:szCs w:val="20"/>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of OPAL Fuels (collectively, the “</w:t>
      </w:r>
      <w:r>
        <w:rPr>
          <w:rFonts w:ascii="Arial" w:cs="Arial" w:eastAsia="Arial" w:hAnsi="Arial"/>
          <w:sz w:val="18"/>
          <w:szCs w:val="18"/>
          <w:b w:val="1"/>
          <w:bCs w:val="1"/>
          <w:i w:val="1"/>
          <w:iCs w:val="1"/>
          <w:color w:val="auto"/>
        </w:rPr>
        <w:t>OPAL Common Units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OPAL contributed to OPAL Fuels $123,362,579 (representing (x) the amount of cash in the trust account established by ArcLight with the proceeds from its initial public offering as of immediately prior to the Closing, after giving effect to the exercise of redemption rights by any ArcLight shareholders and the set aside of funds in escrow to support a forward purchase agreement (described further below), plus (y) the aggregate cash proceeds received in respect of the PIPE Investment (as defined below);</w:t>
      </w:r>
    </w:p>
    <w:p>
      <w:pPr>
        <w:spacing w:after="0" w:line="18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New OPAL contributed to OPAL Fuels, and OPAL Fuels in turn distributed to pre-closing members of OPAL Fuels, 144,399,037 shares of Class D common stock, par value $0.0001 per share, of New OPAL (the “</w:t>
      </w:r>
      <w:r>
        <w:rPr>
          <w:rFonts w:ascii="Arial" w:cs="Arial" w:eastAsia="Arial" w:hAnsi="Arial"/>
          <w:sz w:val="17"/>
          <w:szCs w:val="17"/>
          <w:b w:val="1"/>
          <w:bCs w:val="1"/>
          <w:i w:val="1"/>
          <w:iCs w:val="1"/>
          <w:color w:val="auto"/>
        </w:rPr>
        <w:t>New OPAL Class D common stock</w:t>
      </w:r>
      <w:r>
        <w:rPr>
          <w:rFonts w:ascii="Arial" w:cs="Arial" w:eastAsia="Arial" w:hAnsi="Arial"/>
          <w:sz w:val="17"/>
          <w:szCs w:val="17"/>
          <w:color w:val="auto"/>
        </w:rPr>
        <w:t>”) (such shares of New OPAL Class D common stock do not have any economic value but entitle the holder thereof to five votes per share) with the number of such shares of New OPAL Class D common stock equal to the number of OPAL Common Units held by each pre-closing member of OPAL Fuels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OPAL issued directly to ARCC Beacon LLC, a Delaware limited liability company (“</w:t>
      </w:r>
      <w:r>
        <w:rPr>
          <w:rFonts w:ascii="Arial" w:cs="Arial" w:eastAsia="Arial" w:hAnsi="Arial"/>
          <w:sz w:val="18"/>
          <w:szCs w:val="18"/>
          <w:b w:val="1"/>
          <w:bCs w:val="1"/>
          <w:i w:val="1"/>
          <w:iCs w:val="1"/>
          <w:color w:val="auto"/>
        </w:rPr>
        <w:t>Ares</w:t>
      </w:r>
      <w:r>
        <w:rPr>
          <w:rFonts w:ascii="Arial" w:cs="Arial" w:eastAsia="Arial" w:hAnsi="Arial"/>
          <w:sz w:val="18"/>
          <w:szCs w:val="18"/>
          <w:color w:val="auto"/>
        </w:rPr>
        <w:t>”), 3,059,533 shares of New OPAL Class A common stock;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OPAL Fuels issued to New OPAL 25,171,390 Class A Units of OPAL Fuels (the foregoing transactions being referred to as the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pursuant to subscription agreements entered into with certain investors (the “</w:t>
      </w:r>
      <w:r>
        <w:rPr>
          <w:rFonts w:ascii="Arial" w:cs="Arial" w:eastAsia="Arial" w:hAnsi="Arial"/>
          <w:sz w:val="16"/>
          <w:szCs w:val="16"/>
          <w:b w:val="1"/>
          <w:bCs w:val="1"/>
          <w:i w:val="1"/>
          <w:iCs w:val="1"/>
          <w:color w:val="auto"/>
        </w:rPr>
        <w:t>PIPE Investors</w:t>
      </w:r>
      <w:r>
        <w:rPr>
          <w:rFonts w:ascii="Arial" w:cs="Arial" w:eastAsia="Arial" w:hAnsi="Arial"/>
          <w:sz w:val="16"/>
          <w:szCs w:val="16"/>
          <w:color w:val="auto"/>
        </w:rPr>
        <w:t>”) in connection with the Business Combination (the “</w:t>
      </w:r>
      <w:r>
        <w:rPr>
          <w:rFonts w:ascii="Arial" w:cs="Arial" w:eastAsia="Arial" w:hAnsi="Arial"/>
          <w:sz w:val="16"/>
          <w:szCs w:val="16"/>
          <w:b w:val="1"/>
          <w:bCs w:val="1"/>
          <w:i w:val="1"/>
          <w:iCs w:val="1"/>
          <w:color w:val="auto"/>
        </w:rPr>
        <w:t>PIPE Investment</w:t>
      </w:r>
      <w:r>
        <w:rPr>
          <w:rFonts w:ascii="Arial" w:cs="Arial" w:eastAsia="Arial" w:hAnsi="Arial"/>
          <w:sz w:val="16"/>
          <w:szCs w:val="16"/>
          <w:color w:val="auto"/>
        </w:rPr>
        <w:t>”), concurrently with the closing of the Business Combination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the Company received $105,806,000 in proceeds from the PIPE Investors, in exchange for which it issued 10,580,600 shares of New OPAL Class A common stock to the PIPE Investors.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27,364,124 Class A ordinary shares sold in ArcLight’s initial public offering (the “</w:t>
      </w:r>
      <w:r>
        <w:rPr>
          <w:rFonts w:ascii="Arial" w:cs="Arial" w:eastAsia="Arial" w:hAnsi="Arial"/>
          <w:sz w:val="18"/>
          <w:szCs w:val="18"/>
          <w:b w:val="1"/>
          <w:bCs w:val="1"/>
          <w:i w:val="1"/>
          <w:iCs w:val="1"/>
          <w:color w:val="auto"/>
        </w:rPr>
        <w:t>public shares</w:t>
      </w:r>
      <w:r>
        <w:rPr>
          <w:rFonts w:ascii="Arial" w:cs="Arial" w:eastAsia="Arial" w:hAnsi="Arial"/>
          <w:sz w:val="18"/>
          <w:szCs w:val="18"/>
          <w:color w:val="auto"/>
        </w:rPr>
        <w:t>”)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$274,186,522 in the aggregate.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forward share purchase agreement (the “</w:t>
      </w:r>
      <w:r>
        <w:rPr>
          <w:rFonts w:ascii="Arial" w:cs="Arial" w:eastAsia="Arial" w:hAnsi="Arial"/>
          <w:sz w:val="18"/>
          <w:szCs w:val="18"/>
          <w:b w:val="1"/>
          <w:bCs w:val="1"/>
          <w:i w:val="1"/>
          <w:iCs w:val="1"/>
          <w:color w:val="auto"/>
        </w:rPr>
        <w:t>Forward Purchase Agreement</w:t>
      </w:r>
      <w:r>
        <w:rPr>
          <w:rFonts w:ascii="Arial" w:cs="Arial" w:eastAsia="Arial" w:hAnsi="Arial"/>
          <w:sz w:val="18"/>
          <w:szCs w:val="18"/>
          <w:color w:val="auto"/>
        </w:rPr>
        <w:t>”) entered into between ArcLight and Meteora Capital Partners and its affiliates (collectively, “</w:t>
      </w:r>
      <w:r>
        <w:rPr>
          <w:rFonts w:ascii="Arial" w:cs="Arial" w:eastAsia="Arial" w:hAnsi="Arial"/>
          <w:sz w:val="18"/>
          <w:szCs w:val="18"/>
          <w:b w:val="1"/>
          <w:bCs w:val="1"/>
          <w:i w:val="1"/>
          <w:iCs w:val="1"/>
          <w:color w:val="auto"/>
        </w:rPr>
        <w:t>Meteora</w:t>
      </w:r>
      <w:r>
        <w:rPr>
          <w:rFonts w:ascii="Arial" w:cs="Arial" w:eastAsia="Arial" w:hAnsi="Arial"/>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purchase obligations to Meteora under the Forward Purchase Agreement. The terms of the Forward Purchase Agreement were previously announced by ArcLight in its Current Report dated July 18, 2022.</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After giving effect to the Business Combination, the redemption of public shares as described above, the consummation of the PIPE Investment, and the separation of the former ArcLight units, there are currently (i) 25,171,390 shares of New OPAL Class A common stock issued and outstanding, (ii) 144,399,037 shares of New OPAL Class D common stock issued and outstanding, (iii) no shares of Class B common stock, par value $0.0001 per share, of New OPAL (“</w:t>
      </w:r>
      <w:r>
        <w:rPr>
          <w:rFonts w:ascii="Arial" w:cs="Arial" w:eastAsia="Arial" w:hAnsi="Arial"/>
          <w:sz w:val="16"/>
          <w:szCs w:val="16"/>
          <w:b w:val="1"/>
          <w:bCs w:val="1"/>
          <w:i w:val="1"/>
          <w:iCs w:val="1"/>
          <w:color w:val="auto"/>
        </w:rPr>
        <w:t>New OPAL Class B common stock</w:t>
      </w:r>
      <w:r>
        <w:rPr>
          <w:rFonts w:ascii="Arial" w:cs="Arial" w:eastAsia="Arial" w:hAnsi="Arial"/>
          <w:sz w:val="16"/>
          <w:szCs w:val="16"/>
          <w:color w:val="auto"/>
        </w:rPr>
        <w:t>”) issued and outstanding (shares of New OPAL Class B common stock do not have any economic value but entitle the holder thereof to one vote per share) and (iv) no shares of Class C common stock, par value $0.0001 per share, of New OPAL (“</w:t>
      </w:r>
      <w:r>
        <w:rPr>
          <w:rFonts w:ascii="Arial" w:cs="Arial" w:eastAsia="Arial" w:hAnsi="Arial"/>
          <w:sz w:val="16"/>
          <w:szCs w:val="16"/>
          <w:b w:val="1"/>
          <w:bCs w:val="1"/>
          <w:i w:val="1"/>
          <w:iCs w:val="1"/>
          <w:color w:val="auto"/>
        </w:rPr>
        <w:t>New OPAL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Class C common stock</w:t>
      </w:r>
      <w:r>
        <w:rPr>
          <w:rFonts w:ascii="Arial" w:cs="Arial" w:eastAsia="Arial" w:hAnsi="Arial"/>
          <w:sz w:val="16"/>
          <w:szCs w:val="16"/>
          <w:color w:val="auto"/>
        </w:rPr>
        <w:t>”) issued and outstanding (shares of New OPAL Class C common stock entitle the holder thereof to five votes per share).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New OPAL Class A common stock and New OPAL warrants commenced trading on the Nasdaq Global Select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under the symbols “OPAL” and “OPALW,” respectively, on July 22, 2022, subject to ongoing review of New OPAL’s satisfaction of all listing criteria following the Business Combination.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an aggregate of $274,186,522 was paid from the trust account to holders that properly exercised their right to have their public shares redeemed, and the remaining balance immediately prior to the Closing of $37,596,579 remained in the trust account. The remaining amount in the trust account, together with the proceeds from the PIPE Investment, were contributed by New OPAL to OPAL Fuels after the set aside of funds in escrow to support a Forward Purchase Agreement.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more detailed description of the Business Combination can be found in the sections titled “</w:t>
      </w:r>
      <w:r>
        <w:rPr>
          <w:rFonts w:ascii="Arial" w:cs="Arial" w:eastAsia="Arial" w:hAnsi="Arial"/>
          <w:sz w:val="17"/>
          <w:szCs w:val="17"/>
          <w:i w:val="1"/>
          <w:iCs w:val="1"/>
          <w:color w:val="auto"/>
        </w:rPr>
        <w:t>The Business Combination Agreement</w:t>
      </w:r>
      <w:r>
        <w:rPr>
          <w:rFonts w:ascii="Arial" w:cs="Arial" w:eastAsia="Arial" w:hAnsi="Arial"/>
          <w:sz w:val="17"/>
          <w:szCs w:val="17"/>
          <w:color w:val="auto"/>
        </w:rPr>
        <w:t xml:space="preserve">” and </w:t>
      </w:r>
      <w:r>
        <w:rPr>
          <w:rFonts w:ascii="Arial" w:cs="Arial" w:eastAsia="Arial" w:hAnsi="Arial"/>
          <w:sz w:val="17"/>
          <w:szCs w:val="17"/>
          <w:i w:val="1"/>
          <w:iCs w:val="1"/>
          <w:color w:val="auto"/>
        </w:rPr>
        <w:t>“Proposal No. 1</w:t>
      </w:r>
      <w:r>
        <w:rPr>
          <w:rFonts w:ascii="Arial" w:cs="Arial" w:eastAsia="Arial" w:hAnsi="Arial"/>
          <w:sz w:val="17"/>
          <w:szCs w:val="17"/>
          <w:color w:val="auto"/>
        </w:rPr>
        <w:t xml:space="preserve">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 beginning on pages 113 and 163, respectively, and is incorporated herein by reference. Further, the foregoing</w:t>
      </w:r>
      <w:r>
        <w:rPr>
          <w:rFonts w:ascii="Arial" w:cs="Arial" w:eastAsia="Arial" w:hAnsi="Arial"/>
          <w:sz w:val="17"/>
          <w:szCs w:val="17"/>
          <w:i w:val="1"/>
          <w:iCs w:val="1"/>
          <w:color w:val="auto"/>
        </w:rPr>
        <w:t xml:space="preserve"> </w:t>
      </w:r>
      <w:r>
        <w:rPr>
          <w:rFonts w:ascii="Arial" w:cs="Arial" w:eastAsia="Arial" w:hAnsi="Arial"/>
          <w:sz w:val="17"/>
          <w:szCs w:val="17"/>
          <w:color w:val="auto"/>
        </w:rPr>
        <w:t>description of the Business Combination Agreement is a summary only and is qualified in its entirety by reference to the Business Combination Agreement, a copy of which is attached as Annex A to the Proxy Statement/Prospectus, and is incorporated herein by reference.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spacing w:after="0" w:line="301" w:lineRule="auto"/>
        <w:rPr>
          <w:sz w:val="20"/>
          <w:szCs w:val="20"/>
          <w:color w:val="auto"/>
        </w:rPr>
      </w:pPr>
      <w:r>
        <w:rPr>
          <w:rFonts w:ascii="Arial" w:cs="Arial" w:eastAsia="Arial" w:hAnsi="Arial"/>
          <w:sz w:val="16"/>
          <w:szCs w:val="16"/>
          <w:color w:val="auto"/>
        </w:rPr>
        <w:t>Unless the context otherwise requires,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refers to the registrant, which is New OPAL after the Closing, and ArcLight prior to the Closing. All references herein to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refer to the board of directors of New OPAL. Terms used in this Current Report on Form 8-K (this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but not defined herein, or for which definitions are not otherwise incorporated by reference herein, shall have the meaning given to such terms in the Proxy Statement/Prospectus in the section titled “Selected Definitions” beginning on page 3 thereof, and such definitions are incorporated herein by reference.</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Report incorporates by reference certain information from reports and other documents that were previously filed with the SEC, including certain information from the Proxy Statement/Prospectus. To the extent there is a conflict between the information contained in this Report and the information contained in such prior reports and documents and incorporated by reference herein, the information in this Report controls.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A&amp;R LLC Agreement of OPAL Fuels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Closing, OPAL Fuels’ existing limited liability company agreement was amended and restated (the “</w:t>
      </w:r>
      <w:r>
        <w:rPr>
          <w:rFonts w:ascii="Arial" w:cs="Arial" w:eastAsia="Arial" w:hAnsi="Arial"/>
          <w:sz w:val="17"/>
          <w:szCs w:val="17"/>
          <w:b w:val="1"/>
          <w:bCs w:val="1"/>
          <w:i w:val="1"/>
          <w:iCs w:val="1"/>
          <w:color w:val="auto"/>
        </w:rPr>
        <w:t>Second A&amp;R LLC Agreement</w:t>
      </w:r>
      <w:r>
        <w:rPr>
          <w:rFonts w:ascii="Arial" w:cs="Arial" w:eastAsia="Arial" w:hAnsi="Arial"/>
          <w:sz w:val="17"/>
          <w:szCs w:val="17"/>
          <w:color w:val="auto"/>
        </w:rPr>
        <w:t>”) to, among other things, admit New OPAL as the managing member of OPAL Fuels and to re-classify all of OPAL Fuels’ existing common units into 144,399,037 OPAL Common Units. The Second A&amp;R LLC Agreement provides the holders of OPAL Common Units the right to exchange their OPAL Common Units, together with their shares of New OPAL Class B common stock or New OPAL Class D common stock, for shares of New OPAL Class A common stock or New OPAL Class C common stock, as applicable, or, at the election of New OPAL, cash, in each case, subject to certain restrictions set forth therein. Pursuant to the Second A&amp;R LLC Agreement, the OPAL Common Units will be entitled to share in the profits and losses of OPAL Fuels and to receive distributions if and as declared by the managing member of OPAL Fuels and will have no voting rights, except as otherwise required by law. The material terms of the Second A&amp;R LLC Agreement are described in the section of the Proxy Statement/Prospectus beginning on page 145 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Combination Agreement —Related Agreements—Second Amended and Restated Limited Liability Company Agreement.” </w:t>
      </w:r>
      <w:r>
        <w:rPr>
          <w:rFonts w:ascii="Arial" w:cs="Arial" w:eastAsia="Arial" w:hAnsi="Arial"/>
          <w:sz w:val="17"/>
          <w:szCs w:val="17"/>
          <w:color w:val="auto"/>
        </w:rPr>
        <w:t>Such description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by reference in this Report and is qualified in its entirety by the text of the Second A&amp;R LLC Agreement, which is included as Exhibit 10.8 to this Report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Closing Date, in connection with the consummation of the Business Combination and as contemplated by the Business Combination Agreement, New OPAL entered into a tax receivable agreement (the “</w:t>
      </w:r>
      <w:r>
        <w:rPr>
          <w:rFonts w:ascii="Arial" w:cs="Arial" w:eastAsia="Arial" w:hAnsi="Arial"/>
          <w:sz w:val="17"/>
          <w:szCs w:val="17"/>
          <w:b w:val="1"/>
          <w:bCs w:val="1"/>
          <w:i w:val="1"/>
          <w:iCs w:val="1"/>
          <w:color w:val="auto"/>
        </w:rPr>
        <w:t>Tax Receivable Agreement</w:t>
      </w:r>
      <w:r>
        <w:rPr>
          <w:rFonts w:ascii="Arial" w:cs="Arial" w:eastAsia="Arial" w:hAnsi="Arial"/>
          <w:sz w:val="17"/>
          <w:szCs w:val="17"/>
          <w:color w:val="auto"/>
        </w:rPr>
        <w:t>”) with Hillman RNG Investments, LLC (“</w:t>
      </w:r>
      <w:r>
        <w:rPr>
          <w:rFonts w:ascii="Arial" w:cs="Arial" w:eastAsia="Arial" w:hAnsi="Arial"/>
          <w:sz w:val="17"/>
          <w:szCs w:val="17"/>
          <w:b w:val="1"/>
          <w:bCs w:val="1"/>
          <w:i w:val="1"/>
          <w:iCs w:val="1"/>
          <w:color w:val="auto"/>
        </w:rPr>
        <w:t>Hillman</w:t>
      </w:r>
      <w:r>
        <w:rPr>
          <w:rFonts w:ascii="Arial" w:cs="Arial" w:eastAsia="Arial" w:hAnsi="Arial"/>
          <w:sz w:val="17"/>
          <w:szCs w:val="17"/>
          <w:color w:val="auto"/>
        </w:rPr>
        <w:t>”) and OPAL Holdco and (the “</w:t>
      </w:r>
      <w:r>
        <w:rPr>
          <w:rFonts w:ascii="Arial" w:cs="Arial" w:eastAsia="Arial" w:hAnsi="Arial"/>
          <w:sz w:val="17"/>
          <w:szCs w:val="17"/>
          <w:b w:val="1"/>
          <w:bCs w:val="1"/>
          <w:i w:val="1"/>
          <w:iCs w:val="1"/>
          <w:color w:val="auto"/>
        </w:rPr>
        <w:t>TRA Participants</w:t>
      </w:r>
      <w:r>
        <w:rPr>
          <w:rFonts w:ascii="Arial" w:cs="Arial" w:eastAsia="Arial" w:hAnsi="Arial"/>
          <w:sz w:val="17"/>
          <w:szCs w:val="17"/>
          <w:color w:val="auto"/>
        </w:rPr>
        <w:t xml:space="preserve">”). Pursuant to the Tax Receivable Agreement, New OPAL is required to pay the TRA Participants 85% of the amount of savings, if any, in U.S. federal, state and local income tax that New OPAL actually realizes (computed using certain simplifying assumptions) as a result of the increases in tax basis and certain other tax benefits related to any exchanges of OPAL Common Units (together with voting shares of New OPAL) for New OPAL Class A common stock or New OPAL Class C common stock. The material terms of the Tax Receivable Agreement are described in the section of the Proxy Statement/Prospectus beginning on page 144 titled </w:t>
      </w:r>
      <w:r>
        <w:rPr>
          <w:rFonts w:ascii="Arial" w:cs="Arial" w:eastAsia="Arial" w:hAnsi="Arial"/>
          <w:sz w:val="17"/>
          <w:szCs w:val="17"/>
          <w:i w:val="1"/>
          <w:iCs w:val="1"/>
          <w:color w:val="auto"/>
        </w:rPr>
        <w:t>The Business Combination — Related Agreements — Tax Receivable Agreement</w:t>
      </w:r>
      <w:r>
        <w:rPr>
          <w:rFonts w:ascii="Arial" w:cs="Arial" w:eastAsia="Arial" w:hAnsi="Arial"/>
          <w:sz w:val="17"/>
          <w:szCs w:val="17"/>
          <w:color w:val="auto"/>
        </w:rPr>
        <w:t>.” Such description is incorporated by reference in this Report and is qualified in its entirety by the text of the Tax Receivable Agreement, which is included as Exhibit 10.6 to this Report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the Closing Date, in connection with the consummation of the Business Combination and as contemplated by the Business Combination Agreement, New OPAL, OPAL Holdco, Ares, Hillman RNG Investments, LLC (“</w:t>
      </w:r>
      <w:r>
        <w:rPr>
          <w:rFonts w:ascii="Arial" w:cs="Arial" w:eastAsia="Arial" w:hAnsi="Arial"/>
          <w:sz w:val="17"/>
          <w:szCs w:val="17"/>
          <w:b w:val="1"/>
          <w:bCs w:val="1"/>
          <w:i w:val="1"/>
          <w:iCs w:val="1"/>
          <w:color w:val="auto"/>
        </w:rPr>
        <w:t>Hillman</w:t>
      </w:r>
      <w:r>
        <w:rPr>
          <w:rFonts w:ascii="Arial" w:cs="Arial" w:eastAsia="Arial" w:hAnsi="Arial"/>
          <w:sz w:val="17"/>
          <w:szCs w:val="17"/>
          <w:color w:val="auto"/>
        </w:rPr>
        <w:t>”), ArcLight CTC Holdings II, L.P. (“</w:t>
      </w:r>
      <w:r>
        <w:rPr>
          <w:rFonts w:ascii="Arial" w:cs="Arial" w:eastAsia="Arial" w:hAnsi="Arial"/>
          <w:sz w:val="17"/>
          <w:szCs w:val="17"/>
          <w:b w:val="1"/>
          <w:bCs w:val="1"/>
          <w:i w:val="1"/>
          <w:iCs w:val="1"/>
          <w:color w:val="auto"/>
        </w:rPr>
        <w:t>ArcLight Sponsor</w:t>
      </w:r>
      <w:r>
        <w:rPr>
          <w:rFonts w:ascii="Arial" w:cs="Arial" w:eastAsia="Arial" w:hAnsi="Arial"/>
          <w:sz w:val="17"/>
          <w:szCs w:val="17"/>
          <w:color w:val="auto"/>
        </w:rPr>
        <w:t>”), and the pre-Closing independent directors of ArcLight (together with ArcLight Sponsor, the “</w:t>
      </w:r>
      <w:r>
        <w:rPr>
          <w:rFonts w:ascii="Arial" w:cs="Arial" w:eastAsia="Arial" w:hAnsi="Arial"/>
          <w:sz w:val="17"/>
          <w:szCs w:val="17"/>
          <w:b w:val="1"/>
          <w:bCs w:val="1"/>
          <w:i w:val="1"/>
          <w:iCs w:val="1"/>
          <w:color w:val="auto"/>
        </w:rPr>
        <w:t>Class B Shareholders</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New OPAL Holders</w:t>
      </w:r>
      <w:r>
        <w:rPr>
          <w:rFonts w:ascii="Arial" w:cs="Arial" w:eastAsia="Arial" w:hAnsi="Arial"/>
          <w:sz w:val="17"/>
          <w:szCs w:val="17"/>
          <w:color w:val="auto"/>
        </w:rPr>
        <w:t>”) entered into an Investor Rights Agreement (the “</w:t>
      </w:r>
      <w:r>
        <w:rPr>
          <w:rFonts w:ascii="Arial" w:cs="Arial" w:eastAsia="Arial" w:hAnsi="Arial"/>
          <w:sz w:val="17"/>
          <w:szCs w:val="17"/>
          <w:b w:val="1"/>
          <w:bCs w:val="1"/>
          <w:i w:val="1"/>
          <w:iCs w:val="1"/>
          <w:color w:val="auto"/>
        </w:rPr>
        <w:t>Investor Rights Agreement</w:t>
      </w:r>
      <w:r>
        <w:rPr>
          <w:rFonts w:ascii="Arial" w:cs="Arial" w:eastAsia="Arial" w:hAnsi="Arial"/>
          <w:sz w:val="17"/>
          <w:szCs w:val="17"/>
          <w:color w:val="auto"/>
        </w:rPr>
        <w:t xml:space="preserve">”), pursuant to which, among other things, (i) ArcLight and ArcLight Sponsor terminated the Registration and Shareholder Rights Agreement, dated as of March 25, 2021, entered into by them in connection with ArcLight’s initial public offering, (ii) New OPAL provided the New OPAL Holders certain registration rights with respect to certain shares of New OPAL Class A common stock held by them or otherwise issuable to them pursuant to the Business Combination Agreement, the Second A&amp;R LLC Agreement or the certificate of incorporation of New OPAL and (iii) the New OPAL Holders agreed not to transfer, sell, assign or otherwise dispose of their shares of New OPAL Class A common stock for up to 180 days following the Closing, subject to certain exceptions. The material terms of the Investor Rights Agreement are described in the section of the Proxy Statement/Prospectus beginning on page 145 titled </w:t>
      </w:r>
      <w:r>
        <w:rPr>
          <w:rFonts w:ascii="Arial" w:cs="Arial" w:eastAsia="Arial" w:hAnsi="Arial"/>
          <w:sz w:val="17"/>
          <w:szCs w:val="17"/>
          <w:i w:val="1"/>
          <w:iCs w:val="1"/>
          <w:color w:val="auto"/>
        </w:rPr>
        <w:t>The Business Combination — Related Agreements — Investor Rights</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Such description is incorporated by reference in this Report and is qualified in its entirety by the text of the Investor Rights Agreement,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included as Exhibit 10.7 to this Report and is incorporated herein by reference.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Closing Date, in connection with the consummation of the Business Combination, New OPAL entered into indemnification agreements with each of its directors and executive officers. These indemnification agreements require New OPAL to indemnify its directors and executive officers for certain expenses, including attorneys’ fees, judgments, fines and settlement amounts incurred by a director or executive officer in any action or proceeding arising out of their services as one of the New OPAL’s directors or executive officers or any other company or enterprise to which the person provides services at New OPAL’s request.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indemnification agreements is qualified in its entirety by the full text of the Form of New OPAL Indemnification Agreement, filed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disclosure set forth in the “</w:t>
      </w:r>
      <w:r>
        <w:rPr>
          <w:rFonts w:ascii="Arial" w:cs="Arial" w:eastAsia="Arial" w:hAnsi="Arial"/>
          <w:sz w:val="17"/>
          <w:szCs w:val="17"/>
          <w:i w:val="1"/>
          <w:iCs w:val="1"/>
          <w:color w:val="auto"/>
        </w:rPr>
        <w:t>Introductory Note</w:t>
      </w:r>
      <w:r>
        <w:rPr>
          <w:rFonts w:ascii="Arial" w:cs="Arial" w:eastAsia="Arial" w:hAnsi="Arial"/>
          <w:sz w:val="17"/>
          <w:szCs w:val="17"/>
          <w:color w:val="auto"/>
        </w:rPr>
        <w:t>” above is incorporated into this Item 2.01 by reference. On July 15, 2022, ArcLight held an extraordinary general meeting of shareholders (the “</w:t>
      </w:r>
      <w:r>
        <w:rPr>
          <w:rFonts w:ascii="Arial" w:cs="Arial" w:eastAsia="Arial" w:hAnsi="Arial"/>
          <w:sz w:val="17"/>
          <w:szCs w:val="17"/>
          <w:b w:val="1"/>
          <w:bCs w:val="1"/>
          <w:i w:val="1"/>
          <w:iCs w:val="1"/>
          <w:color w:val="auto"/>
        </w:rPr>
        <w:t>Extraordinary General Meeting</w:t>
      </w:r>
      <w:r>
        <w:rPr>
          <w:rFonts w:ascii="Arial" w:cs="Arial" w:eastAsia="Arial" w:hAnsi="Arial"/>
          <w:sz w:val="17"/>
          <w:szCs w:val="17"/>
          <w:color w:val="auto"/>
        </w:rPr>
        <w:t>”), at which the ArcLight shareholders considered and adopted, among other matters, a proposal to approve the Business Combination. The Business Combination was completed on July 21,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Item 2.01(f) of Form 8-K, the Company is providing below the information that would be required if the Company were filing a general form for registration of securities on Form 10. Please note that the information provided below relates to the combined company after the consummation of the Business Combination, unless otherwise specifically indicated or the context otherwise requires.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statements in this Report (including in the information that is incorporated by reference in this Report) may constitute “forward-looking statements” for purposes of the federal securities laws. The Company’s forward-looking statements include, but are not limited to, statements regarding the Company’s or the Company’s management team’s expectations, hopes, beliefs, intentions or strategies regarding the future, including those relating to the Business Combination.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not guarantees of future performance, conditions or results, and involve a number of known and unknown risks, uncertainties, assumptions and other important factors, many of which are outside the control of the Company, that could cause actual results or outcomes to differ materially from those discussed in the forward-looking statements. Important factors, among others, that may affect actual results or outcomes include:</w:t>
      </w:r>
    </w:p>
    <w:p>
      <w:pPr>
        <w:spacing w:after="0" w:line="168"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and business performance of the Company, including financial projections and business metrics and any underlying assumptions thereunder;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the New OPAL Class A common stock and the New OPAL warrants on Nasdaq, and the potential liquidity and trading of such securities;</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failure to realize the anticipated benefits of the Business Combination, which may be affected by, among other things, competition, the ability of the Company to grow and manage growth profitably, maintain relationships with customers and suppliers and retain key employees;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success in retaining or recruiting, our principal officers, key employees or directors following the Business Combination;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intense competition and competitive pressures from other companies in the industry in which the Company operates;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of, or delays in obtaining, key components or labor for the construction and completion of landfill gas and livestock waste projects that generate electricity and RNG and compressed natural gas (“</w:t>
      </w:r>
      <w:r>
        <w:rPr>
          <w:rFonts w:ascii="Arial" w:cs="Arial" w:eastAsia="Arial" w:hAnsi="Arial"/>
          <w:sz w:val="18"/>
          <w:szCs w:val="18"/>
          <w:b w:val="1"/>
          <w:bCs w:val="1"/>
          <w:i w:val="1"/>
          <w:iCs w:val="1"/>
          <w:color w:val="auto"/>
        </w:rPr>
        <w:t>CNG</w:t>
      </w:r>
      <w:r>
        <w:rPr>
          <w:rFonts w:ascii="Arial" w:cs="Arial" w:eastAsia="Arial" w:hAnsi="Arial"/>
          <w:sz w:val="18"/>
          <w:szCs w:val="18"/>
          <w:color w:val="auto"/>
        </w:rPr>
        <w:t>”) and hydrogen dispensing stations;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beyond the Company’s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macroeconomic conditions related to the global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reduction or elimination of government economic incentives to the renewable energy market;</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associated with companies, such as the Company, that are engaged in the production and integration of Renewable Natural Gas (“</w:t>
      </w:r>
      <w:r>
        <w:rPr>
          <w:rFonts w:ascii="Arial" w:cs="Arial" w:eastAsia="Arial" w:hAnsi="Arial"/>
          <w:sz w:val="18"/>
          <w:szCs w:val="18"/>
          <w:b w:val="1"/>
          <w:bCs w:val="1"/>
          <w:i w:val="1"/>
          <w:iCs w:val="1"/>
          <w:color w:val="auto"/>
        </w:rPr>
        <w:t>RNG</w:t>
      </w:r>
      <w:r>
        <w:rPr>
          <w:rFonts w:ascii="Arial" w:cs="Arial" w:eastAsia="Arial" w:hAnsi="Arial"/>
          <w:sz w:val="18"/>
          <w:szCs w:val="18"/>
          <w:color w:val="auto"/>
        </w:rPr>
        <w:t>”), including (i) anticipated trends, growth rates and challenges in those businesses and in the markets in which they operate (ii) contractual arrangements with, and the cooperation of, landfill and livestock biogas conversion project site owners and operators and operators, on which the Company operates its landfill gas and livestock waste projects that generate electricity and (iii) RNG prices for environmental attributes, low carbon fuel standard credits and other incentives;</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identify, acquire, develop and operate renewable projects and fueling stations;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issue equity or equity-linked securities or obtain debt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demand for renewable energy not being sustained;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impacts of climate change, changing weather patterns and conditions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detailed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54 of the Proxy Statement/Prospectus and incorporated herein by reference.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forward-looking statements contained in this Report are based on the Company’s current expectations and beliefs concerning future developments and their potential effects on the Company. 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or incorporated by reference under the heading “Risk Factors” below. Should one or more of these risks or uncertainties materialize, or should any of the assumptions prove incorrect, actual results may vary in material respects from those projected in these forward-looking statements. Some of these risks and uncertainties may in the future be amplified by the COVID-19 pandemic and there may be additional risks that the Company considers immaterial or which are unknown. It is not possible to predict or identify all such risks. The Company will not and does not undertake any obligation to update or revise any forward-looking statements, whether as a result of new information, future events or otherwise, except as may be required under applicable securities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of the Company is described in the Proxy Statement/Prospectus in the section titled “</w:t>
      </w:r>
      <w:r>
        <w:rPr>
          <w:rFonts w:ascii="Arial" w:cs="Arial" w:eastAsia="Arial" w:hAnsi="Arial"/>
          <w:sz w:val="18"/>
          <w:szCs w:val="18"/>
          <w:i w:val="1"/>
          <w:iCs w:val="1"/>
          <w:color w:val="auto"/>
        </w:rPr>
        <w:t>Information About OPAL Fuels</w:t>
      </w:r>
      <w:r>
        <w:rPr>
          <w:rFonts w:ascii="Arial" w:cs="Arial" w:eastAsia="Arial" w:hAnsi="Arial"/>
          <w:sz w:val="18"/>
          <w:szCs w:val="18"/>
          <w:color w:val="auto"/>
        </w:rPr>
        <w:t>” beginning on page 237 thereof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risks associated with the Company’s business are described in the Proxy Statement/Prospectus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54 thereof and are incorporated herein by reference. A summary of the risks associated with the Company’s business are also described on page 45 of the Proxy Statement/Prospectus under the heading “</w:t>
      </w:r>
      <w:r>
        <w:rPr>
          <w:rFonts w:ascii="Arial" w:cs="Arial" w:eastAsia="Arial" w:hAnsi="Arial"/>
          <w:sz w:val="17"/>
          <w:szCs w:val="17"/>
          <w:i w:val="1"/>
          <w:iCs w:val="1"/>
          <w:color w:val="auto"/>
        </w:rPr>
        <w:t>Summary—Summary of Risk Factors</w:t>
      </w:r>
      <w:r>
        <w:rPr>
          <w:rFonts w:ascii="Arial" w:cs="Arial" w:eastAsia="Arial" w:hAnsi="Arial"/>
          <w:sz w:val="17"/>
          <w:szCs w:val="17"/>
          <w:color w:val="auto"/>
        </w:rPr>
        <w:t>” and are incorporated herein by reference.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of Opal Fuels as of March 31, 2022 (unaudited) and December 31, 2021 for the three months ended March 31, 2022 and 2021 (unaudited) and the related notes are included in the Proxy Statement/Prospectus beginning on page F-45 and are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audited consolidated financial statements of OPAL Fuels as of December 31, 2021 and 2020 (restated) , and for the three years ended December 31, 2021, 2020 (restated) and 2019 (restated) and the related notes are included in the Proxy Statement/Prospectus beginning on page F-78 and are incorporated herein by reference.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audited financial statements of Beacon RNG LLC as of April 30, 2021, December 31, 2020 and December 31, 2019 and for the four months ended April 30, 2021, year ended December 31, 2020 and for the period from March 11, 2019 (inception) through December 31, 2019 and the related notes are included in the Proxy Statement/Prospectus beginning on page F-133 and are incorporated herein by reference.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condensed combined financial information of New OPAL as of March 31, 2022 and for the year ended December 31, 2021 and the three months ended March 31, 2022 is filed as Exhibit 99.1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disclosure contained in the Proxy Statement/Prospectus beginning on page 259 in the section titled “</w:t>
      </w:r>
      <w:r>
        <w:rPr>
          <w:rFonts w:ascii="Arial" w:cs="Arial" w:eastAsia="Arial" w:hAnsi="Arial"/>
          <w:sz w:val="18"/>
          <w:szCs w:val="18"/>
          <w:i w:val="1"/>
          <w:iCs w:val="1"/>
          <w:color w:val="auto"/>
        </w:rPr>
        <w:t>OPAL Fuel’s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Reference is made to the disclosures contained in the Proxy Statement/Prospectus beginning on page 273 in the section titled “</w:t>
      </w:r>
      <w:r>
        <w:rPr>
          <w:rFonts w:ascii="Arial" w:cs="Arial" w:eastAsia="Arial" w:hAnsi="Arial"/>
          <w:sz w:val="18"/>
          <w:szCs w:val="18"/>
          <w:i w:val="1"/>
          <w:iCs w:val="1"/>
          <w:color w:val="auto"/>
        </w:rPr>
        <w:t>OPAL Fuel’s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Operations—Quantitative and Qualitative Disclosures About Market Risk</w:t>
      </w:r>
      <w:r>
        <w:rPr>
          <w:rFonts w:ascii="Arial" w:cs="Arial" w:eastAsia="Arial" w:hAnsi="Arial"/>
          <w:sz w:val="18"/>
          <w:szCs w:val="18"/>
          <w:color w:val="auto"/>
        </w:rPr>
        <w: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properties of the Company are described in the Proxy Statement/Prospectus in the section titled “</w:t>
      </w:r>
      <w:r>
        <w:rPr>
          <w:rFonts w:ascii="Arial" w:cs="Arial" w:eastAsia="Arial" w:hAnsi="Arial"/>
          <w:sz w:val="18"/>
          <w:szCs w:val="18"/>
          <w:i w:val="1"/>
          <w:iCs w:val="1"/>
          <w:color w:val="auto"/>
        </w:rPr>
        <w:t>Information About OPAL Fuels</w:t>
      </w:r>
      <w:r>
        <w:rPr>
          <w:rFonts w:ascii="Arial" w:cs="Arial" w:eastAsia="Arial" w:hAnsi="Arial"/>
          <w:sz w:val="18"/>
          <w:szCs w:val="18"/>
          <w:color w:val="auto"/>
        </w:rPr>
        <w:t>” beginning on page 237 thereof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New OPAL Class A common stock immediately following consummation of the Business Combination by:</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shares of New OPAL Class A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executive officers and directors as a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Closing Date. Shares subject to warrants or options that are currently exercisable or exercisable within 60 days of the Closing Date or subject to restricted stock units that vest within 60 days of the Closing Date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 Shares issuable pursuant to the exchange of OPAL Common Units listed in the table below are represented in shares of New OPAL Class A common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beneficial ownership of New OPAL Class A common stock is based on 25,171,390 shares of New OPAL Class A common stock issued and outstanding immediately following consummation of the Business Combination, including the redemption of the public shares as described above, the consummation of the PIPE Investment, and the separation of the former ArcLight units. References to “common stock” in the table below and its related footnotes are to the New OPAL Class A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Owners(1)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85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Directors and officers: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Adam Comora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Jonathan Maurer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 Anthony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David Unger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Anthony Falbo</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Scott Edelbach</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Hugh Donnell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John Coghlin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Marco F. Gatti</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Kevin M. Fogarty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Betsy L. Battle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Scott Dols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 Comora(2)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145,279,637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Nadeem Nisar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Ashok Vemuri</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All directors and officers after as a group (15 persons)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145,279,637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Five Percent Holders: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Entities affiliated with Mark Comora(2)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145,279,637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85.7%</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ArcLight CTC Holdings II, L.P.(3)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18,862,337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ARCC Beacon LLC(4)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3,059,533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Mendocino Capital, LLC(5)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Entities affiliated with Meteora Capital(6)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Entities affiliated with Electron(7)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Nyera II Limited(8)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Entities affiliated with Encompass Capital Advisors(9)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1,320,849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3" w:lineRule="exact"/>
        <w:rPr>
          <w:sz w:val="20"/>
          <w:szCs w:val="20"/>
          <w:color w:val="auto"/>
        </w:rPr>
      </w:pPr>
    </w:p>
    <w:p>
      <w:pPr>
        <w:ind w:left="340" w:hanging="332"/>
        <w:spacing w:after="0" w:line="186" w:lineRule="auto"/>
        <w:tabs>
          <w:tab w:leader="none" w:pos="34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Unless otherwise noted, the business address of each of the directors and officers is One North Lexington Avenue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White Plains, New York 10601.</w:t>
      </w:r>
    </w:p>
    <w:p>
      <w:pPr>
        <w:spacing w:after="0" w:line="1" w:lineRule="exact"/>
        <w:rPr>
          <w:rFonts w:ascii="Arial" w:cs="Arial" w:eastAsia="Arial" w:hAnsi="Arial"/>
          <w:sz w:val="36"/>
          <w:szCs w:val="36"/>
          <w:color w:val="auto"/>
          <w:vertAlign w:val="superscript"/>
        </w:rPr>
      </w:pPr>
    </w:p>
    <w:p>
      <w:pPr>
        <w:jc w:val="both"/>
        <w:ind w:left="340" w:hanging="332"/>
        <w:spacing w:after="0" w:line="289"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(i) 142,377,450 shares of New OPAL Class D common stock owned of record by OPAL Holdco, (ii) 2,021,587 shares of New OPAL Class D common stock owned of record by Hillman and (iii) 880,600 shares of New OPAL Class A common stock owned by Fortistar LLC (“</w:t>
      </w:r>
      <w:r>
        <w:rPr>
          <w:rFonts w:ascii="Arial" w:cs="Arial" w:eastAsia="Arial" w:hAnsi="Arial"/>
          <w:sz w:val="16"/>
          <w:szCs w:val="16"/>
          <w:b w:val="1"/>
          <w:bCs w:val="1"/>
          <w:i w:val="1"/>
          <w:iCs w:val="1"/>
          <w:color w:val="auto"/>
        </w:rPr>
        <w:t>Fortistar</w:t>
      </w:r>
      <w:r>
        <w:rPr>
          <w:rFonts w:ascii="Arial" w:cs="Arial" w:eastAsia="Arial" w:hAnsi="Arial"/>
          <w:sz w:val="16"/>
          <w:szCs w:val="16"/>
          <w:color w:val="auto"/>
        </w:rPr>
        <w:t>”), but excludes an aggregate of 9,794,752 shares of New OPAL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New OPAL Class D common stock owned of record by Hillman are pledged to a bank in connection with certain indebtedness owing to such bank. See “</w:t>
      </w:r>
      <w:r>
        <w:rPr>
          <w:rFonts w:ascii="Arial" w:cs="Arial" w:eastAsia="Arial" w:hAnsi="Arial"/>
          <w:sz w:val="16"/>
          <w:szCs w:val="16"/>
          <w:i w:val="1"/>
          <w:iCs w:val="1"/>
          <w:color w:val="auto"/>
        </w:rPr>
        <w:t>Certain Relationships and Related Party Transactions — OPAL Related Persons Transactions — Hillman Restructuring”</w:t>
      </w:r>
      <w:r>
        <w:rPr>
          <w:rFonts w:ascii="Arial" w:cs="Arial" w:eastAsia="Arial" w:hAnsi="Arial"/>
          <w:sz w:val="16"/>
          <w:szCs w:val="16"/>
          <w:color w:val="auto"/>
        </w:rPr>
        <w:t xml:space="preserve"> of the Proxy Statement/Prospectus beginning on page 291 thereof, which is incorporated herein by reference. The business address of each of Mr. Comora, OPAL Holdco, Hillman and Fortistar is One North Lexington Avenue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White Plains, New York 10601.</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left="340" w:hanging="332"/>
        <w:spacing w:after="0" w:line="25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(i) 7,639,076 shares of New OPAL Class A common stock held directly by ArcLight CTC Holdings II, L.P.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xml:space="preserve">”) (including (x) 763,907 of such shares subject to forfeiture as described in the section titled </w:t>
      </w:r>
      <w:r>
        <w:rPr>
          <w:rFonts w:ascii="Arial" w:cs="Arial" w:eastAsia="Arial" w:hAnsi="Arial"/>
          <w:sz w:val="17"/>
          <w:szCs w:val="17"/>
          <w:i w:val="1"/>
          <w:iCs w:val="1"/>
          <w:color w:val="auto"/>
        </w:rPr>
        <w:t>The Business Combination — Related Agreements — Sponsor Letter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of the Proxy Statement/Prospectus beginning on page 147 thereof, which is incorporated herein by reference and (y) 150,000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shares subject to forfeiture as described below under the section titled “</w:t>
      </w:r>
      <w:r>
        <w:rPr>
          <w:rFonts w:ascii="Arial" w:cs="Arial" w:eastAsia="Arial" w:hAnsi="Arial"/>
          <w:sz w:val="17"/>
          <w:szCs w:val="17"/>
          <w:i w:val="1"/>
          <w:iCs w:val="1"/>
          <w:color w:val="auto"/>
        </w:rPr>
        <w:t>Certain Relationships and Related Person Transactions, and Director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Independence—Certain Relationships and Related Person Transactions” </w:t>
      </w:r>
      <w:r>
        <w:rPr>
          <w:rFonts w:ascii="Arial" w:cs="Arial" w:eastAsia="Arial" w:hAnsi="Arial"/>
          <w:sz w:val="17"/>
          <w:szCs w:val="17"/>
          <w:color w:val="auto"/>
        </w:rPr>
        <w:t>of this Report), (ii) 2,000,000 shares of New OPAL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to the Sponsor in connection with the PIPE Investment, and (iii) 9,223,261 shares of New OPAL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Boston, MA, 02116.</w:t>
      </w:r>
    </w:p>
    <w:p>
      <w:pPr>
        <w:spacing w:after="0" w:line="5" w:lineRule="exact"/>
        <w:rPr>
          <w:rFonts w:ascii="Arial" w:cs="Arial" w:eastAsia="Arial" w:hAnsi="Arial"/>
          <w:sz w:val="17"/>
          <w:szCs w:val="17"/>
          <w:color w:val="auto"/>
        </w:rPr>
      </w:pPr>
    </w:p>
    <w:p>
      <w:pPr>
        <w:jc w:val="both"/>
        <w:ind w:left="34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3,059,533 shares of New OPAL Class A common stock. ARCC Beacon LLC’s (“</w:t>
      </w:r>
      <w:r>
        <w:rPr>
          <w:rFonts w:ascii="Arial" w:cs="Arial" w:eastAsia="Arial" w:hAnsi="Arial"/>
          <w:sz w:val="17"/>
          <w:szCs w:val="17"/>
          <w:b w:val="1"/>
          <w:bCs w:val="1"/>
          <w:i w:val="1"/>
          <w:iCs w:val="1"/>
          <w:color w:val="auto"/>
        </w:rPr>
        <w:t>ARCC Beacon</w:t>
      </w:r>
      <w:r>
        <w:rPr>
          <w:rFonts w:ascii="Arial" w:cs="Arial" w:eastAsia="Arial" w:hAnsi="Arial"/>
          <w:sz w:val="17"/>
          <w:szCs w:val="17"/>
          <w:color w:val="auto"/>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Arial" w:cs="Arial" w:eastAsia="Arial" w:hAnsi="Arial"/>
          <w:sz w:val="17"/>
          <w:szCs w:val="17"/>
          <w:b w:val="1"/>
          <w:bCs w:val="1"/>
          <w:i w:val="1"/>
          <w:iCs w:val="1"/>
          <w:color w:val="auto"/>
        </w:rPr>
        <w:t>Ares Class B Common Stock</w:t>
      </w:r>
      <w:r>
        <w:rPr>
          <w:rFonts w:ascii="Arial" w:cs="Arial" w:eastAsia="Arial" w:hAnsi="Arial"/>
          <w:sz w:val="17"/>
          <w:szCs w:val="17"/>
          <w:color w:val="auto"/>
        </w:rPr>
        <w:t>”) and Ares Voting LLC is the sole holder of the Class C common stock, $0.01 par value per share, of Ares Management Corporation (the “</w:t>
      </w:r>
      <w:r>
        <w:rPr>
          <w:rFonts w:ascii="Arial" w:cs="Arial" w:eastAsia="Arial" w:hAnsi="Arial"/>
          <w:sz w:val="17"/>
          <w:szCs w:val="17"/>
          <w:b w:val="1"/>
          <w:bCs w:val="1"/>
          <w:i w:val="1"/>
          <w:iCs w:val="1"/>
          <w:color w:val="auto"/>
        </w:rPr>
        <w:t>Ares Class C 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Pursuant to Ares Management Corporation’s Certificate of Incorporation in effect as of the date of this filing, the holders of the Ares Class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Arial" w:cs="Arial" w:eastAsia="Arial" w:hAnsi="Arial"/>
          <w:sz w:val="17"/>
          <w:szCs w:val="17"/>
          <w:b w:val="1"/>
          <w:bCs w:val="1"/>
          <w:i w:val="1"/>
          <w:iCs w:val="1"/>
          <w:color w:val="auto"/>
        </w:rPr>
        <w:t>Ares Board Members</w:t>
      </w:r>
      <w:r>
        <w:rPr>
          <w:rFonts w:ascii="Arial" w:cs="Arial" w:eastAsia="Arial" w:hAnsi="Arial"/>
          <w:sz w:val="17"/>
          <w:szCs w:val="17"/>
          <w:color w:val="auto"/>
        </w:rPr>
        <w:t>”). Antony P. Ressler generally has veto authority over decisions by the Ares Board Members. Each of the Ares Entities (other than ARCC Beacon, with respect to the securities owned by it as set forth above), the Ares Board Members and the other directors, 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12th Floor, Los Angeles, California 90067.</w:t>
      </w:r>
    </w:p>
    <w:p>
      <w:pPr>
        <w:ind w:left="340" w:right="20" w:hanging="332"/>
        <w:spacing w:after="0" w:line="28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2,500,000 shares of New OPAL Class A common stock. Mendocino Capital, LLC (“</w:t>
      </w:r>
      <w:r>
        <w:rPr>
          <w:rFonts w:ascii="Arial" w:cs="Arial" w:eastAsia="Arial" w:hAnsi="Arial"/>
          <w:sz w:val="16"/>
          <w:szCs w:val="16"/>
          <w:b w:val="1"/>
          <w:bCs w:val="1"/>
          <w:i w:val="1"/>
          <w:iCs w:val="1"/>
          <w:color w:val="auto"/>
        </w:rPr>
        <w:t>Mendocino</w:t>
      </w:r>
      <w:r>
        <w:rPr>
          <w:rFonts w:ascii="Arial" w:cs="Arial" w:eastAsia="Arial" w:hAnsi="Arial"/>
          <w:sz w:val="16"/>
          <w:szCs w:val="16"/>
          <w:color w:val="auto"/>
        </w:rPr>
        <w:t>”) is a subsidiary of NextEra Energy, Inc.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a publicly traded company. The business address of Mendocino and NextEra is 700 Universe Boulevard, Juno Beach, Florida 33408.</w:t>
      </w:r>
    </w:p>
    <w:p>
      <w:pPr>
        <w:spacing w:after="0" w:line="1"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(i) 414,600 shares of New OPAL Class A common stock held by Meteora Special Opportunity Fund I, LP (“</w:t>
      </w:r>
      <w:r>
        <w:rPr>
          <w:rFonts w:ascii="Arial" w:cs="Arial" w:eastAsia="Arial" w:hAnsi="Arial"/>
          <w:sz w:val="16"/>
          <w:szCs w:val="16"/>
          <w:b w:val="1"/>
          <w:bCs w:val="1"/>
          <w:i w:val="1"/>
          <w:iCs w:val="1"/>
          <w:color w:val="auto"/>
        </w:rPr>
        <w:t>MSOF</w:t>
      </w:r>
      <w:r>
        <w:rPr>
          <w:rFonts w:ascii="Arial" w:cs="Arial" w:eastAsia="Arial" w:hAnsi="Arial"/>
          <w:sz w:val="16"/>
          <w:szCs w:val="16"/>
          <w:color w:val="auto"/>
        </w:rPr>
        <w:t>”), (ii) 477,600 shares of New OPAL Class A common stock held by Meteora Select Trading Opportunities Master, LP (“</w:t>
      </w:r>
      <w:r>
        <w:rPr>
          <w:rFonts w:ascii="Arial" w:cs="Arial" w:eastAsia="Arial" w:hAnsi="Arial"/>
          <w:sz w:val="16"/>
          <w:szCs w:val="16"/>
          <w:b w:val="1"/>
          <w:bCs w:val="1"/>
          <w:i w:val="1"/>
          <w:iCs w:val="1"/>
          <w:color w:val="auto"/>
        </w:rPr>
        <w:t>MSTO</w:t>
      </w:r>
      <w:r>
        <w:rPr>
          <w:rFonts w:ascii="Arial" w:cs="Arial" w:eastAsia="Arial" w:hAnsi="Arial"/>
          <w:sz w:val="16"/>
          <w:szCs w:val="16"/>
          <w:color w:val="auto"/>
        </w:rPr>
        <w:t>”) and (iii) 1,107,800 shares of New OPAL Class A common stock held by Meteora Capital Partners (“</w:t>
      </w:r>
      <w:r>
        <w:rPr>
          <w:rFonts w:ascii="Arial" w:cs="Arial" w:eastAsia="Arial" w:hAnsi="Arial"/>
          <w:sz w:val="16"/>
          <w:szCs w:val="16"/>
          <w:b w:val="1"/>
          <w:bCs w:val="1"/>
          <w:i w:val="1"/>
          <w:iCs w:val="1"/>
          <w:color w:val="auto"/>
        </w:rPr>
        <w:t>MCP</w:t>
      </w:r>
      <w:r>
        <w:rPr>
          <w:rFonts w:ascii="Arial" w:cs="Arial" w:eastAsia="Arial" w:hAnsi="Arial"/>
          <w:sz w:val="16"/>
          <w:szCs w:val="16"/>
          <w:color w:val="auto"/>
        </w:rPr>
        <w:t>”). Meteora Capital, LLC (“</w:t>
      </w:r>
      <w:r>
        <w:rPr>
          <w:rFonts w:ascii="Arial" w:cs="Arial" w:eastAsia="Arial" w:hAnsi="Arial"/>
          <w:sz w:val="16"/>
          <w:szCs w:val="16"/>
          <w:b w:val="1"/>
          <w:bCs w:val="1"/>
          <w:i w:val="1"/>
          <w:iCs w:val="1"/>
          <w:color w:val="auto"/>
        </w:rPr>
        <w:t>Meteora Capital</w:t>
      </w:r>
      <w:r>
        <w:rPr>
          <w:rFonts w:ascii="Arial" w:cs="Arial" w:eastAsia="Arial" w:hAnsi="Arial"/>
          <w:sz w:val="16"/>
          <w:szCs w:val="16"/>
          <w:color w:val="auto"/>
        </w:rPr>
        <w:t>”) serves as investment manager to MSOF, MSTO and MCP. Voting and investment power over the shares held by MSOF, MSTO and MCP resides with its investment manager, Meteora Capital, LLC (“</w:t>
      </w:r>
      <w:r>
        <w:rPr>
          <w:rFonts w:ascii="Arial" w:cs="Arial" w:eastAsia="Arial" w:hAnsi="Arial"/>
          <w:sz w:val="16"/>
          <w:szCs w:val="16"/>
          <w:b w:val="1"/>
          <w:bCs w:val="1"/>
          <w:i w:val="1"/>
          <w:iCs w:val="1"/>
          <w:color w:val="auto"/>
        </w:rPr>
        <w:t>Meteora Capital</w:t>
      </w:r>
      <w:r>
        <w:rPr>
          <w:rFonts w:ascii="Arial" w:cs="Arial" w:eastAsia="Arial" w:hAnsi="Arial"/>
          <w:sz w:val="16"/>
          <w:szCs w:val="16"/>
          <w:color w:val="auto"/>
        </w:rPr>
        <w:t>”). Mr. Vik Mittal serves as the managing member of Meteora Capital and may be deemed to be the beneficial owner of the shares of New OPAL Class A common stock held by such entities. Mr. Mittal, however, disclaims any beneficial ownership of the shares held by such entities. The business address of each of MSOF, MSTO, MCP, Meteora Capital and Mr. Mittal is 840 Park Drive East, Boca Raton, FL 33444.</w:t>
      </w:r>
    </w:p>
    <w:p>
      <w:pPr>
        <w:spacing w:after="0" w:line="4"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(i) 1,060,088 shares of New OPAL Class A common stock held by Electron Global Master Fund LP (“</w:t>
      </w:r>
      <w:r>
        <w:rPr>
          <w:rFonts w:ascii="Arial" w:cs="Arial" w:eastAsia="Arial" w:hAnsi="Arial"/>
          <w:sz w:val="16"/>
          <w:szCs w:val="16"/>
          <w:b w:val="1"/>
          <w:bCs w:val="1"/>
          <w:i w:val="1"/>
          <w:iCs w:val="1"/>
          <w:color w:val="auto"/>
        </w:rPr>
        <w:t>EGMF</w:t>
      </w:r>
      <w:r>
        <w:rPr>
          <w:rFonts w:ascii="Arial" w:cs="Arial" w:eastAsia="Arial" w:hAnsi="Arial"/>
          <w:sz w:val="16"/>
          <w:szCs w:val="16"/>
          <w:color w:val="auto"/>
        </w:rPr>
        <w:t>”), (ii) 695,913 shares of New OPAL Class A common stock held by Electron Infrastructure Master Fund LP (“</w:t>
      </w:r>
      <w:r>
        <w:rPr>
          <w:rFonts w:ascii="Arial" w:cs="Arial" w:eastAsia="Arial" w:hAnsi="Arial"/>
          <w:sz w:val="16"/>
          <w:szCs w:val="16"/>
          <w:b w:val="1"/>
          <w:bCs w:val="1"/>
          <w:i w:val="1"/>
          <w:iCs w:val="1"/>
          <w:color w:val="auto"/>
        </w:rPr>
        <w:t>EIMF</w:t>
      </w:r>
      <w:r>
        <w:rPr>
          <w:rFonts w:ascii="Arial" w:cs="Arial" w:eastAsia="Arial" w:hAnsi="Arial"/>
          <w:sz w:val="16"/>
          <w:szCs w:val="16"/>
          <w:color w:val="auto"/>
        </w:rPr>
        <w:t>”), (iii) 30,628 shares of New OPAL Class A common stock held by Boothbay Absolute Return Strategies, LP (“</w:t>
      </w:r>
      <w:r>
        <w:rPr>
          <w:rFonts w:ascii="Arial" w:cs="Arial" w:eastAsia="Arial" w:hAnsi="Arial"/>
          <w:sz w:val="16"/>
          <w:szCs w:val="16"/>
          <w:b w:val="1"/>
          <w:bCs w:val="1"/>
          <w:i w:val="1"/>
          <w:iCs w:val="1"/>
          <w:color w:val="auto"/>
        </w:rPr>
        <w:t>BARS</w:t>
      </w:r>
      <w:r>
        <w:rPr>
          <w:rFonts w:ascii="Arial" w:cs="Arial" w:eastAsia="Arial" w:hAnsi="Arial"/>
          <w:sz w:val="16"/>
          <w:szCs w:val="16"/>
          <w:color w:val="auto"/>
        </w:rPr>
        <w:t>”) and (iv) 13,371 shares of New OPAL Class A common stock held by AGR Trading SPC-Series Segregated Portfolio (“</w:t>
      </w:r>
      <w:r>
        <w:rPr>
          <w:rFonts w:ascii="Arial" w:cs="Arial" w:eastAsia="Arial" w:hAnsi="Arial"/>
          <w:sz w:val="16"/>
          <w:szCs w:val="16"/>
          <w:b w:val="1"/>
          <w:bCs w:val="1"/>
          <w:i w:val="1"/>
          <w:iCs w:val="1"/>
          <w:color w:val="auto"/>
        </w:rPr>
        <w:t>AGR</w:t>
      </w:r>
      <w:r>
        <w:rPr>
          <w:rFonts w:ascii="Arial" w:cs="Arial" w:eastAsia="Arial" w:hAnsi="Arial"/>
          <w:sz w:val="16"/>
          <w:szCs w:val="16"/>
          <w:color w:val="auto"/>
        </w:rPr>
        <w:t>”). James Shaver is the managing member of the general partners of EGMF and EIMF, and as such may be deemed to beneficially own the shares of New OPAL Class A common stock held by EGMF and EIMF. Boothbay Fund Management LLC is the investment manager of BARS. AC Investment Management, LLC is the investment manager of AGR. James Shaver may be deemed to have investment discretion and voting power over shares of New OPAL Class A common stock held by the BARS and AGR. The business address of EGMF, EIMG and Mr. Shaver is 10 East 53rd Street, 19th Floor, New York, NY 10022. The business address of BARS is 140 East 45th St., 14th Floor, New York, NY 10017. The business address of AGR is 1350 Avenue of the Americas, Suite 2300, New York, NY 10019.</w:t>
      </w:r>
    </w:p>
    <w:p>
      <w:pPr>
        <w:spacing w:after="0" w:line="5"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1,500,000 shares of New OPAL Class A common stock. Benjamin Wasem, Pantelitsa Georgiade and Vasiliki Papalli (the “</w:t>
      </w:r>
      <w:r>
        <w:rPr>
          <w:rFonts w:ascii="Arial" w:cs="Arial" w:eastAsia="Arial" w:hAnsi="Arial"/>
          <w:sz w:val="18"/>
          <w:szCs w:val="18"/>
          <w:b w:val="1"/>
          <w:bCs w:val="1"/>
          <w:i w:val="1"/>
          <w:iCs w:val="1"/>
          <w:color w:val="auto"/>
        </w:rPr>
        <w:t>Nyera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Principals</w:t>
      </w:r>
      <w:r>
        <w:rPr>
          <w:rFonts w:ascii="Arial" w:cs="Arial" w:eastAsia="Arial" w:hAnsi="Arial"/>
          <w:sz w:val="18"/>
          <w:szCs w:val="18"/>
          <w:color w:val="auto"/>
        </w:rPr>
        <w:t>”) each has voting and investment discretion with respect to the securities held Nyera II Limited (“</w:t>
      </w:r>
      <w:r>
        <w:rPr>
          <w:rFonts w:ascii="Arial" w:cs="Arial" w:eastAsia="Arial" w:hAnsi="Arial"/>
          <w:sz w:val="18"/>
          <w:szCs w:val="18"/>
          <w:b w:val="1"/>
          <w:bCs w:val="1"/>
          <w:i w:val="1"/>
          <w:iCs w:val="1"/>
          <w:color w:val="auto"/>
        </w:rPr>
        <w:t>Nyera</w:t>
      </w:r>
      <w:r>
        <w:rPr>
          <w:rFonts w:ascii="Arial" w:cs="Arial" w:eastAsia="Arial" w:hAnsi="Arial"/>
          <w:sz w:val="18"/>
          <w:szCs w:val="18"/>
          <w:color w:val="auto"/>
        </w:rPr>
        <w:t>”), and thus may be deemed to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1,320,849 shares of New OPAL Class A common stock held by certain fund entities and managed accounts for which Encompass Capital Advisors, LLC (“</w:t>
      </w:r>
      <w:r>
        <w:rPr>
          <w:rFonts w:ascii="Arial" w:cs="Arial" w:eastAsia="Arial" w:hAnsi="Arial"/>
          <w:sz w:val="17"/>
          <w:szCs w:val="17"/>
          <w:b w:val="1"/>
          <w:bCs w:val="1"/>
          <w:i w:val="1"/>
          <w:iCs w:val="1"/>
          <w:color w:val="auto"/>
        </w:rPr>
        <w:t>Encompass</w:t>
      </w:r>
      <w:r>
        <w:rPr>
          <w:rFonts w:ascii="Arial" w:cs="Arial" w:eastAsia="Arial" w:hAnsi="Arial"/>
          <w:sz w:val="17"/>
          <w:szCs w:val="17"/>
          <w:color w:val="auto"/>
        </w:rPr>
        <w:t>”) exercises investment discretion. Todd Kantor, as the managing member of Encompass, may also be deemed to beneficially own such securities. Mr. Kantor disclaims beneficial ownership of such securities except to the extent of his pecuniary interests therein. The business address of Encompass and Mr. Kantor is 200 Park Avenue, 11th Floor, New York, NY 10166.</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directors and executive officers upon the Closing are described in the Proxy Statement/Prospectus in the section titled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Business Combination</w:t>
      </w:r>
      <w:r>
        <w:rPr>
          <w:rFonts w:ascii="Arial" w:cs="Arial" w:eastAsia="Arial" w:hAnsi="Arial"/>
          <w:sz w:val="18"/>
          <w:szCs w:val="18"/>
          <w:color w:val="auto"/>
        </w:rPr>
        <w:t>” beginning on page 283 thereof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persons constitute the Company’s Board effective upon the Closing: Betsy L. Battle, Mark Comora, Scott Dols, Kevin M. Fogarty, Marco F. Gatti, Nadeem Nisar and Ashok Vemuri. Mr. Comora was appointed as the Chair of the Board. Biographical information for these individuals is set forth in the Proxy Statement/Prospectus in the section titled “</w:t>
      </w:r>
      <w:r>
        <w:rPr>
          <w:rFonts w:ascii="Arial" w:cs="Arial" w:eastAsia="Arial" w:hAnsi="Arial"/>
          <w:sz w:val="18"/>
          <w:szCs w:val="18"/>
          <w:i w:val="1"/>
          <w:iCs w:val="1"/>
          <w:color w:val="auto"/>
        </w:rPr>
        <w:t>Management Following the Business Combination</w:t>
      </w:r>
      <w:r>
        <w:rPr>
          <w:rFonts w:ascii="Arial" w:cs="Arial" w:eastAsia="Arial" w:hAnsi="Arial"/>
          <w:sz w:val="18"/>
          <w:szCs w:val="18"/>
          <w:color w:val="auto"/>
        </w:rPr>
        <w:t>” beginning on page 283, which is incorporated herein by reference. As of the date of this Report, Mr. Gatti is 39 years 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Committees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standing committees of the Company’s Board consist of an audit committee (the “</w:t>
      </w: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The Audit Committee reports to the Board.</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appointed Mr. Gatti, Mr. Fogarty and Mr. Vemuri to serve on the Audit Committee, with Mr. Vemuri serving as the chair. Mr. Vemuri also serves as the Audit Committee’s “audit committee financial expert” under SEC rules. As described below under “</w:t>
      </w:r>
      <w:r>
        <w:rPr>
          <w:rFonts w:ascii="Arial" w:cs="Arial" w:eastAsia="Arial" w:hAnsi="Arial"/>
          <w:sz w:val="18"/>
          <w:szCs w:val="18"/>
          <w:i w:val="1"/>
          <w:iCs w:val="1"/>
          <w:color w:val="auto"/>
        </w:rPr>
        <w:t>Directors Independence</w:t>
      </w:r>
      <w:r>
        <w:rPr>
          <w:rFonts w:ascii="Arial" w:cs="Arial" w:eastAsia="Arial" w:hAnsi="Arial"/>
          <w:sz w:val="18"/>
          <w:szCs w:val="18"/>
          <w:color w:val="auto"/>
        </w:rPr>
        <w:t>,” the Board has determined that Mr. Gatti, Mr. Fogarty and Mr. Vemuri are “independent” as that term is defined under the applicable rules and regulations of the SEC and the listing requirements and rules of Nasdaq.</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3"/>
          </w:tcPr>
          <w:p>
            <w:pPr>
              <w:spacing w:after="0"/>
              <w:rPr>
                <w:sz w:val="20"/>
                <w:szCs w:val="20"/>
                <w:color w:val="auto"/>
              </w:rPr>
            </w:pPr>
            <w:r>
              <w:rPr>
                <w:rFonts w:ascii="Arial" w:cs="Arial" w:eastAsia="Arial" w:hAnsi="Arial"/>
                <w:sz w:val="18"/>
                <w:szCs w:val="18"/>
                <w:i w:val="1"/>
                <w:iCs w:val="1"/>
                <w:color w:val="auto"/>
              </w:rPr>
              <w:t>Executive Officers</w:t>
            </w: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260" w:type="dxa"/>
            <w:vAlign w:val="bottom"/>
            <w:gridSpan w:val="3"/>
          </w:tcPr>
          <w:p>
            <w:pPr>
              <w:spacing w:after="0"/>
              <w:rPr>
                <w:sz w:val="20"/>
                <w:szCs w:val="20"/>
                <w:color w:val="auto"/>
              </w:rPr>
            </w:pPr>
            <w:r>
              <w:rPr>
                <w:rFonts w:ascii="Arial" w:cs="Arial" w:eastAsia="Arial" w:hAnsi="Arial"/>
                <w:sz w:val="18"/>
                <w:szCs w:val="18"/>
                <w:color w:val="auto"/>
              </w:rPr>
              <w:t>Effective as of the Closing, the executive officers are:</w:t>
            </w: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2"/>
        </w:trPr>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33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7"/>
              </w:rPr>
              <w:t>Position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Adam Comora</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jc w:val="center"/>
              <w:ind w:right="330"/>
              <w:spacing w:after="0"/>
              <w:rPr>
                <w:sz w:val="20"/>
                <w:szCs w:val="20"/>
                <w:color w:val="auto"/>
              </w:rPr>
            </w:pPr>
            <w:r>
              <w:rPr>
                <w:rFonts w:ascii="Arial" w:cs="Arial" w:eastAsia="Arial" w:hAnsi="Arial"/>
                <w:sz w:val="18"/>
                <w:szCs w:val="18"/>
                <w:color w:val="auto"/>
                <w:w w:val="94"/>
              </w:rPr>
              <w:t>Co-Chief Executive Officer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Jonathan Maurer</w:t>
            </w:r>
          </w:p>
        </w:tc>
        <w:tc>
          <w:tcPr>
            <w:tcW w:w="338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Co-Chief Executive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16"/>
        </w:trPr>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 Anthony</w:t>
            </w:r>
          </w:p>
        </w:tc>
        <w:tc>
          <w:tcPr>
            <w:tcW w:w="338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4"/>
              </w:rPr>
              <w:t>Chief Financial Officer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David Unger</w:t>
            </w:r>
          </w:p>
        </w:tc>
        <w:tc>
          <w:tcPr>
            <w:tcW w:w="33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Executive Vice President</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Falbo</w:t>
            </w:r>
          </w:p>
        </w:tc>
        <w:tc>
          <w:tcPr>
            <w:tcW w:w="338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Chief Operating Officer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Scott Edelbach</w:t>
            </w:r>
          </w:p>
        </w:tc>
        <w:tc>
          <w:tcPr>
            <w:tcW w:w="33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Executive Vice President</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Hugh Donnell</w:t>
            </w:r>
          </w:p>
        </w:tc>
        <w:tc>
          <w:tcPr>
            <w:tcW w:w="338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Senior Vice President</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rPr>
              <w:t>John Coghlin</w:t>
            </w:r>
          </w:p>
        </w:tc>
        <w:tc>
          <w:tcPr>
            <w:tcW w:w="338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General Counsel</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55</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Biographical information for these individuals is set forth in the Proxy Statement/Prospectus in the section titled “</w:t>
      </w:r>
      <w:r>
        <w:rPr>
          <w:rFonts w:ascii="Arial" w:cs="Arial" w:eastAsia="Arial" w:hAnsi="Arial"/>
          <w:sz w:val="18"/>
          <w:szCs w:val="18"/>
          <w:i w:val="1"/>
          <w:iCs w:val="1"/>
          <w:color w:val="auto"/>
        </w:rPr>
        <w:t>Management of OPAL Fuels Prior to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Combination—Executive Officers</w:t>
      </w:r>
      <w:r>
        <w:rPr>
          <w:rFonts w:ascii="Arial" w:cs="Arial" w:eastAsia="Arial" w:hAnsi="Arial"/>
          <w:sz w:val="18"/>
          <w:szCs w:val="18"/>
          <w:color w:val="auto"/>
        </w:rPr>
        <w:t>” beginning on page 276,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description of the compensation of the executive officers and directors of ArcLight and the named executive officers and directors of OPAL Fuels before the consummation of the Business Combination is set forth in the sections of the Proxy Statement/Prospectus titled “</w:t>
      </w:r>
      <w:r>
        <w:rPr>
          <w:rFonts w:ascii="Arial" w:cs="Arial" w:eastAsia="Arial" w:hAnsi="Arial"/>
          <w:sz w:val="18"/>
          <w:szCs w:val="18"/>
          <w:i w:val="1"/>
          <w:iCs w:val="1"/>
          <w:color w:val="auto"/>
        </w:rPr>
        <w:t>Information About ArcLight—</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and Director Compensation and Other Interests,</w:t>
      </w:r>
      <w:r>
        <w:rPr>
          <w:rFonts w:ascii="Arial" w:cs="Arial" w:eastAsia="Arial" w:hAnsi="Arial"/>
          <w:sz w:val="18"/>
          <w:szCs w:val="18"/>
          <w:color w:val="auto"/>
        </w:rPr>
        <w:t>” beginning on page 234 thereof, and “</w:t>
      </w:r>
      <w:r>
        <w:rPr>
          <w:rFonts w:ascii="Arial" w:cs="Arial" w:eastAsia="Arial" w:hAnsi="Arial"/>
          <w:sz w:val="18"/>
          <w:szCs w:val="18"/>
          <w:i w:val="1"/>
          <w:iCs w:val="1"/>
          <w:color w:val="auto"/>
        </w:rPr>
        <w:t>Executive Compensation,</w:t>
      </w:r>
      <w:r>
        <w:rPr>
          <w:rFonts w:ascii="Arial" w:cs="Arial" w:eastAsia="Arial" w:hAnsi="Arial"/>
          <w:sz w:val="18"/>
          <w:szCs w:val="18"/>
          <w:color w:val="auto"/>
        </w:rPr>
        <w:t>”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page 279 thereof, respectively, which is incorporated herein by reference.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Extraordinary General Meeting, ArcLight shareholders approved the 2022 Omnibus Equity Incentive Plan (the “</w:t>
      </w:r>
      <w:r>
        <w:rPr>
          <w:rFonts w:ascii="Arial" w:cs="Arial" w:eastAsia="Arial" w:hAnsi="Arial"/>
          <w:sz w:val="17"/>
          <w:szCs w:val="17"/>
          <w:b w:val="1"/>
          <w:bCs w:val="1"/>
          <w:i w:val="1"/>
          <w:iCs w:val="1"/>
          <w:color w:val="auto"/>
        </w:rPr>
        <w:t>Equity Incentive Plan</w:t>
      </w:r>
      <w:r>
        <w:rPr>
          <w:rFonts w:ascii="Arial" w:cs="Arial" w:eastAsia="Arial" w:hAnsi="Arial"/>
          <w:sz w:val="17"/>
          <w:szCs w:val="17"/>
          <w:color w:val="auto"/>
        </w:rPr>
        <w:t xml:space="preserve">”), which is included as Exhibit 10.2 to this Report and is incorporated herein by reference. A summary of the Equity Incentive Plan is set forth in the section titled </w:t>
      </w:r>
      <w:r>
        <w:rPr>
          <w:rFonts w:ascii="Arial" w:cs="Arial" w:eastAsia="Arial" w:hAnsi="Arial"/>
          <w:sz w:val="17"/>
          <w:szCs w:val="17"/>
          <w:i w:val="1"/>
          <w:iCs w:val="1"/>
          <w:color w:val="auto"/>
        </w:rPr>
        <w:t xml:space="preserve">“Proposal No. 6 — The Equity Incentive Plan Proposal” </w:t>
      </w:r>
      <w:r>
        <w:rPr>
          <w:rFonts w:ascii="Arial" w:cs="Arial" w:eastAsia="Arial" w:hAnsi="Arial"/>
          <w:sz w:val="17"/>
          <w:szCs w:val="17"/>
          <w:color w:val="auto"/>
        </w:rPr>
        <w:t>beginning on page 184 thereof, which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have a compensation committee. During the year ended December 31, 2021, Jon Mauer and Adam Comora, the co-CEOs of OPAL Fuels, and following the Closing, the co-CEOs of the Company, participated in deliberations of the board of managers of OPAL Fuels concerning executive officer compensation.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Certain Relationships and Related Person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Relationships and Related Person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relationships and related person transactions are described in the Proxy Statement/Prospectus in the section titled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Person Transactions</w:t>
      </w:r>
      <w:r>
        <w:rPr>
          <w:rFonts w:ascii="Arial" w:cs="Arial" w:eastAsia="Arial" w:hAnsi="Arial"/>
          <w:sz w:val="18"/>
          <w:szCs w:val="18"/>
          <w:color w:val="auto"/>
        </w:rPr>
        <w:t>” beginning on page 289 thereof and are incorporated herein by reference.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in connection with the Closing, OPAL Fuels and ArcLight CTC Holdings II, L.P.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entered into a letter agreement whereby Sponsor agreed to transfer, pledge or forfeit up to 150,000 shares of New OPAL Class A common stock held by Sponsor for no consideration, upon and in accordance with the written direction of OPAL Fuels. Pursuant to such letter agreement, Sponsor further agreed that if the Company were to receive less than $6,800,000 in cash upon the release of the escrow fund established pursuant to the Forward Purchase Agreement (such shortfall amount being referred to as the “</w:t>
      </w:r>
      <w:r>
        <w:rPr>
          <w:rFonts w:ascii="Arial" w:cs="Arial" w:eastAsia="Arial" w:hAnsi="Arial"/>
          <w:sz w:val="17"/>
          <w:szCs w:val="17"/>
          <w:b w:val="1"/>
          <w:bCs w:val="1"/>
          <w:i w:val="1"/>
          <w:iCs w:val="1"/>
          <w:color w:val="auto"/>
        </w:rPr>
        <w:t>Shortfall Amount</w:t>
      </w:r>
      <w:r>
        <w:rPr>
          <w:rFonts w:ascii="Arial" w:cs="Arial" w:eastAsia="Arial" w:hAnsi="Arial"/>
          <w:sz w:val="17"/>
          <w:szCs w:val="17"/>
          <w:color w:val="auto"/>
        </w:rPr>
        <w:t>”), Sponsor shall transfer, pledge or forfeit up to an additional 102,000 shares of New OPAL Class A common stock currently subject to forfeiture under earn-out provisions as provided in the Sponsor Letter Agreement entered into on December 2, 2021 among the Company, Sponsor OPAL Fuels and certain other persons (with such maximum number of shares pro-rated on a directly proportionate basis based on the size of the Shortfall Amount relative to $6,800,000).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Independence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Comora, through his control of OPAL Holdco, beneficially owns a majority of the voting power of all outstanding shares of the Company’s common stock. As a result, the Company is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The Company currently utilizes these exceptions and may continue to do so for the indefinite future. If the Company ceases to be a “controlled company” and its shares continue to be listed on Nasdaq, the Company will be required to comply with these standards and, depending on the board’s independence determination with respect to its then-current directors, the Company may be required to add additional directors to its board in order to achieve such compliance within the applicable transition periods.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the Company is largely exempt from such requirements. Based upon information requested from and provided by each proposed director concerning his or her background, employment and affiliations, including family relationships, the Board has determined that Mr. Gatti, Mr. Fogarty and Mr. Vemuri are “independent” as that term is defined under the applicable rules and regulations of the SEC and the listing requirements and rules of Nasdaq.</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disclosure regarding legal proceedings in the section of the Proxy Statement/Prospectus titled “</w:t>
      </w:r>
      <w:r>
        <w:rPr>
          <w:rFonts w:ascii="Arial" w:cs="Arial" w:eastAsia="Arial" w:hAnsi="Arial"/>
          <w:sz w:val="18"/>
          <w:szCs w:val="18"/>
          <w:i w:val="1"/>
          <w:iCs w:val="1"/>
          <w:color w:val="auto"/>
        </w:rPr>
        <w:t>Information About OPAL Fuels—</w:t>
      </w:r>
      <w:r>
        <w:rPr>
          <w:rFonts w:ascii="Arial" w:cs="Arial" w:eastAsia="Arial" w:hAnsi="Arial"/>
          <w:sz w:val="18"/>
          <w:szCs w:val="18"/>
          <w:color w:val="auto"/>
        </w:rPr>
        <w:t xml:space="preserve"> </w:t>
      </w:r>
      <w:r>
        <w:rPr>
          <w:rFonts w:ascii="Arial" w:cs="Arial" w:eastAsia="Arial" w:hAnsi="Arial"/>
          <w:sz w:val="18"/>
          <w:szCs w:val="18"/>
          <w:i w:val="1"/>
          <w:iCs w:val="1"/>
          <w:color w:val="auto"/>
        </w:rPr>
        <w:t>Legal Proceedings</w:t>
      </w:r>
      <w:r>
        <w:rPr>
          <w:rFonts w:ascii="Arial" w:cs="Arial" w:eastAsia="Arial" w:hAnsi="Arial"/>
          <w:sz w:val="18"/>
          <w:szCs w:val="18"/>
          <w:color w:val="auto"/>
        </w:rPr>
        <w:t>” beginning on page 252,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and Dividends on the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and 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22, 2022, the New OPAL Class A common stock and New OPAL public warrants began trading on Nasdaq under the new trading symbols of “OPAL” and “OPALW”, respectively, in lieu of the Class A ordinary shares and warrants of ArcLight. The Company has never declared or paid any cash dividends and does not presently plan to pay cash dividends in the foreseeable future.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Holders of Record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completion of the Business Combination, including the redemption of public shares as described above, the consummation of the PIPE Investment, and the separation of the former ArcLight units, the Company had 25,171,390 shares of New OPAL Class A common stock outstanding that were held of record by 22 holders, and no shares of preferred stock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2022 Omnibus Equity Incentive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Reference is made to the disclosure described in the Proxy Statement/Prospectus in the section titled </w:t>
      </w:r>
      <w:r>
        <w:rPr>
          <w:rFonts w:ascii="Arial" w:cs="Arial" w:eastAsia="Arial" w:hAnsi="Arial"/>
          <w:sz w:val="17"/>
          <w:szCs w:val="17"/>
          <w:i w:val="1"/>
          <w:iCs w:val="1"/>
          <w:color w:val="auto"/>
        </w:rPr>
        <w:t>“Proposal No. 6 — The Equity Incentive Plan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Proposal” </w:t>
      </w:r>
      <w:r>
        <w:rPr>
          <w:rFonts w:ascii="Arial" w:cs="Arial" w:eastAsia="Arial" w:hAnsi="Arial"/>
          <w:sz w:val="17"/>
          <w:szCs w:val="17"/>
          <w:color w:val="auto"/>
        </w:rPr>
        <w:t>beginning on page 184 thereof, which is incorporated herein by reference. The Equity Incentive Plan and the material terms thereunder,</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authorization of the initial share reserve thereunder, were approved by ArcLight’s stockholders at the Extraordinary General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disclosure set forth under “</w:t>
      </w:r>
      <w:r>
        <w:rPr>
          <w:rFonts w:ascii="Arial" w:cs="Arial" w:eastAsia="Arial" w:hAnsi="Arial"/>
          <w:sz w:val="18"/>
          <w:szCs w:val="18"/>
          <w:i w:val="1"/>
          <w:iCs w:val="1"/>
          <w:color w:val="auto"/>
        </w:rPr>
        <w:t>Introductory Note</w:t>
      </w:r>
      <w:r>
        <w:rPr>
          <w:rFonts w:ascii="Arial" w:cs="Arial" w:eastAsia="Arial" w:hAnsi="Arial"/>
          <w:sz w:val="18"/>
          <w:szCs w:val="18"/>
          <w:color w:val="auto"/>
        </w:rPr>
        <w:t>” above and Item 3.02 below of this Report, which is incorporated herein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20, 2021, Sponsor paid $25,000, or approximately $0.003 per share, to cover certain expenses on the Company’s behalf in consideration of 7,187,500 Class B ordinary shares, par value $0.0001. Such securities were issued in connection with the Company’s organization pursuant to the exemption from registration contained in Section 4(a)(2)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As described above under “</w:t>
      </w:r>
      <w:r>
        <w:rPr>
          <w:rFonts w:ascii="Arial" w:cs="Arial" w:eastAsia="Arial" w:hAnsi="Arial"/>
          <w:sz w:val="18"/>
          <w:szCs w:val="18"/>
          <w:i w:val="1"/>
          <w:iCs w:val="1"/>
          <w:color w:val="auto"/>
        </w:rPr>
        <w:t>Introductory Note</w:t>
      </w:r>
      <w:r>
        <w:rPr>
          <w:rFonts w:ascii="Arial" w:cs="Arial" w:eastAsia="Arial" w:hAnsi="Arial"/>
          <w:sz w:val="18"/>
          <w:szCs w:val="18"/>
          <w:color w:val="auto"/>
        </w:rPr>
        <w:t>,” pursuant to the Business Combination all of the outstanding Class B ordinary shares were converted into New OPAL Class A common stock.</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 with the consummation of the Company’s initial public offering, on March 22, 2021, the Company consummated the private placement to Sponsor of 9,223,261 private placement warrants, each exercisable to purchase one Class A ordinary share at $11.50 per share, at a price of $1.00 per warrant (the “</w:t>
      </w:r>
      <w:r>
        <w:rPr>
          <w:rFonts w:ascii="Arial" w:cs="Arial" w:eastAsia="Arial" w:hAnsi="Arial"/>
          <w:sz w:val="17"/>
          <w:szCs w:val="17"/>
          <w:b w:val="1"/>
          <w:bCs w:val="1"/>
          <w:i w:val="1"/>
          <w:iCs w:val="1"/>
          <w:color w:val="auto"/>
        </w:rPr>
        <w:t>Private Placement Warrants</w:t>
      </w:r>
      <w:r>
        <w:rPr>
          <w:rFonts w:ascii="Arial" w:cs="Arial" w:eastAsia="Arial" w:hAnsi="Arial"/>
          <w:sz w:val="17"/>
          <w:szCs w:val="17"/>
          <w:color w:val="auto"/>
        </w:rPr>
        <w:t>”). As described above under “</w:t>
      </w:r>
      <w:r>
        <w:rPr>
          <w:rFonts w:ascii="Arial" w:cs="Arial" w:eastAsia="Arial" w:hAnsi="Arial"/>
          <w:sz w:val="17"/>
          <w:szCs w:val="17"/>
          <w:i w:val="1"/>
          <w:iCs w:val="1"/>
          <w:color w:val="auto"/>
        </w:rPr>
        <w:t>Introductory Note</w:t>
      </w:r>
      <w:r>
        <w:rPr>
          <w:rFonts w:ascii="Arial" w:cs="Arial" w:eastAsia="Arial" w:hAnsi="Arial"/>
          <w:sz w:val="17"/>
          <w:szCs w:val="17"/>
          <w:color w:val="auto"/>
        </w:rPr>
        <w:t>,” pursuant to the Business Combination each of the outstanding Private Placement Warrants were converted into a warrant to acquire one share of New OPAL Class A common stock. See the section titled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New OPAL’s Capital Stock—Warrants</w:t>
      </w:r>
      <w:r>
        <w:rPr>
          <w:rFonts w:ascii="Arial" w:cs="Arial" w:eastAsia="Arial" w:hAnsi="Arial"/>
          <w:sz w:val="17"/>
          <w:szCs w:val="17"/>
          <w:color w:val="auto"/>
        </w:rPr>
        <w:t>” of the Proxy Statement/Prospectus beginning on page 304 thereof for a description of the Private Placement</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following the consummation of the Business Combination. The Private Placement Warrants were issued pursuant to the exemption from registration contained in Section 4(a)(2) of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Registrant’s Securities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New OPAL Class A common stock and the New OPAL warrants are described in the Proxy Statement/Prospectus in the section titled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New OPAL Capital Stock</w:t>
      </w:r>
      <w:r>
        <w:rPr>
          <w:rFonts w:ascii="Arial" w:cs="Arial" w:eastAsia="Arial" w:hAnsi="Arial"/>
          <w:sz w:val="18"/>
          <w:szCs w:val="18"/>
          <w:color w:val="auto"/>
        </w:rPr>
        <w:t>” beginning on page 296 thereof and that information is incorporated herein by reference. As described below,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and bylaws became effective as of the Closing.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indemnification of the Company’s directors and officers is described in the Proxy Statement/Prospectus in the section titled “</w:t>
      </w:r>
      <w:r>
        <w:rPr>
          <w:rFonts w:ascii="Arial" w:cs="Arial" w:eastAsia="Arial" w:hAnsi="Arial"/>
          <w:sz w:val="16"/>
          <w:szCs w:val="16"/>
          <w:i w:val="1"/>
          <w:iCs w:val="1"/>
          <w:color w:val="auto"/>
        </w:rPr>
        <w:t>Certain Relationships and</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Person Transactions—Indemnification</w:t>
      </w:r>
      <w:r>
        <w:rPr>
          <w:rFonts w:ascii="Arial" w:cs="Arial" w:eastAsia="Arial" w:hAnsi="Arial"/>
          <w:sz w:val="16"/>
          <w:szCs w:val="16"/>
          <w:color w:val="auto"/>
        </w:rPr>
        <w:t>” beginning on page 294 thereof and that information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9.01 of this Report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4.01 of this Report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disclosure set forth in the “</w:t>
      </w:r>
      <w:r>
        <w:rPr>
          <w:rFonts w:ascii="Arial" w:cs="Arial" w:eastAsia="Arial" w:hAnsi="Arial"/>
          <w:sz w:val="17"/>
          <w:szCs w:val="17"/>
          <w:i w:val="1"/>
          <w:iCs w:val="1"/>
          <w:color w:val="auto"/>
        </w:rPr>
        <w:t>Introductory Note</w:t>
      </w:r>
      <w:r>
        <w:rPr>
          <w:rFonts w:ascii="Arial" w:cs="Arial" w:eastAsia="Arial" w:hAnsi="Arial"/>
          <w:sz w:val="17"/>
          <w:szCs w:val="17"/>
          <w:color w:val="auto"/>
        </w:rPr>
        <w:t>” above is incorporated herein by reference. The shares of New OPAL Class A common stock offered and sold pursuant to the PIPE Investment have not been registered under the Securities Act in reliance on the exemption from registration provided by Section 4(a)(2) of the Securities Act. Additionally, the shares of New OPAL Class A common stock offered and sold to Ares and the shares of New OPAL Class D common stock offered and sold to OPAL Holdco and Hillman pursuant to the Business Combination have not been registered under the Securities Act in reliance on the exemption from registration provided by Section 4(a)(2) of the Securities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Domestication Date, in connection with the Domestication, the Company filed its certificate of incorporation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with the Secretary of State of the State of Delaware and adopted its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Pursuant to the filing of the Certificate of Incorporation, the Company changed its name to “OPAL Fuels Inc.”</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Copies of the Certificate of Incorporation and the Bylaws are included as Exhibits 3.1 and 3.2, respectively, to this Report and are incorporated herein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material terms of each of the Certificate of Incorporation, as amended, and the Bylaws and the general effect upon the rights of the Company’s shareholders are included in the Proxy Statement/Prospectus under the sections titled “</w:t>
      </w:r>
      <w:r>
        <w:rPr>
          <w:rFonts w:ascii="Arial" w:cs="Arial" w:eastAsia="Arial" w:hAnsi="Arial"/>
          <w:sz w:val="18"/>
          <w:szCs w:val="18"/>
          <w:i w:val="1"/>
          <w:iCs w:val="1"/>
          <w:color w:val="auto"/>
        </w:rPr>
        <w:t>Proposal No.2—The Domestication Proposal—Comparison of</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 and Shareholders</w:t>
      </w:r>
      <w:r>
        <w:rPr>
          <w:rFonts w:ascii="Arial" w:cs="Arial" w:eastAsia="Arial" w:hAnsi="Arial"/>
          <w:sz w:val="18"/>
          <w:szCs w:val="18"/>
          <w:color w:val="auto"/>
        </w:rPr>
        <w:t>,” “</w:t>
      </w:r>
      <w:r>
        <w:rPr>
          <w:rFonts w:ascii="Arial" w:cs="Arial" w:eastAsia="Arial" w:hAnsi="Arial"/>
          <w:sz w:val="18"/>
          <w:szCs w:val="18"/>
          <w:i w:val="1"/>
          <w:iCs w:val="1"/>
          <w:color w:val="auto"/>
        </w:rPr>
        <w:t>Proposal No. 3—The Organizational Documents Proposal</w:t>
      </w:r>
      <w:r>
        <w:rPr>
          <w:rFonts w:ascii="Arial" w:cs="Arial" w:eastAsia="Arial" w:hAnsi="Arial"/>
          <w:sz w:val="18"/>
          <w:szCs w:val="18"/>
          <w:color w:val="auto"/>
        </w:rPr>
        <w:t>,” “</w:t>
      </w:r>
      <w:r>
        <w:rPr>
          <w:rFonts w:ascii="Arial" w:cs="Arial" w:eastAsia="Arial" w:hAnsi="Arial"/>
          <w:sz w:val="18"/>
          <w:szCs w:val="18"/>
          <w:i w:val="1"/>
          <w:iCs w:val="1"/>
          <w:color w:val="auto"/>
        </w:rPr>
        <w:t>Proposal No. 4—The Advisory Charter Proposals</w:t>
      </w:r>
      <w:r>
        <w:rPr>
          <w:rFonts w:ascii="Arial" w:cs="Arial" w:eastAsia="Arial" w:hAnsi="Arial"/>
          <w:sz w:val="18"/>
          <w:szCs w:val="18"/>
          <w:color w:val="auto"/>
        </w:rPr>
        <w:t>,” and “</w:t>
      </w:r>
      <w:r>
        <w:rPr>
          <w:rFonts w:ascii="Arial" w:cs="Arial" w:eastAsia="Arial" w:hAnsi="Arial"/>
          <w:sz w:val="18"/>
          <w:szCs w:val="18"/>
          <w:i w:val="1"/>
          <w:iCs w:val="1"/>
          <w:color w:val="auto"/>
        </w:rPr>
        <w:t>Description of New OPAL’s Capital Stock</w:t>
      </w:r>
      <w:r>
        <w:rPr>
          <w:rFonts w:ascii="Arial" w:cs="Arial" w:eastAsia="Arial" w:hAnsi="Arial"/>
          <w:sz w:val="18"/>
          <w:szCs w:val="18"/>
          <w:color w:val="auto"/>
        </w:rPr>
        <w:t>” beginning on pages 170, 174, 175 and 296 of the Proxy Statement/Prospectus,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21, 2022, the Audit Committee of the Board approved the appointment of BDO USA, LLP (“</w:t>
      </w:r>
      <w:r>
        <w:rPr>
          <w:rFonts w:ascii="Arial" w:cs="Arial" w:eastAsia="Arial" w:hAnsi="Arial"/>
          <w:sz w:val="16"/>
          <w:szCs w:val="16"/>
          <w:b w:val="1"/>
          <w:bCs w:val="1"/>
          <w:i w:val="1"/>
          <w:iCs w:val="1"/>
          <w:color w:val="auto"/>
        </w:rPr>
        <w:t>BDO</w:t>
      </w:r>
      <w:r>
        <w:rPr>
          <w:rFonts w:ascii="Arial" w:cs="Arial" w:eastAsia="Arial" w:hAnsi="Arial"/>
          <w:sz w:val="16"/>
          <w:szCs w:val="16"/>
          <w:color w:val="auto"/>
        </w:rPr>
        <w:t>”) as the Company’s independent registered public accounting firm to audit the Company’s consolidated financial statements for the year ended December 31, 2022. BDO served as the independent registered public accounting firm of OPAL Fuels prior to the Business Combination. Accordingly, Marcum LLP (“</w:t>
      </w:r>
      <w:r>
        <w:rPr>
          <w:rFonts w:ascii="Arial" w:cs="Arial" w:eastAsia="Arial" w:hAnsi="Arial"/>
          <w:sz w:val="16"/>
          <w:szCs w:val="16"/>
          <w:b w:val="1"/>
          <w:bCs w:val="1"/>
          <w:i w:val="1"/>
          <w:iCs w:val="1"/>
          <w:color w:val="auto"/>
        </w:rPr>
        <w:t>Marcum</w:t>
      </w:r>
      <w:r>
        <w:rPr>
          <w:rFonts w:ascii="Arial" w:cs="Arial" w:eastAsia="Arial" w:hAnsi="Arial"/>
          <w:sz w:val="16"/>
          <w:szCs w:val="16"/>
          <w:color w:val="auto"/>
        </w:rPr>
        <w:t>”), the Company’s independent registered public accounting firm prior to the Business Combination, was informed that it would be dismissed as the Company’s independent registered public accounting firm following Marcum’s completion of its review of the Company’s unaudited financial statements as of and for the three and six months ended June 30, 2022 and related notes, which consists only of the accounts of the pre-Business Combination special purpose acquisition company.</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Marcum’s report (“</w:t>
      </w:r>
      <w:r>
        <w:rPr>
          <w:rFonts w:ascii="Arial" w:cs="Arial" w:eastAsia="Arial" w:hAnsi="Arial"/>
          <w:sz w:val="17"/>
          <w:szCs w:val="17"/>
          <w:b w:val="1"/>
          <w:bCs w:val="1"/>
          <w:i w:val="1"/>
          <w:iCs w:val="1"/>
          <w:color w:val="auto"/>
        </w:rPr>
        <w:t>Marcum’s Report</w:t>
      </w:r>
      <w:r>
        <w:rPr>
          <w:rFonts w:ascii="Arial" w:cs="Arial" w:eastAsia="Arial" w:hAnsi="Arial"/>
          <w:sz w:val="17"/>
          <w:szCs w:val="17"/>
          <w:color w:val="auto"/>
        </w:rPr>
        <w:t>”) on the Company’s financial statements as of December 31, 2021 and the related statements of operations, changes in shareholders’ deficit and cash flows for the period from January 13, 2021 (inception) through December 31, 2021 did not contain any adverse opinion or disclaimer of opinion, nor were they qualified or modified as to uncertainty, audit scope or accounting principles.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period from January 13, 2021 (inception) through December 31, 2021 and the subsequent period through July 22, 2022, there were no “disagreements” (as that term is described in Item 304(a)(1)(iv) of Regulation S-K under the Securities Exchange Act of 1934, as amended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and the related instructions to Item 304 of Regulation S-K under the Exchange Act) with Marcum on any matter of accounting principles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practices, financial statement disclosures or audited scope or procedures, which disagreements if not resolved to Marcum’s satisfaction would have caused Marcum to make reference to the subject matter of the disagreement in connection with its report. During the period from January 13, 2021 (inception) through December 31, 2021 and the subsequent period through July 22, 2022, there have been no “reportable events” (as defined in Item 304(a)(1)(v) of Regulation S-K under the Exchange Act), other than the material weakness in internal controls identified by management related to the interpretation and accounting for certain complex features of the Class A ordinary shares and warrants issued by ArcLight, which resulted in the restatement of ArcLight’s balance sheet as of March 25, 2021 and its interim financial statements for the quarters ended March 31, 2021, June 30, 2021 and September 30, 2021.</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provided Marcum with a copy of the foregoing disclosures made by the Company in response to this Item 4.01 and has requested that Marcum furnish the Company with a letter addressed to the SEC stating whether it agrees with the statements made by the Company set forth above. A copy of the letter from Marcum, dated July 27, 2022 is filed as Exhibit 16.1 to this Report.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period from January 13, 2021 (inception) to December 31, 2021 and the subsequent period through July 22, 2022, the Company did not consult with BDO with respect to either (i) the application of accounting principles to a specified transaction, either completed or proposed; or the type of audit opinion that might be rendered on the Company’s consolidated financial statements, and no written report or oral advice was provided to the Company by BDO that was an important factor considered by the Company in reaching a decision as to any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5.01. Changes in Control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w:t>
      </w:r>
      <w:r>
        <w:rPr>
          <w:rFonts w:ascii="Arial" w:cs="Arial" w:eastAsia="Arial" w:hAnsi="Arial"/>
          <w:sz w:val="18"/>
          <w:szCs w:val="18"/>
          <w:i w:val="1"/>
          <w:iCs w:val="1"/>
          <w:color w:val="auto"/>
        </w:rPr>
        <w:t>Introductory Note</w:t>
      </w:r>
      <w:r>
        <w:rPr>
          <w:rFonts w:ascii="Arial" w:cs="Arial" w:eastAsia="Arial" w:hAnsi="Arial"/>
          <w:sz w:val="18"/>
          <w:szCs w:val="18"/>
          <w:color w:val="auto"/>
        </w:rPr>
        <w:t>” and Item 2.01 of this Report is incorporated herein by reference.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set forth above in the sections titled “</w:t>
      </w: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 “</w:t>
      </w:r>
      <w:r>
        <w:rPr>
          <w:rFonts w:ascii="Arial" w:cs="Arial" w:eastAsia="Arial" w:hAnsi="Arial"/>
          <w:sz w:val="18"/>
          <w:szCs w:val="18"/>
          <w:i w:val="1"/>
          <w:iCs w:val="1"/>
          <w:color w:val="auto"/>
        </w:rPr>
        <w:t>Executive Compensation</w:t>
      </w:r>
      <w:r>
        <w:rPr>
          <w:rFonts w:ascii="Arial" w:cs="Arial" w:eastAsia="Arial" w:hAnsi="Arial"/>
          <w:sz w:val="18"/>
          <w:szCs w:val="18"/>
          <w:color w:val="auto"/>
        </w:rPr>
        <w:t>,” “</w:t>
      </w:r>
      <w:r>
        <w:rPr>
          <w:rFonts w:ascii="Arial" w:cs="Arial" w:eastAsia="Arial" w:hAnsi="Arial"/>
          <w:sz w:val="18"/>
          <w:szCs w:val="18"/>
          <w:i w:val="1"/>
          <w:iCs w:val="1"/>
          <w:color w:val="auto"/>
        </w:rPr>
        <w:t>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Person Transactions, Controlled Company Exception and Director Independence</w:t>
      </w:r>
      <w:r>
        <w:rPr>
          <w:rFonts w:ascii="Arial" w:cs="Arial" w:eastAsia="Arial" w:hAnsi="Arial"/>
          <w:sz w:val="18"/>
          <w:szCs w:val="18"/>
          <w:color w:val="auto"/>
        </w:rPr>
        <w:t>” and “</w:t>
      </w:r>
      <w:r>
        <w:rPr>
          <w:rFonts w:ascii="Arial" w:cs="Arial" w:eastAsia="Arial" w:hAnsi="Arial"/>
          <w:sz w:val="18"/>
          <w:szCs w:val="18"/>
          <w:i w:val="1"/>
          <w:iCs w:val="1"/>
          <w:color w:val="auto"/>
        </w:rPr>
        <w:t>Indemnification of Directors and Officers</w:t>
      </w:r>
      <w:r>
        <w:rPr>
          <w:rFonts w:ascii="Arial" w:cs="Arial" w:eastAsia="Arial" w:hAnsi="Arial"/>
          <w:sz w:val="18"/>
          <w:szCs w:val="18"/>
          <w:color w:val="auto"/>
        </w:rPr>
        <w:t>” is incorporated herein</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connection with the Business Combination, effective as of the Closing, Daniel R. Revers resigned from his position as ArcLight’s Chairman, John F. Erhard resigned from his positions as ArcLight’s President and Chief Executive Officer, Marco F. Gatti resigned from his position as ArcLight’s Chief Financial Officer, Christine M. Miller resigned from her position as ArcLight’s General Counsel, and each of Arno Harris, Dr. Ja-Chin Audrey Lee, Brian Goncher and Steven Berkenfeld resigned from their positions as directors of ArcLight.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addition, the 2022 Omnibus Equity Incentive Plan became effective upon the Closing. The material terms of the plan are described in the Proxy Statement/Prospectus in the section titled </w:t>
      </w:r>
      <w:r>
        <w:rPr>
          <w:rFonts w:ascii="Arial" w:cs="Arial" w:eastAsia="Arial" w:hAnsi="Arial"/>
          <w:sz w:val="18"/>
          <w:szCs w:val="18"/>
          <w:i w:val="1"/>
          <w:iCs w:val="1"/>
          <w:color w:val="auto"/>
        </w:rPr>
        <w:t>“Proposal No. 6 — The Equity Incentive Plan Proposal”</w:t>
      </w:r>
      <w:r>
        <w:rPr>
          <w:rFonts w:ascii="Arial" w:cs="Arial" w:eastAsia="Arial" w:hAnsi="Arial"/>
          <w:sz w:val="18"/>
          <w:szCs w:val="18"/>
          <w:color w:val="auto"/>
        </w:rPr>
        <w:t xml:space="preserve"> beginning on page 184 thereof, which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Item 3.03 of this Report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5.06 Change in Shell Company Status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Business Combination, the Company ceased to be a shell company. Reference is made to the disclosure in the Proxy Statement/Prospectus in the section titled “</w:t>
      </w:r>
      <w:r>
        <w:rPr>
          <w:rFonts w:ascii="Arial" w:cs="Arial" w:eastAsia="Arial" w:hAnsi="Arial"/>
          <w:sz w:val="18"/>
          <w:szCs w:val="18"/>
          <w:i w:val="1"/>
          <w:iCs w:val="1"/>
          <w:color w:val="auto"/>
        </w:rPr>
        <w:t>The Business Combination Agreement</w:t>
      </w:r>
      <w:r>
        <w:rPr>
          <w:rFonts w:ascii="Arial" w:cs="Arial" w:eastAsia="Arial" w:hAnsi="Arial"/>
          <w:sz w:val="18"/>
          <w:szCs w:val="18"/>
          <w:color w:val="auto"/>
        </w:rPr>
        <w:t>” beginning on page 113 thereof,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25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The condensed consolidated financial statements of OPAL Fuels as of March 31, 2022 (unaudited) and December 31, 2021 and for the three months ended March 31, 2022 and 2021 (unaudited) and the related notes are included in the Proxy Statement/Prospectus beginning on page F-45 and are incorporated herein by reference.</w:t>
      </w:r>
    </w:p>
    <w:p>
      <w:pPr>
        <w:spacing w:after="0" w:line="183"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The audited consolidated financial statements of OPAL Fuels as of December 31, 2021 and 2020 (restated), and for the three years ended December 31, 2021, 2020 (restated) and 2019 (restated) and the related notes are included in the Proxy Statement/Prospectus beginning on page F-78 and are incorporated herein by reference.</w:t>
      </w:r>
    </w:p>
    <w:p>
      <w:pPr>
        <w:spacing w:after="0" w:line="183" w:lineRule="exact"/>
        <w:rPr>
          <w:rFonts w:ascii="Arial" w:cs="Arial" w:eastAsia="Arial" w:hAnsi="Arial"/>
          <w:sz w:val="18"/>
          <w:szCs w:val="18"/>
          <w:color w:val="auto"/>
        </w:rPr>
      </w:pPr>
    </w:p>
    <w:p>
      <w:pPr>
        <w:jc w:val="both"/>
        <w:ind w:left="660" w:right="20"/>
        <w:spacing w:after="0" w:line="311" w:lineRule="auto"/>
        <w:rPr>
          <w:rFonts w:ascii="Arial" w:cs="Arial" w:eastAsia="Arial" w:hAnsi="Arial"/>
          <w:sz w:val="18"/>
          <w:szCs w:val="18"/>
          <w:color w:val="auto"/>
        </w:rPr>
      </w:pPr>
      <w:r>
        <w:rPr>
          <w:rFonts w:ascii="Arial" w:cs="Arial" w:eastAsia="Arial" w:hAnsi="Arial"/>
          <w:sz w:val="16"/>
          <w:szCs w:val="16"/>
          <w:color w:val="auto"/>
        </w:rPr>
        <w:t>The audited financial statements of Beacon RNG LLC as of April 30, 2021, December 31, 2020 and December 31, 2019 and for the four months ended April 30, 2021, year ended December 31, 2020 and for the period from March 11, 2019 (inception) through December 31, 2019 and the related notes are included in the Proxy Statement/Prospectus beginning on page F-133 and are incorporated herein by reference.</w:t>
      </w:r>
    </w:p>
    <w:p>
      <w:pPr>
        <w:spacing w:after="0" w:line="148"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The unaudited financial statements of ArcLight as of and for the three months ended March 31, 2022 and the related notes, and Management’s Discussion and Analysis of Financial Condition and Results of Operations, are included in the ArcLight Q1 10-Q beginning on page 1 and are incorporated herein by reference.</w:t>
      </w:r>
    </w:p>
    <w:p>
      <w:pPr>
        <w:spacing w:after="0" w:line="183" w:lineRule="exact"/>
        <w:rPr>
          <w:rFonts w:ascii="Arial" w:cs="Arial" w:eastAsia="Arial" w:hAnsi="Arial"/>
          <w:sz w:val="18"/>
          <w:szCs w:val="18"/>
          <w:color w:val="auto"/>
        </w:rPr>
      </w:pPr>
    </w:p>
    <w:p>
      <w:pPr>
        <w:ind w:left="660"/>
        <w:spacing w:after="0" w:line="342" w:lineRule="auto"/>
        <w:rPr>
          <w:rFonts w:ascii="Arial" w:cs="Arial" w:eastAsia="Arial" w:hAnsi="Arial"/>
          <w:sz w:val="18"/>
          <w:szCs w:val="18"/>
          <w:color w:val="auto"/>
        </w:rPr>
      </w:pPr>
      <w:r>
        <w:rPr>
          <w:rFonts w:ascii="Arial" w:cs="Arial" w:eastAsia="Arial" w:hAnsi="Arial"/>
          <w:sz w:val="16"/>
          <w:szCs w:val="16"/>
          <w:color w:val="auto"/>
        </w:rPr>
        <w:t>The audited financial statements of ArcLight as of December 31, 2021 and for the period from January 13, 2021 (inception) through December 31, 2021 and the related notes are included in the Proxy Statement/Prospectus beginning on page F-24 and are incorporated herein by reference.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unaudited pro forma condensed combined financial information of New OPAL as of March 31, 2022 and for the three months ended March 31, 2022 and the year ended December 31, 2021 is filed as Exhibit 99.1 and is incorporated herein by reference.</w:t>
      </w:r>
    </w:p>
    <w:p>
      <w:pPr>
        <w:spacing w:after="0" w:line="17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240"/>
          </w:cols>
          <w:pgMar w:left="320" w:top="908" w:right="339" w:bottom="1440" w:gutter="0" w:footer="0" w:header="0"/>
        </w:sectPr>
      </w:pP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4620"/>
        <w:spacing w:after="0"/>
        <w:rPr>
          <w:sz w:val="20"/>
          <w:szCs w:val="20"/>
          <w:color w:val="auto"/>
        </w:rPr>
      </w:pP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29210</wp:posOffset>
            </wp:positionV>
            <wp:extent cx="71323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5060" w:space="720"/>
            <w:col w:w="5460"/>
          </w:cols>
          <w:pgMar w:left="320" w:top="908" w:right="339" w:bottom="1440" w:gutter="0" w:footer="0" w:header="0"/>
          <w:type w:val="continuous"/>
        </w:sectPr>
      </w:pPr>
    </w:p>
    <w:p>
      <w:pPr>
        <w:jc w:val="both"/>
        <w:ind w:left="1140" w:hanging="784"/>
        <w:spacing w:after="0" w:line="274" w:lineRule="auto"/>
        <w:tabs>
          <w:tab w:leader="none" w:pos="1120" w:val="left"/>
        </w:tabs>
        <w:rPr>
          <w:rFonts w:ascii="Arial" w:cs="Arial" w:eastAsia="Arial" w:hAnsi="Arial"/>
          <w:sz w:val="17"/>
          <w:szCs w:val="17"/>
          <w:u w:val="single" w:color="auto"/>
          <w:color w:val="0000EE"/>
        </w:rPr>
      </w:pPr>
      <w:r>
        <w:rPr>
          <w:rFonts w:ascii="Arial" w:cs="Arial" w:eastAsia="Arial" w:hAnsi="Arial"/>
          <w:sz w:val="18"/>
          <w:szCs w:val="18"/>
          <w:color w:val="auto"/>
        </w:rPr>
        <w:t>2.1†</w:t>
      </w:r>
      <w:r>
        <w:rPr>
          <w:sz w:val="20"/>
          <w:szCs w:val="20"/>
          <w:color w:val="auto"/>
        </w:rPr>
        <w:tab/>
      </w:r>
      <w:hyperlink r:id="rId33">
        <w:r>
          <w:rPr>
            <w:rFonts w:ascii="Arial" w:cs="Arial" w:eastAsia="Arial" w:hAnsi="Arial"/>
            <w:sz w:val="17"/>
            <w:szCs w:val="17"/>
            <w:u w:val="single" w:color="auto"/>
            <w:color w:val="0000EE"/>
          </w:rPr>
          <w:t>Business Combination Agreement, dated as of December 2, 2021, by and among ArcLight, OPAL Fuels and OPAL HoldCo (incorporated</w:t>
        </w:r>
      </w:hyperlink>
      <w:r>
        <w:rPr>
          <w:rFonts w:ascii="Arial" w:cs="Arial" w:eastAsia="Arial" w:hAnsi="Arial"/>
          <w:sz w:val="17"/>
          <w:szCs w:val="17"/>
          <w:u w:val="single" w:color="auto"/>
          <w:color w:val="0000EE"/>
        </w:rPr>
        <w:t xml:space="preserve"> </w:t>
      </w:r>
      <w:hyperlink r:id="rId33">
        <w:r>
          <w:rPr>
            <w:rFonts w:ascii="Arial" w:cs="Arial" w:eastAsia="Arial" w:hAnsi="Arial"/>
            <w:sz w:val="17"/>
            <w:szCs w:val="17"/>
            <w:u w:val="single" w:color="auto"/>
            <w:color w:val="0000EE"/>
          </w:rPr>
          <w:t>by reference to Exhibit 2.1 of the Company’s Current Report on Form 8-K, filed with the SEC on December 3, 2021).</w:t>
        </w:r>
      </w:hyperlink>
    </w:p>
    <w:p>
      <w:pPr>
        <w:ind w:left="3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17">
        <w:r>
          <w:rPr>
            <w:rFonts w:ascii="Arial" w:cs="Arial" w:eastAsia="Arial" w:hAnsi="Arial"/>
            <w:sz w:val="16"/>
            <w:szCs w:val="16"/>
            <w:u w:val="single" w:color="auto"/>
            <w:color w:val="0000EE"/>
          </w:rPr>
          <w:t>Certificate of Incorporation of OPAL Fuels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34">
        <w:r>
          <w:rPr>
            <w:rFonts w:ascii="Arial" w:cs="Arial" w:eastAsia="Arial" w:hAnsi="Arial"/>
            <w:sz w:val="16"/>
            <w:szCs w:val="16"/>
            <w:u w:val="single" w:color="auto"/>
            <w:color w:val="0000EE"/>
          </w:rPr>
          <w:t>Bylaws of OPAL Fuels Inc</w:t>
        </w:r>
      </w:hyperlink>
    </w:p>
    <w:p>
      <w:pPr>
        <w:spacing w:after="0" w:line="9" w:lineRule="exact"/>
        <w:rPr>
          <w:sz w:val="20"/>
          <w:szCs w:val="20"/>
          <w:color w:val="auto"/>
        </w:rPr>
      </w:pPr>
    </w:p>
    <w:p>
      <w:pPr>
        <w:ind w:left="1140" w:hanging="739"/>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35">
        <w:r>
          <w:rPr>
            <w:rFonts w:ascii="Arial" w:cs="Arial" w:eastAsia="Arial" w:hAnsi="Arial"/>
            <w:sz w:val="18"/>
            <w:szCs w:val="18"/>
            <w:u w:val="single" w:color="auto"/>
            <w:color w:val="0000EE"/>
          </w:rPr>
          <w:t>Specimen Warrant Certificate (incorporated by reference to Exhibit 4.3 to the Registration Statement on Form S-1 (File No. 333-252730)</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filed by the Registrant on March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hanging="739"/>
        <w:spacing w:after="0" w:line="265" w:lineRule="auto"/>
        <w:tabs>
          <w:tab w:leader="none" w:pos="112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37">
        <w:r>
          <w:rPr>
            <w:rFonts w:ascii="Arial" w:cs="Arial" w:eastAsia="Arial" w:hAnsi="Arial"/>
            <w:sz w:val="17"/>
            <w:szCs w:val="17"/>
            <w:u w:val="single" w:color="auto"/>
            <w:color w:val="0000EE"/>
          </w:rPr>
          <w:t>Warrant Agreement between Continental Stock Transfer &amp; Trust Company and ArcLight Clean Transition Corp. II, dated March 22, 2021</w:t>
        </w:r>
      </w:hyperlink>
      <w:r>
        <w:rPr>
          <w:rFonts w:ascii="Arial" w:cs="Arial" w:eastAsia="Arial" w:hAnsi="Arial"/>
          <w:sz w:val="17"/>
          <w:szCs w:val="17"/>
          <w:u w:val="single" w:color="auto"/>
          <w:color w:val="0000EE"/>
        </w:rPr>
        <w:t xml:space="preserve"> </w:t>
      </w:r>
      <w:hyperlink r:id="rId37">
        <w:r>
          <w:rPr>
            <w:rFonts w:ascii="Arial" w:cs="Arial" w:eastAsia="Arial" w:hAnsi="Arial"/>
            <w:sz w:val="17"/>
            <w:szCs w:val="17"/>
            <w:u w:val="single" w:color="auto"/>
            <w:color w:val="0000EE"/>
          </w:rPr>
          <w:t>(incorporated by reference to Exhibit 4.1 to the Current Report on Form 8-K filed by the Company on March 26, 2021).</w:t>
        </w:r>
      </w:hyperlink>
    </w:p>
    <w:p>
      <w:pPr>
        <w:jc w:val="both"/>
        <w:ind w:left="1140" w:hanging="784"/>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38">
        <w:r>
          <w:rPr>
            <w:rFonts w:ascii="Arial" w:cs="Arial" w:eastAsia="Arial" w:hAnsi="Arial"/>
            <w:sz w:val="18"/>
            <w:szCs w:val="18"/>
            <w:u w:val="single" w:color="auto"/>
            <w:color w:val="0000EE"/>
          </w:rPr>
          <w:t>Form of New OPAL Indemnification Agreement (incorporated by reference to Exhibit 10.1 to the Registration Statement on Form S-4 (File</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No. 333-262583), filed on May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59">
        <w:r>
          <w:rPr>
            <w:rFonts w:ascii="Arial" w:cs="Arial" w:eastAsia="Arial" w:hAnsi="Arial"/>
            <w:sz w:val="16"/>
            <w:szCs w:val="16"/>
            <w:u w:val="single" w:color="auto"/>
            <w:color w:val="0000EE"/>
          </w:rPr>
          <w:t>2022 Omnibus Equity Incentive Plan.</w:t>
        </w:r>
      </w:hyperlink>
    </w:p>
    <w:p>
      <w:pPr>
        <w:spacing w:after="0" w:line="9" w:lineRule="exact"/>
        <w:rPr>
          <w:sz w:val="20"/>
          <w:szCs w:val="20"/>
          <w:color w:val="auto"/>
        </w:rPr>
      </w:pPr>
    </w:p>
    <w:p>
      <w:pPr>
        <w:jc w:val="both"/>
        <w:ind w:left="1140" w:hanging="784"/>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40">
        <w:r>
          <w:rPr>
            <w:rFonts w:ascii="Arial" w:cs="Arial" w:eastAsia="Arial" w:hAnsi="Arial"/>
            <w:sz w:val="18"/>
            <w:szCs w:val="18"/>
            <w:u w:val="single" w:color="auto"/>
            <w:color w:val="0000EE"/>
          </w:rPr>
          <w:t>Letter Agreement, dated as of March 25, 2021, by and among ArcLight CTC Holdings II, L.P., ArcLight Clean Transition Corp. II and</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certain other parties thereto (incorporated by referenced to Exhibit 10.4 to the Company’s Current Report on Form 8-K filed by the</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Registrant on March 26,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40" w:hanging="784"/>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42">
        <w:r>
          <w:rPr>
            <w:rFonts w:ascii="Arial" w:cs="Arial" w:eastAsia="Arial" w:hAnsi="Arial"/>
            <w:sz w:val="18"/>
            <w:szCs w:val="18"/>
            <w:u w:val="single" w:color="auto"/>
            <w:color w:val="0000EE"/>
          </w:rPr>
          <w:t>Sponsor Letter Agreement, dated as of December 2, 2021, by and among OPAL Fuels LLC, ArcLight Clean Transition Corp. II and certain</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other parties thereto (incorporated by reference to incorporated by referenced to Exhibit 10.2 to the Company’s Current Report on Form 8-</w:t>
        </w:r>
      </w:hyperlink>
      <w:hyperlink r:id="rId42">
        <w:r>
          <w:rPr>
            <w:rFonts w:ascii="Arial" w:cs="Arial" w:eastAsia="Arial" w:hAnsi="Arial"/>
            <w:sz w:val="18"/>
            <w:szCs w:val="18"/>
            <w:u w:val="single" w:color="auto"/>
            <w:color w:val="0000EE"/>
          </w:rPr>
          <w:t>K filed by the Registrant on December 3, 2021)</w:t>
        </w:r>
      </w:hyperlink>
    </w:p>
    <w:p>
      <w:pPr>
        <w:spacing w:after="0" w:line="1" w:lineRule="exact"/>
        <w:rPr>
          <w:rFonts w:ascii="Arial" w:cs="Arial" w:eastAsia="Arial" w:hAnsi="Arial"/>
          <w:sz w:val="18"/>
          <w:szCs w:val="18"/>
          <w:u w:val="single" w:color="auto"/>
          <w:color w:val="0000EE"/>
        </w:rPr>
      </w:pPr>
    </w:p>
    <w:p>
      <w:pPr>
        <w:jc w:val="both"/>
        <w:ind w:left="1140" w:hanging="784"/>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43">
        <w:r>
          <w:rPr>
            <w:rFonts w:ascii="Arial" w:cs="Arial" w:eastAsia="Arial" w:hAnsi="Arial"/>
            <w:sz w:val="18"/>
            <w:szCs w:val="18"/>
            <w:u w:val="single" w:color="auto"/>
            <w:color w:val="0000EE"/>
          </w:rPr>
          <w:t>Form of Subscription Agreement (incorporated by reference to Exhibit 10.1 of the Company’s Current Report on Form 8-K, filed with the</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SEC on December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40" w:right="20" w:hanging="784"/>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45">
        <w:r>
          <w:rPr>
            <w:rFonts w:ascii="Arial" w:cs="Arial" w:eastAsia="Arial" w:hAnsi="Arial"/>
            <w:sz w:val="18"/>
            <w:szCs w:val="18"/>
            <w:u w:val="single" w:color="auto"/>
            <w:color w:val="0000EE"/>
          </w:rPr>
          <w:t>Form of Amendment No. 1 to the Subscription Agreement (incorporated by reference to Exhibit 10.1 of the Company’s Current Report on</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Form 8-K, filed with the SEC on May 12, 2022).</w:t>
        </w:r>
      </w:hyperlink>
    </w:p>
    <w:p>
      <w:pPr>
        <w:spacing w:after="0" w:line="1" w:lineRule="exact"/>
        <w:rPr>
          <w:sz w:val="20"/>
          <w:szCs w:val="20"/>
          <w:color w:val="auto"/>
        </w:rPr>
      </w:pPr>
    </w:p>
    <w:p>
      <w:pPr>
        <w:ind w:left="3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w:anchor="page75">
        <w:r>
          <w:rPr>
            <w:rFonts w:ascii="Arial" w:cs="Arial" w:eastAsia="Arial" w:hAnsi="Arial"/>
            <w:sz w:val="16"/>
            <w:szCs w:val="16"/>
            <w:u w:val="single" w:color="auto"/>
            <w:color w:val="0000EE"/>
          </w:rPr>
          <w:t>Tax Receivable Agreement, dated July 22, 2022, by and among OPAL Fuels Inc. and the persons named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hanging="829"/>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w:anchor="page101">
        <w:r>
          <w:rPr>
            <w:rFonts w:ascii="Arial" w:cs="Arial" w:eastAsia="Arial" w:hAnsi="Arial"/>
            <w:sz w:val="18"/>
            <w:szCs w:val="18"/>
            <w:u w:val="single" w:color="auto"/>
            <w:color w:val="0000EE"/>
          </w:rPr>
          <w:t>Investor Rights Agreement, dated July 22, 2022, by and among OPAL Fuels Inc., ArcLight CTC Holdings II, L.P., and the other persons</w:t>
        </w:r>
      </w:hyperlink>
      <w:r>
        <w:rPr>
          <w:rFonts w:ascii="Arial" w:cs="Arial" w:eastAsia="Arial" w:hAnsi="Arial"/>
          <w:sz w:val="18"/>
          <w:szCs w:val="18"/>
          <w:u w:val="single" w:color="auto"/>
          <w:color w:val="0000EE"/>
        </w:rPr>
        <w:t xml:space="preserve"> </w:t>
      </w:r>
      <w:hyperlink w:anchor="page101">
        <w:r>
          <w:rPr>
            <w:rFonts w:ascii="Arial" w:cs="Arial" w:eastAsia="Arial" w:hAnsi="Arial"/>
            <w:sz w:val="18"/>
            <w:szCs w:val="18"/>
            <w:u w:val="single" w:color="auto"/>
            <w:color w:val="0000EE"/>
          </w:rPr>
          <w:t>named therein.</w:t>
        </w:r>
      </w:hyperlink>
    </w:p>
    <w:p>
      <w:pPr>
        <w:spacing w:after="0" w:line="1" w:lineRule="exact"/>
        <w:rPr>
          <w:sz w:val="20"/>
          <w:szCs w:val="20"/>
          <w:color w:val="auto"/>
        </w:rPr>
      </w:pPr>
    </w:p>
    <w:p>
      <w:pPr>
        <w:ind w:left="3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w:anchor="page133">
        <w:r>
          <w:rPr>
            <w:rFonts w:ascii="Arial" w:cs="Arial" w:eastAsia="Arial" w:hAnsi="Arial"/>
            <w:sz w:val="16"/>
            <w:szCs w:val="16"/>
            <w:u w:val="single" w:color="auto"/>
            <w:color w:val="0000EE"/>
          </w:rPr>
          <w:t>Second A&amp;R LLC Agreement of OPAL Fuels, including any Certificates of Designations.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48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jc w:val="both"/>
        <w:ind w:left="1140" w:hanging="784"/>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48">
        <w:r>
          <w:rPr>
            <w:rFonts w:ascii="Arial" w:cs="Arial" w:eastAsia="Arial" w:hAnsi="Arial"/>
            <w:sz w:val="18"/>
            <w:szCs w:val="18"/>
            <w:u w:val="single" w:color="auto"/>
            <w:color w:val="0000EE"/>
          </w:rPr>
          <w:t>Delayed Draw Term Loan and Guaranty Agreement, dated October 22, 2021, by and among OPAL Fuels Intermediate Holdco LLC, the</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Guarantors named on the signature pages thereto, and the Lenders (as defined therein), and Bank of America, N.A., as Administrative</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Agent for the Lenders (incorporated by reference to Exhibit 10.8 to the Registration Statement on Form S-4 (File No. 333-262583), filed on</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March 25, 2022).</w:t>
        </w:r>
      </w:hyperlink>
    </w:p>
    <w:p>
      <w:pPr>
        <w:spacing w:after="0" w:line="2" w:lineRule="exact"/>
        <w:rPr>
          <w:rFonts w:ascii="Arial" w:cs="Arial" w:eastAsia="Arial" w:hAnsi="Arial"/>
          <w:sz w:val="18"/>
          <w:szCs w:val="18"/>
          <w:u w:val="single" w:color="auto"/>
          <w:color w:val="0000EE"/>
        </w:rPr>
      </w:pPr>
    </w:p>
    <w:p>
      <w:pPr>
        <w:ind w:left="1140" w:hanging="829"/>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49">
        <w:r>
          <w:rPr>
            <w:rFonts w:ascii="Arial" w:cs="Arial" w:eastAsia="Arial" w:hAnsi="Arial"/>
            <w:sz w:val="18"/>
            <w:szCs w:val="18"/>
            <w:u w:val="single" w:color="auto"/>
            <w:color w:val="0000EE"/>
          </w:rPr>
          <w:t>Amendment No. 1 to Delayed Draw Term Loan and Guaranty Agreement and Waiver, dated February 1, 2022 (incorporated by reference to</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Exhibit 10.9 to the Registration Statement on Form S-4 (File 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40" w:hanging="871"/>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51">
        <w:r>
          <w:rPr>
            <w:rFonts w:ascii="Arial" w:cs="Arial" w:eastAsia="Arial" w:hAnsi="Arial"/>
            <w:sz w:val="18"/>
            <w:szCs w:val="18"/>
            <w:u w:val="single" w:color="auto"/>
            <w:color w:val="0000EE"/>
          </w:rPr>
          <w:t>Environmental Attributes Purchase and Sale Agreement, dated November 29, 2021, by and between, on the one hand, NextEra Energy</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Marketing, LLC and, on the other hand, TruStar Energy LLC and OPAL Fuels LLC (incorporated by reference to Exhibit 10.10 to the</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Registration Statement on Form S-4 (File No. 333-262583), filed on March 25, 2022).</w:t>
        </w:r>
      </w:hyperlink>
    </w:p>
    <w:p>
      <w:pPr>
        <w:spacing w:after="0" w:line="1" w:lineRule="exact"/>
        <w:rPr>
          <w:rFonts w:ascii="Arial" w:cs="Arial" w:eastAsia="Arial" w:hAnsi="Arial"/>
          <w:sz w:val="18"/>
          <w:szCs w:val="18"/>
          <w:u w:val="single" w:color="auto"/>
          <w:color w:val="0000EE"/>
        </w:rPr>
      </w:pPr>
    </w:p>
    <w:p>
      <w:pPr>
        <w:jc w:val="both"/>
        <w:ind w:left="1140" w:hanging="874"/>
        <w:spacing w:after="0" w:line="281"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52">
        <w:r>
          <w:rPr>
            <w:rFonts w:ascii="Arial" w:cs="Arial" w:eastAsia="Arial" w:hAnsi="Arial"/>
            <w:sz w:val="16"/>
            <w:szCs w:val="16"/>
            <w:u w:val="single" w:color="auto"/>
            <w:color w:val="0000EE"/>
          </w:rPr>
          <w:t>Administrative Services Agreement, dated December 31, 2021, by and between OPAL Fuels and Fortistar Services 2 LLC (incorporated by</w:t>
        </w:r>
      </w:hyperlink>
      <w:r>
        <w:rPr>
          <w:rFonts w:ascii="Arial" w:cs="Arial" w:eastAsia="Arial" w:hAnsi="Arial"/>
          <w:sz w:val="16"/>
          <w:szCs w:val="16"/>
          <w:u w:val="single" w:color="auto"/>
          <w:color w:val="0000EE"/>
        </w:rPr>
        <w:t xml:space="preserve"> </w:t>
      </w:r>
      <w:hyperlink r:id="rId52">
        <w:r>
          <w:rPr>
            <w:rFonts w:ascii="Arial" w:cs="Arial" w:eastAsia="Arial" w:hAnsi="Arial"/>
            <w:sz w:val="16"/>
            <w:szCs w:val="16"/>
            <w:u w:val="single" w:color="auto"/>
            <w:color w:val="0000EE"/>
          </w:rPr>
          <w:t>reference to Exhibit 10.11 to the Registration Statement on Form S-4 (File 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40" w:hanging="874"/>
        <w:spacing w:after="0" w:line="281"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54">
        <w:r>
          <w:rPr>
            <w:rFonts w:ascii="Arial" w:cs="Arial" w:eastAsia="Arial" w:hAnsi="Arial"/>
            <w:sz w:val="16"/>
            <w:szCs w:val="16"/>
            <w:u w:val="single" w:color="auto"/>
            <w:color w:val="0000EE"/>
          </w:rPr>
          <w:t>Indemnification and Hold Harmless Agreement, dated December 31, 2020, by and between OPAL Fuels LLC and Fortistar LLC</w:t>
        </w:r>
      </w:hyperlink>
      <w:r>
        <w:rPr>
          <w:rFonts w:ascii="Arial" w:cs="Arial" w:eastAsia="Arial" w:hAnsi="Arial"/>
          <w:sz w:val="16"/>
          <w:szCs w:val="16"/>
          <w:u w:val="single" w:color="auto"/>
          <w:color w:val="0000EE"/>
        </w:rPr>
        <w:t xml:space="preserve"> </w:t>
      </w:r>
      <w:hyperlink r:id="rId54">
        <w:r>
          <w:rPr>
            <w:rFonts w:ascii="Arial" w:cs="Arial" w:eastAsia="Arial" w:hAnsi="Arial"/>
            <w:sz w:val="16"/>
            <w:szCs w:val="16"/>
            <w:u w:val="single" w:color="auto"/>
            <w:color w:val="0000EE"/>
          </w:rPr>
          <w:t>(incorporated by reference to Exhibit 10.12 to the Registration Statement on Form S-4 (File No. 333-262583), filed on March 25, 2022).</w:t>
        </w:r>
      </w:hyperlink>
    </w:p>
    <w:p>
      <w:pPr>
        <w:spacing w:after="0" w:line="1" w:lineRule="exact"/>
        <w:rPr>
          <w:sz w:val="20"/>
          <w:szCs w:val="20"/>
          <w:color w:val="auto"/>
        </w:rPr>
      </w:pPr>
    </w:p>
    <w:p>
      <w:pPr>
        <w:jc w:val="both"/>
        <w:ind w:left="1140" w:right="20" w:hanging="874"/>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55">
        <w:r>
          <w:rPr>
            <w:rFonts w:ascii="Arial" w:cs="Arial" w:eastAsia="Arial" w:hAnsi="Arial"/>
            <w:sz w:val="18"/>
            <w:szCs w:val="18"/>
            <w:u w:val="single" w:color="auto"/>
            <w:color w:val="0000EE"/>
          </w:rPr>
          <w:t>Flue Gas Offtake and Preferred Partner Agreement, dated November 29, 2021, by and between CarbonFree Chemicals Holdings, LLC and</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OPAL Fuels LLC (incorporated by reference to Exhibit 10.13 to the Registration Statement on Form S-4 (File No. 333-262583), filed on</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March 25, 2022).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16.1*</w:t>
      </w:r>
      <w:r>
        <w:rPr>
          <w:sz w:val="20"/>
          <w:szCs w:val="20"/>
          <w:color w:val="auto"/>
        </w:rPr>
        <w:tab/>
      </w:r>
      <w:hyperlink w:anchor="page226">
        <w:r>
          <w:rPr>
            <w:rFonts w:ascii="Arial" w:cs="Arial" w:eastAsia="Arial" w:hAnsi="Arial"/>
            <w:sz w:val="16"/>
            <w:szCs w:val="16"/>
            <w:u w:val="single" w:color="auto"/>
            <w:color w:val="0000EE"/>
          </w:rPr>
          <w:t>Letter from Marcum LLP to the SEC dated July 27, 2022.</w:t>
        </w:r>
      </w:hyperlink>
    </w:p>
    <w:p>
      <w:pPr>
        <w:spacing w:after="0" w:line="9" w:lineRule="exact"/>
        <w:rPr>
          <w:rFonts w:ascii="Arial" w:cs="Arial" w:eastAsia="Arial" w:hAnsi="Arial"/>
          <w:sz w:val="18"/>
          <w:szCs w:val="18"/>
          <w:u w:val="single" w:color="auto"/>
          <w:color w:val="0000EE"/>
        </w:rPr>
      </w:pPr>
    </w:p>
    <w:p>
      <w:pPr>
        <w:ind w:left="3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227">
        <w:r>
          <w:rPr>
            <w:rFonts w:ascii="Arial" w:cs="Arial" w:eastAsia="Arial" w:hAnsi="Arial"/>
            <w:sz w:val="16"/>
            <w:szCs w:val="16"/>
            <w:u w:val="single" w:color="auto"/>
            <w:color w:val="0000EE"/>
          </w:rPr>
          <w:t>List of subsidiaries.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229">
        <w:r>
          <w:rPr>
            <w:rFonts w:ascii="Arial" w:cs="Arial" w:eastAsia="Arial" w:hAnsi="Arial"/>
            <w:sz w:val="16"/>
            <w:szCs w:val="16"/>
            <w:u w:val="single" w:color="auto"/>
            <w:color w:val="0000EE"/>
          </w:rPr>
          <w:t>Unaudited pro forma condensed combined financial information of the Company as of March 31, 2022 and for the year ended December</w:t>
        </w:r>
      </w:hyperlink>
    </w:p>
    <w:p>
      <w:pPr>
        <w:spacing w:after="0" w:line="9" w:lineRule="exact"/>
        <w:rPr>
          <w:rFonts w:ascii="Arial" w:cs="Arial" w:eastAsia="Arial" w:hAnsi="Arial"/>
          <w:sz w:val="18"/>
          <w:szCs w:val="18"/>
          <w:u w:val="single" w:color="auto"/>
          <w:color w:val="0000EE"/>
        </w:rPr>
      </w:pPr>
    </w:p>
    <w:p>
      <w:pPr>
        <w:ind w:left="1140"/>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31, 2021 and the three months ended March 31, 2022.</w:t>
        </w:r>
      </w:hyperlink>
    </w:p>
    <w:p>
      <w:pPr>
        <w:spacing w:after="0" w:line="9" w:lineRule="exact"/>
        <w:rPr>
          <w:rFonts w:ascii="Arial" w:cs="Arial" w:eastAsia="Arial" w:hAnsi="Arial"/>
          <w:sz w:val="18"/>
          <w:szCs w:val="18"/>
          <w:u w:val="single" w:color="auto"/>
          <w:color w:val="0000EE"/>
        </w:rPr>
      </w:pPr>
    </w:p>
    <w:p>
      <w:pPr>
        <w:ind w:right="4320" w:firstLine="379"/>
        <w:spacing w:after="0" w:line="391" w:lineRule="auto"/>
        <w:tabs>
          <w:tab w:leader="none" w:pos="1134"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u w:val="single" w:color="auto"/>
          <w:color w:val="0000EE"/>
        </w:rPr>
      </w:pPr>
    </w:p>
    <w:p>
      <w:pPr>
        <w:ind w:left="340" w:right="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Company agrees to furnish supplementally a copy of any omitted schedule or exhibit to the SEC upon request.</w:t>
      </w:r>
    </w:p>
    <w:p>
      <w:pPr>
        <w:spacing w:after="0" w:line="1" w:lineRule="exact"/>
        <w:rPr>
          <w:rFonts w:ascii="Arial" w:cs="Arial" w:eastAsia="Arial" w:hAnsi="Arial"/>
          <w:sz w:val="18"/>
          <w:szCs w:val="18"/>
          <w:u w:val="single" w:color="auto"/>
          <w:color w:val="0000EE"/>
        </w:rPr>
      </w:pPr>
    </w:p>
    <w:p>
      <w:pPr>
        <w:ind w:left="340" w:hanging="332"/>
        <w:spacing w:after="0" w:line="290"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p>
      <w:pPr>
        <w:spacing w:after="0" w:line="377"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2022</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OPAL Fuels Inc.</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Ann Anthony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11"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Corporation is OPAL Fuels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308" w:lineRule="auto"/>
        <w:tabs>
          <w:tab w:leader="none" w:pos="82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Address; Registered Office and Agent</w:t>
      </w:r>
      <w:r>
        <w:rPr>
          <w:rFonts w:ascii="Arial" w:cs="Arial" w:eastAsia="Arial" w:hAnsi="Arial"/>
          <w:sz w:val="17"/>
          <w:szCs w:val="17"/>
          <w:color w:val="auto"/>
        </w:rPr>
        <w:t>. The address of the Corporation’s registered office in the State of Delaware is Corporation Trust Center, 1209 Orange Street, Wilmington, Delaware 19801 and the name of its registered agent at such address is The Corporation Trust Company.</w:t>
      </w:r>
    </w:p>
    <w:p>
      <w:pPr>
        <w:spacing w:after="0" w:line="146" w:lineRule="exact"/>
        <w:rPr>
          <w:rFonts w:ascii="Arial" w:cs="Arial" w:eastAsia="Arial" w:hAnsi="Arial"/>
          <w:sz w:val="17"/>
          <w:szCs w:val="17"/>
          <w:color w:val="auto"/>
        </w:rPr>
      </w:pPr>
    </w:p>
    <w:p>
      <w:pPr>
        <w:ind w:firstLine="656"/>
        <w:spacing w:after="0" w:line="277"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xml:space="preserve"> The purpose of the Corporation is to engage in any lawful act or activity for which corporations may be organized under the General Corporation Law.</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4.1 The total number of shares of all classes of stock that the Corporation shall have authority to issue is 1,103,970,656 shares, consisting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(i) 803,970,656 shares of common stock, divided into (a) 337,852,251 shares of Class A common stock, with the par value of $0.0001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(b) 157,498,947 shares of Class B common stock, with the par value of $0.0001 per share (the “Class B Common Stock”); (c)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154,309,729 shares of Class C common stock, with the par value of $0.0001 per share (the “Class C Common Stock”); and (d) 154,309,729 shares of Class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 common stock, with the par value of $0.0001 per share (the “Class D Common Stock” and, together with the Class A Common Stock, the Class 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the Class C Common Stock, the “Common Stock”); and (ii) 300,000,000 shares of preferred stock, with the par value of $0.0001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(the “Preferred Stock”).</w:t>
      </w:r>
    </w:p>
    <w:p>
      <w:pPr>
        <w:spacing w:after="0" w:line="2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4.2 Subject to the rights of the holders of any one or more series of Preferred Stock then outstanding, the number of authorized shares of any series of the Common Stock or the Preferred Stock may be increased or decreased (but not below the number of shares thereof then outstanding),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class or series of the Common Stock or the Preferred Stock voting separately as a class or series will be required therefor. Notwithstanding the immediately preceding sentence, the number of authorized shares of any particular class or series may not be decreased below the number of shares of such class or series then outstanding, </w:t>
      </w:r>
      <w:r>
        <w:rPr>
          <w:rFonts w:ascii="Arial" w:cs="Arial" w:eastAsia="Arial" w:hAnsi="Arial"/>
          <w:sz w:val="17"/>
          <w:szCs w:val="17"/>
          <w:i w:val="1"/>
          <w:iCs w:val="1"/>
          <w:color w:val="auto"/>
        </w:rPr>
        <w:t>plus:</w:t>
      </w:r>
    </w:p>
    <w:p>
      <w:pPr>
        <w:spacing w:after="0" w:line="177" w:lineRule="exact"/>
        <w:rPr>
          <w:sz w:val="20"/>
          <w:szCs w:val="20"/>
          <w:color w:val="auto"/>
        </w:rPr>
      </w:pPr>
    </w:p>
    <w:p>
      <w:pPr>
        <w:jc w:val="both"/>
        <w:ind w:left="660" w:firstLine="1292"/>
        <w:spacing w:after="0" w:line="273" w:lineRule="auto"/>
        <w:tabs>
          <w:tab w:leader="none" w:pos="2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case of Class A Common Stock, the number of shares of Class A Common Stock issuable in connection with (A) the exchange of all outstanding shares of Class B Common Stock, together with the corresponding Class B LLC Units, pursuant to the Operating Agreement, (B) the conversion of all outstanding shares of Class C Common Stock (including the amount of shares of Class C Common Stock issuable in connection with the exchange of all outstanding shares of Class D Common Stock, together with the corresponding Class B LLC Units, pursuant to the Operating Agreement) pursuant to this Certificate of Incorporation and (C) the exercise of outstanding options, warrants, exchange rights, conversion rights or similar rights for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left="660" w:firstLine="1292"/>
        <w:spacing w:after="0" w:line="263" w:lineRule="auto"/>
        <w:tabs>
          <w:tab w:leader="none" w:pos="22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Class B Common Stock, the number of shares of Class B Common Stock issuable in connection with (A) the conversion of all outstanding shares of Class D Common Stock pursuant to this Certificate of Incorporation and (B) the exercise of outstanding options, warrants, exchange rights, conversion rights or similar rights for shares of Class B Common Stock;</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2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Class C Common Stock, the number of shares of Class C Common Stock issuable in connection with (A) the exchange of all outstanding shares of Class D Common Stock, together with the corresponding Class B LLC Units, pursuant to the Operating Agreement and (B) the exercise of outstanding options, warrants, exchange rights, conversion rights or similar rights for shares of Class C Common Stock; and</w:t>
      </w:r>
    </w:p>
    <w:p>
      <w:pPr>
        <w:spacing w:after="0" w:line="186" w:lineRule="exact"/>
        <w:rPr>
          <w:rFonts w:ascii="Arial" w:cs="Arial" w:eastAsia="Arial" w:hAnsi="Arial"/>
          <w:sz w:val="18"/>
          <w:szCs w:val="18"/>
          <w:color w:val="auto"/>
        </w:rPr>
      </w:pPr>
    </w:p>
    <w:p>
      <w:pPr>
        <w:ind w:left="660" w:firstLine="1292"/>
        <w:spacing w:after="0" w:line="308" w:lineRule="auto"/>
        <w:tabs>
          <w:tab w:leader="none" w:pos="2279"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case of Class D Common Stock, the number of shares of Class D Common Stock issuable in connection with the exercise of outstanding options, warrants, exchange rights, conversion rights or similar rights for shares of Class D Common Stock.</w:t>
      </w:r>
    </w:p>
    <w:p>
      <w:pPr>
        <w:spacing w:after="0" w:line="146" w:lineRule="exact"/>
        <w:rPr>
          <w:sz w:val="20"/>
          <w:szCs w:val="20"/>
          <w:color w:val="auto"/>
        </w:rPr>
      </w:pPr>
    </w:p>
    <w:p>
      <w:pPr>
        <w:ind w:firstLine="656"/>
        <w:spacing w:after="0" w:line="277" w:lineRule="auto"/>
        <w:tabs>
          <w:tab w:leader="none" w:pos="85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xml:space="preserve"> The designations and the powers, privileges, preferences and rights, and the qualifications, limitations and restrictions thereof, in respect of each class of capital stock of the Corporation are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left="2160" w:hanging="208"/>
        <w:spacing w:after="0"/>
        <w:tabs>
          <w:tab w:leader="none" w:pos="21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940"/>
        <w:spacing w:after="0" w:line="287" w:lineRule="auto"/>
        <w:tabs>
          <w:tab w:leader="none" w:pos="2859"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Each holder of Class A Common Stock will be entitled to one vote for each share of Class A Common Stock held of record by such holder on all matters on which stockholders generally are entitled to vote, each holder of Class B Common Stock will be entitled to one vote for each share of Class B Common Stock held of record by such holder on all matters on which stockholders generally are entitled to vote, each holder of Class C Common Stock will be entitled to five votes for each share of Class C Common Stock held of record by such holder on all matters on which stockholders generally are entitled to vote, and each holder of Class D Common Stock will be entitled to five votes for each share of Class D Common Stock held of record by such holder on all matters on which stockholders generally are entitled to vote, except that, in each case, to the fullest extent permitted by law and subject to </w:t>
      </w:r>
      <w:r>
        <w:rPr>
          <w:rFonts w:ascii="Arial" w:cs="Arial" w:eastAsia="Arial" w:hAnsi="Arial"/>
          <w:sz w:val="16"/>
          <w:szCs w:val="16"/>
          <w:u w:val="single" w:color="auto"/>
          <w:color w:val="auto"/>
        </w:rPr>
        <w:t>Section 5.1(i)(2),</w:t>
      </w:r>
      <w:r>
        <w:rPr>
          <w:rFonts w:ascii="Arial" w:cs="Arial" w:eastAsia="Arial" w:hAnsi="Arial"/>
          <w:sz w:val="16"/>
          <w:szCs w:val="16"/>
          <w:color w:val="auto"/>
        </w:rPr>
        <w:t xml:space="preserve"> holders of shares of each series of the Common Stock, as such, will have no voting power with respect to, and will not be entitled to vote on, any amendment to this Certificate of Incorporation (including any Certificate of Designations relating to any series of Preferred Stock) that relates solely to the rights, powers, preferences (or the qualifications, limitations or restrictions thereof) or other terms of one or more outstanding series of Preferred Stock if the holders of such affected series of Preferred Stock are entitled, either separately or together with the holders of one or more other such series, to vote thereon under this Certificate of Incorporation (including any Certificate of Designations relating to any series of Preferred Stock) or under the General Corporation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left="-460" w:firstLine="1940"/>
        <w:spacing w:after="0" w:line="285" w:lineRule="auto"/>
        <w:tabs>
          <w:tab w:leader="none" w:pos="1752" w:val="left"/>
        </w:tabs>
        <w:numPr>
          <w:ilvl w:val="1"/>
          <w:numId w:val="20"/>
        </w:numPr>
        <w:rPr>
          <w:rFonts w:ascii="Arial" w:cs="Arial" w:eastAsia="Arial" w:hAnsi="Arial"/>
          <w:sz w:val="16"/>
          <w:szCs w:val="16"/>
          <w:color w:val="auto"/>
        </w:rPr>
      </w:pPr>
      <w:r>
        <w:rPr>
          <w:rFonts w:ascii="Arial" w:cs="Arial" w:eastAsia="Arial" w:hAnsi="Arial"/>
          <w:sz w:val="16"/>
          <w:szCs w:val="16"/>
          <w:color w:val="auto"/>
        </w:rPr>
        <w:t>(a)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 (b) the holders of the outstanding shares of Class B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 (c) the holders of the outstanding shares of Class C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 and (d) the holders of the outstanding shares of Class D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 it being understood that any merger, consolidation or other business combination shall not be deemed an amendment hereof if such merger, consolidation or other business combination constitutes a “Termination Transaction” permitted by Section 3.07 of the Operating Agreement.</w:t>
      </w:r>
    </w:p>
    <w:p>
      <w:pPr>
        <w:spacing w:after="0" w:line="176" w:lineRule="exact"/>
        <w:rPr>
          <w:rFonts w:ascii="Arial" w:cs="Arial" w:eastAsia="Arial" w:hAnsi="Arial"/>
          <w:sz w:val="16"/>
          <w:szCs w:val="16"/>
          <w:color w:val="auto"/>
        </w:rPr>
      </w:pPr>
    </w:p>
    <w:p>
      <w:pPr>
        <w:jc w:val="both"/>
        <w:ind w:left="-460" w:firstLine="1940"/>
        <w:spacing w:after="0" w:line="263" w:lineRule="auto"/>
        <w:tabs>
          <w:tab w:leader="none" w:pos="174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183" w:lineRule="exact"/>
        <w:rPr>
          <w:rFonts w:ascii="Arial" w:cs="Arial" w:eastAsia="Arial" w:hAnsi="Arial"/>
          <w:sz w:val="18"/>
          <w:szCs w:val="18"/>
          <w:color w:val="auto"/>
        </w:rPr>
      </w:pPr>
    </w:p>
    <w:p>
      <w:pPr>
        <w:ind w:left="1100" w:hanging="268"/>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940"/>
        <w:spacing w:after="0" w:line="275" w:lineRule="auto"/>
        <w:tabs>
          <w:tab w:leader="none" w:pos="1752"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Subject to applicable law and the rights, if any, of the holders of any outstanding series of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the Corporation that are by law available therefor, at the times and in the amounts as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in its discretion may determine.</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 w:name="page20"/>
    <w:bookmarkEnd w:id="19"/>
    <w:p>
      <w:pPr>
        <w:ind w:left="4" w:firstLine="1940"/>
        <w:spacing w:after="0" w:line="277" w:lineRule="auto"/>
        <w:tabs>
          <w:tab w:leader="none" w:pos="2211" w:val="left"/>
        </w:tabs>
        <w:numPr>
          <w:ilvl w:val="2"/>
          <w:numId w:val="22"/>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5.1 (h)(3)</w:t>
      </w:r>
      <w:r>
        <w:rPr>
          <w:rFonts w:ascii="Arial" w:cs="Arial" w:eastAsia="Arial" w:hAnsi="Arial"/>
          <w:sz w:val="18"/>
          <w:szCs w:val="18"/>
          <w:color w:val="auto"/>
        </w:rPr>
        <w:t xml:space="preserve"> with respect to stock dividends, dividends of cash or property may not be declared or paid on shares of Class B Common Stock or on shares of Class D Common Stock.</w:t>
      </w:r>
    </w:p>
    <w:p>
      <w:pPr>
        <w:spacing w:after="0" w:line="170" w:lineRule="exact"/>
        <w:rPr>
          <w:rFonts w:ascii="Arial" w:cs="Arial" w:eastAsia="Arial" w:hAnsi="Arial"/>
          <w:sz w:val="18"/>
          <w:szCs w:val="18"/>
          <w:color w:val="auto"/>
        </w:rPr>
      </w:pPr>
    </w:p>
    <w:p>
      <w:pPr>
        <w:jc w:val="both"/>
        <w:ind w:left="4" w:firstLine="1940"/>
        <w:spacing w:after="0" w:line="275" w:lineRule="auto"/>
        <w:tabs>
          <w:tab w:leader="none" w:pos="2241" w:val="left"/>
        </w:tabs>
        <w:numPr>
          <w:ilvl w:val="2"/>
          <w:numId w:val="22"/>
        </w:numPr>
        <w:rPr>
          <w:rFonts w:ascii="Arial" w:cs="Arial" w:eastAsia="Arial" w:hAnsi="Arial"/>
          <w:sz w:val="17"/>
          <w:szCs w:val="17"/>
          <w:color w:val="auto"/>
        </w:rPr>
      </w:pPr>
      <w:r>
        <w:rPr>
          <w:rFonts w:ascii="Arial" w:cs="Arial" w:eastAsia="Arial" w:hAnsi="Arial"/>
          <w:sz w:val="17"/>
          <w:szCs w:val="17"/>
          <w:color w:val="auto"/>
        </w:rPr>
        <w:t xml:space="preserve">In no event will any stock dividend, stock split, reverse stock split, combination of stock, reclassification or recapitalization be declared or made on any series of Common Stock (each, a </w:t>
      </w:r>
      <w:r>
        <w:rPr>
          <w:rFonts w:ascii="Arial" w:cs="Arial" w:eastAsia="Arial" w:hAnsi="Arial"/>
          <w:sz w:val="17"/>
          <w:szCs w:val="17"/>
          <w:u w:val="single" w:color="auto"/>
          <w:color w:val="auto"/>
        </w:rPr>
        <w:t>“Stock Adjustment”)</w:t>
      </w:r>
      <w:r>
        <w:rPr>
          <w:rFonts w:ascii="Arial" w:cs="Arial" w:eastAsia="Arial" w:hAnsi="Arial"/>
          <w:sz w:val="17"/>
          <w:szCs w:val="17"/>
          <w:color w:val="auto"/>
        </w:rPr>
        <w:t xml:space="preserve"> unless (a) a corresponding Stock Adjustment for all other series of Common Stock not so adjusted at the time outstanding is made in the same proportion and the same manner and (b) the Stock Adjustment has been reflected in the same economically equivalent manner on all Class A LLC Units. Stock dividends with respect to each series of Common Stock may only be paid with shares of stock of the same series of Common Stock.</w:t>
      </w:r>
    </w:p>
    <w:p>
      <w:pPr>
        <w:spacing w:after="0" w:line="176" w:lineRule="exact"/>
        <w:rPr>
          <w:rFonts w:ascii="Arial" w:cs="Arial" w:eastAsia="Arial" w:hAnsi="Arial"/>
          <w:sz w:val="17"/>
          <w:szCs w:val="17"/>
          <w:color w:val="auto"/>
        </w:rPr>
      </w:pPr>
    </w:p>
    <w:p>
      <w:pPr>
        <w:jc w:val="both"/>
        <w:ind w:left="4" w:firstLine="1292"/>
        <w:spacing w:after="0" w:line="283" w:lineRule="auto"/>
        <w:tabs>
          <w:tab w:leader="none" w:pos="1642"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and Class C Common Stock will be entitled to receive, </w:t>
      </w:r>
      <w:r>
        <w:rPr>
          <w:rFonts w:ascii="Arial" w:cs="Arial" w:eastAsia="Arial" w:hAnsi="Arial"/>
          <w:sz w:val="16"/>
          <w:szCs w:val="16"/>
          <w:i w:val="1"/>
          <w:iCs w:val="1"/>
          <w:color w:val="auto"/>
        </w:rPr>
        <w:t>paripassu,</w:t>
      </w:r>
      <w:r>
        <w:rPr>
          <w:rFonts w:ascii="Arial" w:cs="Arial" w:eastAsia="Arial" w:hAnsi="Arial"/>
          <w:sz w:val="16"/>
          <w:szCs w:val="16"/>
          <w:color w:val="auto"/>
        </w:rPr>
        <w:t xml:space="preserve"> an amount per share equal to the par value thereof, and thereafter the holders of all outstanding shares of Class A Common Stock and Class C Common Stock will be entitled to receive the remaining assets of the Corporation available for distribution ratably in proportion to the number of shares of Class A Common Stock and Class C Common Stock, which shall be treated a single class solely for the purposes of this </w:t>
      </w:r>
      <w:r>
        <w:rPr>
          <w:rFonts w:ascii="Arial" w:cs="Arial" w:eastAsia="Arial" w:hAnsi="Arial"/>
          <w:sz w:val="16"/>
          <w:szCs w:val="16"/>
          <w:u w:val="single" w:color="auto"/>
          <w:color w:val="auto"/>
        </w:rPr>
        <w:t>Section 5.1 (iii).</w:t>
      </w:r>
      <w:r>
        <w:rPr>
          <w:rFonts w:ascii="Arial" w:cs="Arial" w:eastAsia="Arial" w:hAnsi="Arial"/>
          <w:sz w:val="16"/>
          <w:szCs w:val="16"/>
          <w:color w:val="auto"/>
        </w:rPr>
        <w:t xml:space="preserve"> Without limiting the rights of (1) the holders of Class B Common Stock to exchange their shares of Class B Common Stock, together with the corresponding Class B LLC Units constituting the remainder of any Paired Interests in which such shares are included, for shares of Class A Common Stock in accordance with the Operating Agreement (or for the consideration payable in respect of shares of Class A Common Stock in such voluntary or involuntary liquidation, dissolution or winding-up) and</w:t>
      </w:r>
    </w:p>
    <w:p>
      <w:pPr>
        <w:spacing w:after="0" w:line="4" w:lineRule="exact"/>
        <w:rPr>
          <w:rFonts w:ascii="Arial" w:cs="Arial" w:eastAsia="Arial" w:hAnsi="Arial"/>
          <w:sz w:val="16"/>
          <w:szCs w:val="16"/>
          <w:color w:val="auto"/>
        </w:rPr>
      </w:pPr>
    </w:p>
    <w:p>
      <w:pPr>
        <w:jc w:val="both"/>
        <w:ind w:left="4" w:hanging="4"/>
        <w:spacing w:after="0" w:line="270"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holders of Class D Common Stock to exchange their shares of Class D Common Stock, together with the corresponding Class B LLC Units constituting the remainder of any Paired Interests in which such shares are included, for shares of Class C Common Stock in accordance with the Operating Agreement (or for the consideration payable in respect of shares of Class C Common Stock in such voluntary or involuntary liquidation, dissolution or winding-up), the holders of shares of Class B Common Stock and Class D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17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jc w:val="both"/>
        <w:ind w:left="4" w:firstLine="1292"/>
        <w:spacing w:after="0" w:line="272" w:lineRule="auto"/>
        <w:tabs>
          <w:tab w:leader="none" w:pos="15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Board is expressly authorized, subject to any limitations prescribed by the laws of the State of Delaware, by resolution or resolutions adopted from time to time, to provide for the issuance of shares of Preferred Stock in one or more series, and, by filing a certificate of designation pursuant to the applicable laws of the State of Delaware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xml:space="preserve"> to establish from time to time the number of shares of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Preferred Stock) or decrease (but not below the number of shares of such series then outstanding) the number of shares of Preferred Stock of any such series.</w:t>
      </w:r>
    </w:p>
    <w:p>
      <w:pPr>
        <w:spacing w:after="0" w:line="39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0" w:name="page21"/>
    <w:bookmarkEnd w:id="20"/>
    <w:p>
      <w:pPr>
        <w:jc w:val="both"/>
        <w:ind w:left="660" w:firstLine="1292"/>
        <w:spacing w:after="0" w:line="275" w:lineRule="auto"/>
        <w:tabs>
          <w:tab w:leader="none" w:pos="2232"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any Certificate of Designation designating any series of Preferred Stock, (i) any new series of Preferred Stock may be designated, fixed and determined as provided herein by the Board without approval of the holders of Common Stock or the holders of Preferred Stock, or any series thereof, and (ii) any such new series may have powers, preferences and rights, including, without limitation, voting rights, dividend rights, liquidation rights, redemption rights and conversion rights, senior to, junior to </w:t>
      </w:r>
      <w:r>
        <w:rPr>
          <w:rFonts w:ascii="Arial" w:cs="Arial" w:eastAsia="Arial" w:hAnsi="Arial"/>
          <w:sz w:val="17"/>
          <w:szCs w:val="17"/>
          <w:i w:val="1"/>
          <w:iCs w:val="1"/>
          <w:color w:val="auto"/>
        </w:rPr>
        <w:t>or 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with the rights of the Common Stock, the Preferred Stock or any future class or series of Preferred Stock or Common Stock.</w:t>
      </w:r>
    </w:p>
    <w:p>
      <w:pPr>
        <w:spacing w:after="0" w:line="176" w:lineRule="exact"/>
        <w:rPr>
          <w:rFonts w:ascii="Arial" w:cs="Arial" w:eastAsia="Arial" w:hAnsi="Arial"/>
          <w:sz w:val="17"/>
          <w:szCs w:val="17"/>
          <w:color w:val="auto"/>
        </w:rPr>
      </w:pPr>
    </w:p>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Class B Common Stock, Class C Common Stock and Class D Common Stock</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Cancellation of Class B Common Stock and Class D Common Stock.</w:t>
      </w:r>
      <w:r>
        <w:rPr>
          <w:rFonts w:ascii="Arial" w:cs="Arial" w:eastAsia="Arial" w:hAnsi="Arial"/>
          <w:sz w:val="17"/>
          <w:szCs w:val="17"/>
          <w:color w:val="auto"/>
        </w:rPr>
        <w:t xml:space="preserve"> No holder of Class B Common Stock or Class D Common Stock may transfer shares of Class B Common Stock or Class D Common Stock, respectively, to any person unless such holder transfers a corresponding number of Class B LLC Units to the same person in accordance with the provisions of the Operating Agreement. If any outstanding share of Class B Common Stock or Class D Common Stock ceases to be held by a holder of the corresponding Class B LLC Unit, such share of Class B Common Stock or Class D Common Stock, respectively, shall automatically and without further action on the part of the Corporation or any holder of Class B Common Stock or Class D Common Stock, respectively, be transferred to the Corporation for no consideration and cancelled.</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Reservation of Shares of Class A Common Stock. Class B Common Stock and Class C Common Stock</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2"/>
        <w:spacing w:after="0" w:line="270" w:lineRule="auto"/>
        <w:tabs>
          <w:tab w:leader="none" w:pos="218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Corporation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LLC Units pursuant to the Operating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LLC Units pursuant to the Operating Agreement) into shares of Class A Common Stock pursuant to this Certificate of Incorporation, the number of shares of Class A Common Stock that are issuable upon such conversion. The Corporation covenants that all the shares of Class A Common Stock that are issued upon the exchange of such Paired Interests or conversion of such shares of Class C Common Stock will, upon issuance, be validly issued, fully paid and non-assessable.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left="-460" w:firstLine="1292"/>
        <w:spacing w:after="0" w:line="275" w:lineRule="auto"/>
        <w:tabs>
          <w:tab w:leader="none" w:pos="11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Corporation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this Certificate of Incorporation, the number of shares of Class B Common Stock that are issuable upon such conversion. The Corporation covenants that all the shares of Class B Common Stock that are issued upon the conversion of such shares of Class D Common Stock will, upon issuance, be validly issued, fully paid and non-assessable.</w:t>
      </w:r>
    </w:p>
    <w:p>
      <w:pPr>
        <w:spacing w:after="0" w:line="176" w:lineRule="exact"/>
        <w:rPr>
          <w:rFonts w:ascii="Arial" w:cs="Arial" w:eastAsia="Arial" w:hAnsi="Arial"/>
          <w:sz w:val="17"/>
          <w:szCs w:val="17"/>
          <w:color w:val="auto"/>
        </w:rPr>
      </w:pPr>
    </w:p>
    <w:p>
      <w:pPr>
        <w:jc w:val="both"/>
        <w:ind w:left="-460" w:firstLine="1292"/>
        <w:spacing w:after="0" w:line="255"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Corporation will at all times reserve and keep available out of its authorized and unissued shares of Class C Common Stock, solely for the purpose of the issuance in connection with the exchange of Paired Interests which consist of Class D Common Stock and Class B LLC Units, the number of shares of Class C Common Stock that are issuable upon the exchange of all outstanding Paired Interests which consist of Class D Common Stock and Class B LLC Units, pursuant to the Operating Agreement. The Corporation covenants that all the shares of Class C Common Stock that are issued upon the exchange of such Paired Interests will, upon issuance, be validly issued, fully paid and non-assessable.</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left="-460" w:firstLine="1292"/>
        <w:spacing w:after="0" w:line="253" w:lineRule="auto"/>
        <w:tabs>
          <w:tab w:leader="none" w:pos="10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issuance of shares of Class A Common Stock or Class C Common Stock, as the case may be, upon the exercise by holders of Class B LLC Units of their right under the Operating Agreement to exchange Paired Interests for shares of Class A Common Stock or Class C Common Stock, as the case may be, will be made without charge to such holders for any transfer taxes, stamp taxes or duties or other similar tax in respect of the issuance;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if any such shares of Class A Common Stock or Class C Common Stock are to be issued in a name other than that of the then record holder of the Paired Interests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 w:name="page23"/>
    <w:bookmarkEnd w:id="22"/>
    <w:p>
      <w:pPr>
        <w:jc w:val="both"/>
        <w:ind w:left="660" w:firstLine="1292"/>
        <w:spacing w:after="0" w:line="270" w:lineRule="auto"/>
        <w:tabs>
          <w:tab w:leader="none" w:pos="2221"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issuance of shares of Class A Common Stock or Class B Common Stock, as the case may be, upon the conversion of the shares of Class C Common Stock or Class D Common Stock, as the case maybe, in accordance with the terms of this Certificate of Incorporation will be made without charge to such holders for any transfer taxes, stamp taxes or duties or other similar tax in respect of the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if any such shares of Class A Common Stock or Class B Common Stock are to be issued in a name other than that of the then record holder of the Class A Common Stock or Class B Common Stock, as the case may be,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18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Subscription Rights.</w:t>
      </w:r>
      <w:r>
        <w:rPr>
          <w:rFonts w:ascii="Arial" w:cs="Arial" w:eastAsia="Arial" w:hAnsi="Arial"/>
          <w:sz w:val="18"/>
          <w:szCs w:val="18"/>
          <w:color w:val="auto"/>
        </w:rPr>
        <w:t xml:space="preserve"> To the extent Class B LLC Units are issued pursuant to the Operating Agreement to (i) any Qualified Stockholder, such Qualified Stockholder shall have the right to subscribe for an equivalent number of shares of Class D Common Stock (subject to adjustment as set forth herein) in exchange for a payment in cash equal to the aggregate par value of such shares of Class D Common Stock or (ii) any stockholder of the Corporation other than a Qualified Stockholder, such stockholder shall have the right to subscribe for an equivalent number of shares of Class B Common Stock (subject to adjustment as set forth herein) in exchange for a payment in cash equal to the aggregate par value of such shares of Class B Common Stock.</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Voluntary Conversion of Class C Common Stock and Class D Common Stock</w:t>
      </w:r>
      <w:r>
        <w:rPr>
          <w:rFonts w:ascii="Arial" w:cs="Arial" w:eastAsia="Arial" w:hAnsi="Arial"/>
          <w:sz w:val="17"/>
          <w:szCs w:val="17"/>
          <w:color w:val="auto"/>
        </w:rPr>
        <w:t>. Each share of Class C Common Stock shall be convertible into one share of Class A Common Stock at the option of the holder thereof at any time upon written notice to the Corporation, and each share of Class D Common Stock shall be convertible into one share of Class B Common Stock at the option of the holder thereof at any time upon written notice to the Corporation; provided that, for the avoidance of doubt, any such holder of shares of Class C Common Stock or Class D Common Stock may in such written notice to the Corporation specify that such conversion into shares of Class A Common Stock or Class B Common Stock, respectively, shall be contingent upon the consummation of one or more sale or other transfer transactions.</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Automatic Conversion of Class C Common Stock and Class D Common Stock.</w:t>
      </w:r>
      <w:r>
        <w:rPr>
          <w:rFonts w:ascii="Arial" w:cs="Arial" w:eastAsia="Arial" w:hAnsi="Arial"/>
          <w:sz w:val="18"/>
          <w:szCs w:val="18"/>
          <w:color w:val="auto"/>
        </w:rPr>
        <w:t xml:space="preserve"> Each share of Class C Common Stock shall automatically, without any further action, convert into one share of Class A Common Stock and each share of Class D Common Stock shall automatically, without any further action, convert into one share of Class B Common Stock, in each case, upon a Transfer, other than a Transfer to a Qualified Stockholder.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references to:</w:t>
      </w:r>
    </w:p>
    <w:p>
      <w:pPr>
        <w:spacing w:after="0" w:line="225" w:lineRule="exact"/>
        <w:rPr>
          <w:sz w:val="20"/>
          <w:szCs w:val="20"/>
          <w:color w:val="auto"/>
        </w:rPr>
      </w:pPr>
    </w:p>
    <w:p>
      <w:pPr>
        <w:jc w:val="both"/>
        <w:ind w:left="660" w:firstLine="1292"/>
        <w:spacing w:after="0" w:line="311" w:lineRule="auto"/>
        <w:tabs>
          <w:tab w:leader="none" w:pos="217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“Convertible Security”</w:t>
      </w:r>
      <w:r>
        <w:rPr>
          <w:rFonts w:ascii="Arial" w:cs="Arial" w:eastAsia="Arial" w:hAnsi="Arial"/>
          <w:sz w:val="16"/>
          <w:szCs w:val="16"/>
          <w:color w:val="auto"/>
        </w:rPr>
        <w:t xml:space="preserve"> shall mean any evidences of indebtedness, shares or other securities, including restricted stock units, convertible into or exchangeable for shares of Class A Common Stock, Class B Common Stock, Class C Common Stock or Class D Common Stock, either directly or indirectly. For the avoidance of doubt, no share of Common Stock shall be deemed to be a Convertible Security.</w:t>
      </w:r>
    </w:p>
    <w:p>
      <w:pPr>
        <w:spacing w:after="0" w:line="148" w:lineRule="exact"/>
        <w:rPr>
          <w:rFonts w:ascii="Arial" w:cs="Arial" w:eastAsia="Arial" w:hAnsi="Arial"/>
          <w:sz w:val="16"/>
          <w:szCs w:val="16"/>
          <w:color w:val="auto"/>
        </w:rPr>
      </w:pPr>
    </w:p>
    <w:p>
      <w:pPr>
        <w:ind w:left="2220" w:hanging="268"/>
        <w:spacing w:after="0"/>
        <w:tabs>
          <w:tab w:leader="none" w:pos="22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“Effectiveness Date”</w:t>
      </w:r>
      <w:r>
        <w:rPr>
          <w:rFonts w:ascii="Arial" w:cs="Arial" w:eastAsia="Arial" w:hAnsi="Arial"/>
          <w:sz w:val="18"/>
          <w:szCs w:val="18"/>
          <w:color w:val="auto"/>
        </w:rPr>
        <w:t xml:space="preserve"> shall mean the date of the filing of this Certificate of Incorporation.</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3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 Family Member” shall mean, with respect to a Qualified Stockholder, a spouse, domestic partner, child, grandchild or other lineal descendant (whether natural or adopted) or spouse of a lineal descendant of such individual, father, father-in-law, mother, mother-in-law, brother, step-brother, sister or step-sister.</w:t>
      </w:r>
    </w:p>
    <w:p>
      <w:pPr>
        <w:spacing w:after="0" w:line="183" w:lineRule="exact"/>
        <w:rPr>
          <w:rFonts w:ascii="Arial" w:cs="Arial" w:eastAsia="Arial" w:hAnsi="Arial"/>
          <w:sz w:val="18"/>
          <w:szCs w:val="18"/>
          <w:color w:val="auto"/>
        </w:rPr>
      </w:pPr>
    </w:p>
    <w:p>
      <w:pPr>
        <w:ind w:left="660" w:firstLine="1292"/>
        <w:spacing w:after="0" w:line="277" w:lineRule="auto"/>
        <w:tabs>
          <w:tab w:leader="none" w:pos="226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rights, options, restricted stock units or warrants to subscribe for, purchase or otherwise acquire shares of Class A Common Stock, Class B Common Stock, Class C Common Stock or Class D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1292"/>
        <w:spacing w:after="0" w:line="254" w:lineRule="auto"/>
        <w:tabs>
          <w:tab w:leader="none" w:pos="157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“Permitted Entity”</w:t>
      </w:r>
      <w:r>
        <w:rPr>
          <w:rFonts w:ascii="Arial" w:cs="Arial" w:eastAsia="Arial" w:hAnsi="Arial"/>
          <w:sz w:val="18"/>
          <w:szCs w:val="18"/>
          <w:color w:val="auto"/>
        </w:rPr>
        <w:t xml:space="preserve"> shall mean, with respect to a Qualified Stockholder, (i) any general partnership, limited partnership, limited liability company, corporation, trust or other entity under the Voting Control of, controlling or under common control with (a) such Qualified Stockholder and/or (b) any other Permitted Entity of such Qualified Stockholder, (ii) solely with respect to a Qualified Stockholder that is a venture capital, private equity or similar private investment fund, any general partner, managing member, officer or director of such Qualified Stockholder or an affiliated investment fund now or hereafter existing that is controlled by one or more general partners or managing members of, or shares the same management or advisory company with, such Qualified Stockholder or (iii) any other corporation, partnership, limited liability company or trust approved by the Board.</w:t>
      </w:r>
    </w:p>
    <w:p>
      <w:pPr>
        <w:spacing w:after="0" w:line="194" w:lineRule="exact"/>
        <w:rPr>
          <w:rFonts w:ascii="Arial" w:cs="Arial" w:eastAsia="Arial" w:hAnsi="Arial"/>
          <w:sz w:val="18"/>
          <w:szCs w:val="18"/>
          <w:color w:val="auto"/>
        </w:rPr>
      </w:pPr>
    </w:p>
    <w:p>
      <w:pPr>
        <w:jc w:val="both"/>
        <w:ind w:firstLine="1292"/>
        <w:spacing w:after="0" w:line="257" w:lineRule="auto"/>
        <w:tabs>
          <w:tab w:leader="none" w:pos="1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Foundation</w:t>
      </w:r>
      <w:r>
        <w:rPr>
          <w:rFonts w:ascii="Arial" w:cs="Arial" w:eastAsia="Arial" w:hAnsi="Arial"/>
          <w:sz w:val="18"/>
          <w:szCs w:val="18"/>
          <w:color w:val="auto"/>
        </w:rPr>
        <w:t>” shall mean, with respect to a Qualified Stockholder, a trust, donor-advised fund or charitable organization or organization that is tax-exempt under Section 501(c)(3) of the Internal Revenue Code of 1986, as amended (the “Code”), so long as such Qualified Stockholder has Voting Control with respect to the shares of Class C Common Stock and Class D Common Stock held by such trust or organization and the Transfer to such trust does not involve any payment of cash, securities, property or other consideration (other than an interest in such trust or organization) to such Qualified Stockholder.</w:t>
      </w:r>
    </w:p>
    <w:p>
      <w:pPr>
        <w:spacing w:after="0" w:line="187" w:lineRule="exact"/>
        <w:rPr>
          <w:rFonts w:ascii="Arial" w:cs="Arial" w:eastAsia="Arial" w:hAnsi="Arial"/>
          <w:sz w:val="18"/>
          <w:szCs w:val="18"/>
          <w:color w:val="auto"/>
        </w:rPr>
      </w:pPr>
    </w:p>
    <w:p>
      <w:pPr>
        <w:jc w:val="both"/>
        <w:ind w:firstLine="1292"/>
        <w:spacing w:after="0" w:line="257" w:lineRule="auto"/>
        <w:tabs>
          <w:tab w:leader="none" w:pos="16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IRA</w:t>
      </w:r>
      <w:r>
        <w:rPr>
          <w:rFonts w:ascii="Arial" w:cs="Arial" w:eastAsia="Arial" w:hAnsi="Arial"/>
          <w:sz w:val="18"/>
          <w:szCs w:val="18"/>
          <w:color w:val="auto"/>
        </w:rPr>
        <w:t xml:space="preserve">” shall mean an Individual Retirement Account, as defined in Section 408(a) of the Code, a “Roth IRA,” as defined in Section 408A(b) of the Code, or a pension, profit sharing, stock bonus or other type of plan or trust of which a Qualified Stockholder is a participant or beneficiary and which satisfies the requirements for qualification under Section 401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Qualified Stockholder has Voting Control with respect to the shares of Class C Common Stock or Class D Common Stock held in such account, plan or trust.</w:t>
      </w:r>
    </w:p>
    <w:p>
      <w:pPr>
        <w:spacing w:after="0" w:line="187" w:lineRule="exact"/>
        <w:rPr>
          <w:rFonts w:ascii="Arial" w:cs="Arial" w:eastAsia="Arial" w:hAnsi="Arial"/>
          <w:sz w:val="18"/>
          <w:szCs w:val="18"/>
          <w:color w:val="auto"/>
        </w:rPr>
      </w:pPr>
    </w:p>
    <w:p>
      <w:pPr>
        <w:jc w:val="both"/>
        <w:ind w:firstLine="1292"/>
        <w:spacing w:after="0" w:line="255" w:lineRule="auto"/>
        <w:tabs>
          <w:tab w:leader="none" w:pos="17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shall mean, and be restricted to, any Transfer of a share of Class C Common Stock or Class D Common Stock (i) by a Qualified Stockholder to (A) any Permitted Trust of such Qualified Stockholder, (B) any Permitted IRA of such Qualified Stockholder, (C) any Permitted Entity of such Qualified Stockholder, (D) any Permitted Foundation of such Qualified Stockholder or (E) any Immediate Family Member of such Qualified Stockholder or (ii) by a Permitted Trust, Permitted IRA, Permitted Entity or Permitted Foundation of a Qualified Stockholder to (A) such Qualified Stockholder or (B) any other Permitted Entity, Permitted Trust, Permitted IRA or Permitted Foundation of such Qualified Stockholder.</w:t>
      </w:r>
    </w:p>
    <w:p>
      <w:pPr>
        <w:spacing w:after="0" w:line="192" w:lineRule="exact"/>
        <w:rPr>
          <w:rFonts w:ascii="Arial" w:cs="Arial" w:eastAsia="Arial" w:hAnsi="Arial"/>
          <w:sz w:val="18"/>
          <w:szCs w:val="18"/>
          <w:color w:val="auto"/>
        </w:rPr>
      </w:pPr>
    </w:p>
    <w:p>
      <w:pPr>
        <w:ind w:left="1600" w:hanging="308"/>
        <w:spacing w:after="0"/>
        <w:tabs>
          <w:tab w:leader="none" w:pos="1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“Permitted Transferee” shall mean a transferee of shares of Class C Common Stock or Class D Common Stock received in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Transfer.</w:t>
      </w:r>
    </w:p>
    <w:p>
      <w:pPr>
        <w:spacing w:after="0" w:line="210" w:lineRule="exact"/>
        <w:rPr>
          <w:rFonts w:ascii="Arial" w:cs="Arial" w:eastAsia="Arial" w:hAnsi="Arial"/>
          <w:sz w:val="16"/>
          <w:szCs w:val="16"/>
          <w:color w:val="auto"/>
        </w:rPr>
      </w:pPr>
    </w:p>
    <w:p>
      <w:pPr>
        <w:jc w:val="both"/>
        <w:ind w:firstLine="1292"/>
        <w:spacing w:after="0" w:line="254" w:lineRule="auto"/>
        <w:tabs>
          <w:tab w:leader="none" w:pos="15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“Permitted Trust” shall mean, with respect to a Qualified Stockholder, (i) a trust for the benefit of such Qualified Stockholder and for the benefit of such Qualified Stockholder and such Qualified Stockholder’s Immediate Family Members, a trust for the benefit of such Qualified Stockholder and/or persons other than such Qualified Stockholder so long as such Qualified Stockholder has Voting Control with respect to the shares of Class C Common Stock and Class D Common Stock held by such trust to such Qualified Stockholder or (iii) a trust under the terms of which such Qualified Stockholder has retained a “qualified interest” within the meaning of §2702(b)(1) of the Code or a reversionary interest so long as such Qualified Stockholder has Voting Control with respect to the shares of Class C Common Stock and Class D Common Stock held by such trust.</w:t>
      </w: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 w:name="page25"/>
    <w:bookmarkEnd w:id="24"/>
    <w:p>
      <w:pPr>
        <w:jc w:val="both"/>
        <w:ind w:left="-460" w:firstLine="1292"/>
        <w:spacing w:after="0" w:line="254" w:lineRule="auto"/>
        <w:tabs>
          <w:tab w:leader="none" w:pos="11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shall mean (i) the record holder of a share of Class C Common Stock or Class D Common Stock as of the Effectiveness Date, (ii) each natural person who, prior to the Effectiveness Date, Transferred shares of capital stock of the Corporation to a Permitted Trust, Permitted IRA, Permitted Entity or Permitted Foundation that is or becomes a Qualified Stockholder, (iii) each natural person who Transferred shares of, or equity awards for, Class C Common Stock or Class D Common Stock (including any Option exercisable or Convertible Security exchangeable for or convertible into shares of Class C Common Stock or Class D Common Stock) to a Permitted Trust, Permitted IRA, Permitted Entity or Permitted Foundation that is or becomes a Qualified Stockholder, (v) a Permitted Transferee and (iv) any natural person or general partnership, limited partnership, limited liability company, corporation, trust or other entity which has Voting Control of a Qualified Stockholder.</w:t>
      </w:r>
    </w:p>
    <w:p>
      <w:pPr>
        <w:spacing w:after="0" w:line="191" w:lineRule="exact"/>
        <w:rPr>
          <w:rFonts w:ascii="Arial" w:cs="Arial" w:eastAsia="Arial" w:hAnsi="Arial"/>
          <w:sz w:val="18"/>
          <w:szCs w:val="18"/>
          <w:color w:val="auto"/>
        </w:rPr>
      </w:pPr>
    </w:p>
    <w:p>
      <w:pPr>
        <w:jc w:val="both"/>
        <w:ind w:left="-460" w:firstLine="1292"/>
        <w:spacing w:after="0" w:line="272" w:lineRule="auto"/>
        <w:tabs>
          <w:tab w:leader="none" w:pos="120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of a share of Class C Common Stock or Class D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C Common Stock or Class D Common Stock to a broker or other nominee that results in a corresponding change in beneficial ownership (and excluding, for example, a transfer to a broker acting in capacity as an agent on behalf of a Qualified Stockholder and not as a principal), or the transfer of, or entering into a binding agreement with respect to, Voting Control over such share by proxy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following shall not be considered a “Transfer” within the meaning of this </w:t>
      </w:r>
      <w:r>
        <w:rPr>
          <w:rFonts w:ascii="Arial" w:cs="Arial" w:eastAsia="Arial" w:hAnsi="Arial"/>
          <w:sz w:val="17"/>
          <w:szCs w:val="17"/>
          <w:u w:val="single" w:color="auto"/>
          <w:color w:val="auto"/>
        </w:rPr>
        <w:t>Section 6.6</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60" w:firstLine="1940"/>
        <w:spacing w:after="0" w:line="277" w:lineRule="auto"/>
        <w:tabs>
          <w:tab w:leader="none" w:pos="173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Corporation at the request of the Board in connection with actions to be taken at an annual or special meeting of stockholders;</w:t>
      </w:r>
    </w:p>
    <w:p>
      <w:pPr>
        <w:spacing w:after="0" w:line="170" w:lineRule="exact"/>
        <w:rPr>
          <w:rFonts w:ascii="Arial" w:cs="Arial" w:eastAsia="Arial" w:hAnsi="Arial"/>
          <w:sz w:val="18"/>
          <w:szCs w:val="18"/>
          <w:color w:val="auto"/>
        </w:rPr>
      </w:pPr>
    </w:p>
    <w:p>
      <w:pPr>
        <w:jc w:val="both"/>
        <w:ind w:left="-460" w:firstLine="1940"/>
        <w:spacing w:after="0" w:line="301" w:lineRule="auto"/>
        <w:tabs>
          <w:tab w:leader="none" w:pos="17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entering into a voting trust, agreement or arrangement (with or without granting a proxy) solely with stockholders who are holders of shares of Class C Common Stock and Class D Common Stock that (A) is disclosed either in a Schedule 13D filed with the Securities and Exchange Commission or in writing to the Secretary of the Corporation and (B) does not involve any payment of cash, securities, property or other consideration to the holder of the shares subject thereto other than the mutual promise to vote shares in a designated manner;</w:t>
      </w:r>
    </w:p>
    <w:p>
      <w:pPr>
        <w:spacing w:after="0" w:line="157" w:lineRule="exact"/>
        <w:rPr>
          <w:rFonts w:ascii="Arial" w:cs="Arial" w:eastAsia="Arial" w:hAnsi="Arial"/>
          <w:sz w:val="16"/>
          <w:szCs w:val="16"/>
          <w:color w:val="auto"/>
        </w:rPr>
      </w:pPr>
    </w:p>
    <w:p>
      <w:pPr>
        <w:ind w:left="-460" w:firstLine="1940"/>
        <w:spacing w:after="0" w:line="277" w:lineRule="auto"/>
        <w:tabs>
          <w:tab w:leader="none" w:pos="17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entering into a voting trust, agreement or arrangement (with or without granting a proxy) pursuant to a written agreement to which the Corporation is a party;</w:t>
      </w:r>
    </w:p>
    <w:p>
      <w:pPr>
        <w:spacing w:after="0" w:line="3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jc w:val="both"/>
        <w:ind w:left="660" w:firstLine="1940"/>
        <w:spacing w:after="0" w:line="259" w:lineRule="auto"/>
        <w:tabs>
          <w:tab w:leader="none" w:pos="28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pledge of shares of Class C Common Stock or Class D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a foreclosure on such shares or other similar action by the pledgee shall constitute a Transfer unless such foreclosure or similar action qualifies as a Permitted Transfer;</w:t>
      </w:r>
    </w:p>
    <w:p>
      <w:pPr>
        <w:spacing w:after="0" w:line="186" w:lineRule="exact"/>
        <w:rPr>
          <w:rFonts w:ascii="Arial" w:cs="Arial" w:eastAsia="Arial" w:hAnsi="Arial"/>
          <w:sz w:val="18"/>
          <w:szCs w:val="18"/>
          <w:color w:val="auto"/>
        </w:rPr>
      </w:pPr>
    </w:p>
    <w:p>
      <w:pPr>
        <w:jc w:val="both"/>
        <w:ind w:left="660" w:firstLine="1940"/>
        <w:spacing w:after="0" w:line="255" w:lineRule="auto"/>
        <w:tabs>
          <w:tab w:leader="none" w:pos="28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fact that, as of the Effectiveness Date or at any time after the Effectiveness Date, the spouse of any holder of shares of Class C Common Stock or Class D Common Stock possesses or obtains an interest in such holder’s shares of Class C Common Stock or Class D Common Stock arising solely by reason of the application of the community property laws of any jurisdiction, so long as no other event or circumstance shall exist or have occurred that constitutes a Transfer of such shares of Class C Common Stock or Class D Common Stock (including a Transfer by operation of law pursuant to a qualified domestic order or in connection with a divorce settlement or any other court order); or</w:t>
      </w:r>
    </w:p>
    <w:p>
      <w:pPr>
        <w:spacing w:after="0" w:line="192" w:lineRule="exact"/>
        <w:rPr>
          <w:rFonts w:ascii="Arial" w:cs="Arial" w:eastAsia="Arial" w:hAnsi="Arial"/>
          <w:sz w:val="18"/>
          <w:szCs w:val="18"/>
          <w:color w:val="auto"/>
        </w:rPr>
      </w:pPr>
    </w:p>
    <w:p>
      <w:pPr>
        <w:jc w:val="both"/>
        <w:ind w:left="660" w:firstLine="1940"/>
        <w:spacing w:after="0" w:line="259" w:lineRule="auto"/>
        <w:tabs>
          <w:tab w:leader="none" w:pos="28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Transfer shall also be deemed to have occurred with respect to a share of Class C Common Stock or Class D Common Stock beneficially held by an entity that is a Permitted Trust, Permitted IRA, Permitted Entity or Permitted Foundation, if there occurs any act or circumstance that causes such entity to no longer be a Permitted Trust, Permitted IRA, Permitted Entity or Permitted Foundation, as of the date that such entity is no longer a Permitted Trust, Permitted IRA, Permitted Entity or Permitted Foundation.</w:t>
      </w:r>
    </w:p>
    <w:p>
      <w:pPr>
        <w:spacing w:after="0" w:line="187" w:lineRule="exact"/>
        <w:rPr>
          <w:sz w:val="20"/>
          <w:szCs w:val="20"/>
          <w:color w:val="auto"/>
        </w:rPr>
      </w:pPr>
    </w:p>
    <w:p>
      <w:pPr>
        <w:jc w:val="both"/>
        <w:ind w:left="660" w:firstLine="1292"/>
        <w:spacing w:after="0" w:line="263" w:lineRule="auto"/>
        <w:tabs>
          <w:tab w:leader="none" w:pos="237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“Voting Control”</w:t>
      </w:r>
      <w:r>
        <w:rPr>
          <w:rFonts w:ascii="Arial" w:cs="Arial" w:eastAsia="Arial" w:hAnsi="Arial"/>
          <w:sz w:val="18"/>
          <w:szCs w:val="18"/>
          <w:color w:val="auto"/>
        </w:rPr>
        <w:t xml:space="preserve"> shall mean, with respect to a share of Class C Common Stock or Class D Common Stock, the power (whether exclusive or shared) to vote or direct the voting of such share by proxy, voting agreement or otherwise. A Qualified Stockholder will be deemed to have Voting Control with respect to shares contributed to a donor-advised fund.</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Number of Directors.</w:t>
      </w:r>
    </w:p>
    <w:p>
      <w:pPr>
        <w:spacing w:after="0" w:line="225" w:lineRule="exact"/>
        <w:rPr>
          <w:sz w:val="20"/>
          <w:szCs w:val="20"/>
          <w:color w:val="auto"/>
        </w:rPr>
      </w:pPr>
    </w:p>
    <w:p>
      <w:pPr>
        <w:jc w:val="both"/>
        <w:ind w:left="660" w:firstLine="1292"/>
        <w:spacing w:after="0" w:line="273" w:lineRule="auto"/>
        <w:tabs>
          <w:tab w:leader="none" w:pos="2181"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business and affairs of the Corporation shall be managed by, or under the direction of, the Board. Unless and except to the extent that the By-laws of the Corporation (as such By-laws may be amended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xml:space="preserve"> shall so require, the election of the directors of the Corporation (the </w:t>
      </w:r>
      <w:r>
        <w:rPr>
          <w:rFonts w:ascii="Arial" w:cs="Arial" w:eastAsia="Arial" w:hAnsi="Arial"/>
          <w:sz w:val="17"/>
          <w:szCs w:val="17"/>
          <w:u w:val="single" w:color="auto"/>
          <w:color w:val="auto"/>
        </w:rPr>
        <w:t>“Directors”)</w:t>
      </w:r>
      <w:r>
        <w:rPr>
          <w:rFonts w:ascii="Arial" w:cs="Arial" w:eastAsia="Arial" w:hAnsi="Arial"/>
          <w:sz w:val="17"/>
          <w:szCs w:val="17"/>
          <w:color w:val="auto"/>
        </w:rPr>
        <w:t xml:space="preserve"> need not be by written ballot. Except as otherwise provided for or fixed pursuant to the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relating to the rights of the holders of any series of Preferred Stock to elect additional Directors, the total number of Directors constituting the entire Board shall, (a) as of the date of this Certificate of Incorporation, initially be seven and (b) thereafter, shall be fixed exclusively by one or more resolutions adopted from time to time by the Board.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left="660" w:firstLine="1292"/>
        <w:spacing w:after="0" w:line="269" w:lineRule="auto"/>
        <w:tabs>
          <w:tab w:leader="none" w:pos="22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During any period when the holders of any series of Preferred Stock have the right to elect additional Directors as provided for or fixed pursuant to the provisions of </w:t>
      </w:r>
      <w:r>
        <w:rPr>
          <w:rFonts w:ascii="Arial" w:cs="Arial" w:eastAsia="Arial" w:hAnsi="Arial"/>
          <w:sz w:val="17"/>
          <w:szCs w:val="17"/>
          <w:u w:val="single" w:color="auto"/>
          <w:color w:val="auto"/>
        </w:rPr>
        <w:t>Section 5.2 (“Preferred Stock Directors”),</w:t>
      </w:r>
      <w:r>
        <w:rPr>
          <w:rFonts w:ascii="Arial" w:cs="Arial" w:eastAsia="Arial" w:hAnsi="Arial"/>
          <w:sz w:val="17"/>
          <w:szCs w:val="17"/>
          <w:color w:val="auto"/>
        </w:rPr>
        <w:t xml:space="preserve"> upon the commencement, and for the duration, of the period during which such right continues: (a) the then total authorized number of Directors shall automatically be increased by such specified number of Preferred Stock Directors, and the holders of such series of Preferred Stock shall be entitled to elect such Preferred Stock Directors pursuant to the provisions of any Certificate of Designation for such series of Preferred Stock; and (b) each such Preferred Stock Director shall serve until such Preferred Stock 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w:t>
      </w:r>
    </w:p>
    <w:p>
      <w:pPr>
        <w:spacing w:after="0" w:line="17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xml:space="preserve"> Subject to any limitations imposed by applicable law and the rights of any one or more series of Preferred Stock then outstanding, newly created directorships resulting from any increase in the authorized number of Directors or any vacancies on the Board resulting from a Director’s death, resignation, disqualification, or removal from office shall, unless the Board determines by resolution that any such vacancies or newly created directorships shall be filled by the stockholders and except as otherwise provided by applicable law, be filled only by the affirmative vote of a majority of the remaining Directors then in office, even if less than a quorum of the Board, and not by the stockholders. Any Director so chosen shall hold office until the next election of Directors and until his or her successor shall be duly elected and qualified or until such Director’s earlier death, disqualification, resignation or removal. No decrease in the authorized number of Directors shall shorten the term of any Director then in office.</w:t>
      </w:r>
    </w:p>
    <w:p>
      <w:pPr>
        <w:spacing w:after="0" w:line="19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xml:space="preserve">. Any Director may resign from office at any time upon notice to the Corporation given in writing or by any electronic transmission permitted by the By-laws. Any such resignation shall be effective upon receipt thereof unless it is specified to be effective at some other time or upon the occurrence of some other event. The Board’s or the Corporation’s acceptance of a resignation shall not be necessary to make it effective. Subject to any limitations imposed by applicable law and except for Preferred Stock Directors,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 In case the Board or any one or more Directors should be so removed, any new Directors shall be elected pursuant to terms of </w:t>
      </w:r>
      <w:r>
        <w:rPr>
          <w:rFonts w:ascii="Arial" w:cs="Arial" w:eastAsia="Arial" w:hAnsi="Arial"/>
          <w:sz w:val="17"/>
          <w:szCs w:val="17"/>
          <w:u w:val="single" w:color="auto"/>
          <w:color w:val="auto"/>
        </w:rPr>
        <w:t>Section 7.2.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840" w:hanging="184"/>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xml:space="preserve"> Subject to, with respect to the Preferred Stock, the terms of any series of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the Corporation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the Corporation must be effected at a duly called annual or special meeting of the stockholders of the Corporation and may not be effected by any consent in lieu of a meeting.</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2"/>
        <w:spacing w:after="0" w:line="263" w:lineRule="auto"/>
        <w:tabs>
          <w:tab w:leader="none" w:pos="21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meeting of stockholders for the election of Directors and for the transaction of such other business as may properly come before the meeting shall be held at such place, if any, on such date, and at such time as the Board shall determine in accordance with the By-laws.</w:t>
      </w:r>
    </w:p>
    <w:p>
      <w:pPr>
        <w:spacing w:after="0" w:line="183" w:lineRule="exact"/>
        <w:rPr>
          <w:rFonts w:ascii="Arial" w:cs="Arial" w:eastAsia="Arial" w:hAnsi="Arial"/>
          <w:sz w:val="18"/>
          <w:szCs w:val="18"/>
          <w:color w:val="auto"/>
        </w:rPr>
      </w:pPr>
    </w:p>
    <w:p>
      <w:pPr>
        <w:jc w:val="both"/>
        <w:ind w:left="660" w:firstLine="1292"/>
        <w:spacing w:after="0" w:line="273" w:lineRule="auto"/>
        <w:tabs>
          <w:tab w:leader="none" w:pos="2231"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Subject to any special rights of the holders of any series of Preferred Stock and the requirements of applicable law, special meetings of stockholders of the Corporation may be called only by the chairperson of the Board, the vice chairperson of the Board, the chief executive officer of the Corporation or at the direction of the Board pursuant to a written resolution adopted by a majority of the total number of Directors that the Corporation would have if there were no vacancies, and the ability of the stockholders or any other Persons to call a special meeting of the stockholders is hereby specifically denied. Any business transacted at any special meeting of stockholders shall be limited to matters relating to the purpose or purposes stated in the notice of meeting.</w:t>
      </w:r>
    </w:p>
    <w:p>
      <w:pPr>
        <w:spacing w:after="0" w:line="177" w:lineRule="exact"/>
        <w:rPr>
          <w:rFonts w:ascii="Arial" w:cs="Arial" w:eastAsia="Arial" w:hAnsi="Arial"/>
          <w:sz w:val="17"/>
          <w:szCs w:val="17"/>
          <w:color w:val="auto"/>
        </w:rPr>
      </w:pPr>
    </w:p>
    <w:p>
      <w:pPr>
        <w:ind w:left="660" w:firstLine="1292"/>
        <w:spacing w:after="0" w:line="277" w:lineRule="auto"/>
        <w:tabs>
          <w:tab w:leader="none" w:pos="22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Corporation shall be given in the manner provided in the By-laws.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Cumulative Voting</w:t>
      </w:r>
      <w:r>
        <w:rPr>
          <w:rFonts w:ascii="Arial" w:cs="Arial" w:eastAsia="Arial" w:hAnsi="Arial"/>
          <w:sz w:val="18"/>
          <w:szCs w:val="18"/>
          <w:color w:val="auto"/>
        </w:rPr>
        <w:t>. There shall be no cumulative voting in the election of Directors.</w:t>
      </w:r>
    </w:p>
    <w:p>
      <w:pPr>
        <w:spacing w:after="0" w:line="225" w:lineRule="exact"/>
        <w:rPr>
          <w:sz w:val="20"/>
          <w:szCs w:val="20"/>
          <w:color w:val="auto"/>
        </w:rPr>
      </w:pPr>
    </w:p>
    <w:p>
      <w:pPr>
        <w:ind w:left="840" w:hanging="184"/>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Limited Liability</w:t>
      </w:r>
      <w:r>
        <w:rPr>
          <w:rFonts w:ascii="Arial" w:cs="Arial" w:eastAsia="Arial" w:hAnsi="Arial"/>
          <w:sz w:val="18"/>
          <w:szCs w:val="18"/>
          <w:color w:val="auto"/>
        </w:rPr>
        <w:t xml:space="preserve">. No Director shall have any personal liability to the Corporation or its stockholders for monetary damages for any breach of fiduciary duty as a director, except to the extent such exception from liability or limitation thereof is not permitted under the General Corporation Law as the same exists or hereafter may be amended to expand the scope of exculpation as permitted under the General Corporation Law. Without limiting the effect of the preceding sentence, if the General Corporation Law is hereafter amended to authorize further elimination or limitation of the liability of Directors, then the liability of a Director shall be eliminated or limited to the fullest extent permitted by the General Corporation Law, as so amended. Neither any amendment nor repeal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nor the adoption of any provision in this Certificate of Incorporation inconsistent with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w:t>
      </w:r>
      <w:r>
        <w:rPr>
          <w:rFonts w:ascii="Arial" w:cs="Arial" w:eastAsia="Arial" w:hAnsi="Arial"/>
          <w:sz w:val="18"/>
          <w:szCs w:val="18"/>
          <w:color w:val="auto"/>
        </w:rPr>
        <w:t xml:space="preserve"> shall eliminate, reduce or otherwise adversely affect any limitation on personal liability of a Director existing at or prior to the time of such amendment, repeal or adoption.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296"/>
        <w:spacing w:after="0" w:line="25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xml:space="preserve"> To the fullest extent permitted by applicable law, the Corporation shall have the power to provide indemnification of (and advancement of expenses to) Directors, officers, employees and agents of the Corporation (and any other persons to which applicable law permits the Corporation to provide indemnification) through By-law provisions, agreements with such Directors, officers, employees, agents or other persons, vote of stockholders or disinterested directors or otherwise in excess of the indemnification and advancement otherwise permitted by such applicable law. Any amendment, repeal or modification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only be prospective and shall not affect the rights or protections or increase the liability of any Director under this Section 9.2 in effect at the time of the alleged occurrence of any act or omission to act giving rise to liability or indemnification.</w:t>
      </w:r>
    </w:p>
    <w:p>
      <w:pPr>
        <w:spacing w:after="0" w:line="19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General Corporation Law.</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and authority conferred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9 shall not be exclusive of any other right that any Person may otherwise have or hereafter acquire.</w:t>
      </w:r>
    </w:p>
    <w:p>
      <w:pPr>
        <w:spacing w:after="0" w:line="170" w:lineRule="exact"/>
        <w:rPr>
          <w:sz w:val="20"/>
          <w:szCs w:val="20"/>
          <w:color w:val="auto"/>
        </w:rPr>
      </w:pPr>
    </w:p>
    <w:p>
      <w:pPr>
        <w:jc w:val="both"/>
        <w:ind w:firstLine="656"/>
        <w:spacing w:after="0" w:line="259" w:lineRule="auto"/>
        <w:tabs>
          <w:tab w:leader="none" w:pos="9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Adoption, Amendment or Repeal of By-Laws.</w:t>
      </w:r>
      <w:r>
        <w:rPr>
          <w:rFonts w:ascii="Arial" w:cs="Arial" w:eastAsia="Arial" w:hAnsi="Arial"/>
          <w:sz w:val="18"/>
          <w:szCs w:val="18"/>
          <w:color w:val="auto"/>
        </w:rPr>
        <w:t xml:space="preserve"> In furtherance and not in limitation of the powers conferred by law, the Board is expressly authorized to adopt, alter, amend or repeal the By-laws. Any adoption, alteration, amendment or repeal of the By-laws by the Board shall require the approval of a majority of the authorized number of Directors. The stockholders of the Corporation shall also have power to adopt, alter, amend or repeal the By-laws.</w:t>
      </w:r>
    </w:p>
    <w:p>
      <w:pPr>
        <w:spacing w:after="0" w:line="186" w:lineRule="exact"/>
        <w:rPr>
          <w:rFonts w:ascii="Arial" w:cs="Arial" w:eastAsia="Arial" w:hAnsi="Arial"/>
          <w:sz w:val="18"/>
          <w:szCs w:val="18"/>
          <w:color w:val="auto"/>
        </w:rPr>
      </w:pPr>
    </w:p>
    <w:p>
      <w:pPr>
        <w:jc w:val="both"/>
        <w:ind w:firstLine="656"/>
        <w:spacing w:after="0" w:line="301" w:lineRule="auto"/>
        <w:tabs>
          <w:tab w:leader="none" w:pos="91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Adoption Amendment or Repeal of Certificate of Incorporation</w:t>
      </w:r>
      <w:r>
        <w:rPr>
          <w:rFonts w:ascii="Arial" w:cs="Arial" w:eastAsia="Arial" w:hAnsi="Arial"/>
          <w:sz w:val="16"/>
          <w:szCs w:val="16"/>
          <w:color w:val="auto"/>
        </w:rPr>
        <w:t>. Subject to Article 1 the Corporation reserves the right to adopt, amend, alter, change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Incorporation in its present form or as hereafter amended, are granted and held subject to this reservation.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Forum for Adjudication of Disputes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12.1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the Corporation; (ii) any action, suit or proceeding (including any class action) asserting a claim of breach of a fiduciary duty owed by any current or former director, officer, other employee, agent or stockholder of the Corporation to the Corporation or the Corporation’s stockholders; (iii) any action, suit or proceeding (including any class action) asserting a claim against the Corporation or any current or former director, officer, other employee, agent or stockholder of the Corporation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Corporation or any director, officer or other employee of the Corporation governed by the internal affairs doctrine, in all cases to the fullest extent permitted by law and subject to the court’s having personal jurisdiction over the indispensable parties named as defendants. This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shall not apply to suits brought to enforce a duty or liability created by the Securities Exchange Act of 1934, as amended, or any other claim for which the federal courts have exclusive jurisdiction.</w:t>
      </w:r>
    </w:p>
    <w:p>
      <w:pPr>
        <w:spacing w:after="0" w:line="16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12.2 If any action the subject matter of which is within the scope of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is filed in a court other than a court located within the State of Delaware (a “Foreign Action”) in the name of any stockholder of the Corporation,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(an “Enforcement Action”) and (ii) having service of process made upon such stockholder in any such Enforcement Action by service upon such stockholder’s counsel in the Foreign Action as agent for such stockholder.</w:t>
      </w:r>
    </w:p>
    <w:p>
      <w:pPr>
        <w:spacing w:after="0" w:line="188"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12.3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12.4 Any person or entity purchasing, holding, owning or otherwise acquiring any interest in any security of the Corporation shall be deemed to have notice of and to have consented to the provisions of this </w:t>
      </w:r>
      <w:r>
        <w:rPr>
          <w:rFonts w:ascii="Arial" w:cs="Arial" w:eastAsia="Arial" w:hAnsi="Arial"/>
          <w:sz w:val="18"/>
          <w:szCs w:val="18"/>
          <w:u w:val="single" w:color="auto"/>
          <w:color w:val="auto"/>
        </w:rPr>
        <w:t>Article 12.</w:t>
      </w:r>
    </w:p>
    <w:p>
      <w:pPr>
        <w:spacing w:after="0" w:line="170" w:lineRule="exact"/>
        <w:rPr>
          <w:sz w:val="20"/>
          <w:szCs w:val="20"/>
          <w:color w:val="auto"/>
        </w:rPr>
      </w:pPr>
    </w:p>
    <w:p>
      <w:pPr>
        <w:jc w:val="both"/>
        <w:ind w:firstLine="656"/>
        <w:spacing w:after="0" w:line="271" w:lineRule="auto"/>
        <w:tabs>
          <w:tab w:leader="none" w:pos="91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56"/>
        <w:spacing w:after="0" w:line="291" w:lineRule="auto"/>
        <w:tabs>
          <w:tab w:leader="none" w:pos="91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Corporate Opportunity.</w:t>
      </w:r>
      <w:r>
        <w:rPr>
          <w:rFonts w:ascii="Arial" w:cs="Arial" w:eastAsia="Arial" w:hAnsi="Arial"/>
          <w:sz w:val="16"/>
          <w:szCs w:val="16"/>
          <w:color w:val="auto"/>
        </w:rPr>
        <w:t xml:space="preserve"> To the fullest extent allowed by law,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or presented to, or acquired or developed by such person solely in his or her capacity as a Director or officer of the Corporation and (i) such opportunity is one the Corporation is legally and contractually permitted to undertake and would otherwise be reasonable for the Corporation to pursue and (ii) such Director or officer is permitted to refer that opportunity to the Corporation without violating any legal obligation.</w:t>
      </w:r>
    </w:p>
    <w:p>
      <w:pPr>
        <w:spacing w:after="0" w:line="166" w:lineRule="exact"/>
        <w:rPr>
          <w:rFonts w:ascii="Arial" w:cs="Arial" w:eastAsia="Arial" w:hAnsi="Arial"/>
          <w:sz w:val="16"/>
          <w:szCs w:val="16"/>
          <w:color w:val="auto"/>
        </w:rPr>
      </w:pPr>
    </w:p>
    <w:p>
      <w:pPr>
        <w:ind w:firstLine="656"/>
        <w:spacing w:after="0" w:line="277" w:lineRule="auto"/>
        <w:tabs>
          <w:tab w:leader="none" w:pos="91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Certificate of Incorporation, unless the context otherwise requires or as set forth in another Article or Section of this Certificate of Incorporation, the term:</w:t>
      </w:r>
    </w:p>
    <w:p>
      <w:pPr>
        <w:spacing w:after="0" w:line="170" w:lineRule="exact"/>
        <w:rPr>
          <w:rFonts w:ascii="Arial" w:cs="Arial" w:eastAsia="Arial" w:hAnsi="Arial"/>
          <w:sz w:val="18"/>
          <w:szCs w:val="18"/>
          <w:color w:val="auto"/>
        </w:rPr>
      </w:pPr>
    </w:p>
    <w:p>
      <w:pPr>
        <w:jc w:val="both"/>
        <w:ind w:left="660" w:firstLine="1292"/>
        <w:spacing w:after="0" w:line="257" w:lineRule="auto"/>
        <w:tabs>
          <w:tab w:leader="none" w:pos="221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(including any representatives of such stockholder serving on the Board).</w:t>
      </w:r>
    </w:p>
    <w:p>
      <w:pPr>
        <w:spacing w:after="0" w:line="187" w:lineRule="exact"/>
        <w:rPr>
          <w:rFonts w:ascii="Arial" w:cs="Arial" w:eastAsia="Arial" w:hAnsi="Arial"/>
          <w:sz w:val="18"/>
          <w:szCs w:val="18"/>
          <w:color w:val="auto"/>
        </w:rPr>
      </w:pPr>
    </w:p>
    <w:p>
      <w:pPr>
        <w:ind w:left="2200" w:hanging="248"/>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“Board” is defined in </w:t>
      </w:r>
      <w:r>
        <w:rPr>
          <w:rFonts w:ascii="Arial" w:cs="Arial" w:eastAsia="Arial" w:hAnsi="Arial"/>
          <w:sz w:val="18"/>
          <w:szCs w:val="18"/>
          <w:u w:val="single" w:color="auto"/>
          <w:color w:val="auto"/>
        </w:rPr>
        <w:t>Section 5.1(ii)(1).</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“By-laws” is defined in Section 7.1(f).</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“Certificate of Designation” is defined in Section 5.2(a).</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“Class A LLC Unit”</w:t>
      </w:r>
      <w:r>
        <w:rPr>
          <w:rFonts w:ascii="Arial" w:cs="Arial" w:eastAsia="Arial" w:hAnsi="Arial"/>
          <w:sz w:val="16"/>
          <w:szCs w:val="16"/>
          <w:color w:val="auto"/>
        </w:rPr>
        <w:t xml:space="preserve"> means a unit of Opal Fuels LLC designated as a “Class A Unit” pursuant to the Operating Agreement.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1544" w:hanging="248"/>
        <w:spacing w:after="0"/>
        <w:tabs>
          <w:tab w:leader="none" w:pos="15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“Class B LLC Unit</w:t>
      </w:r>
      <w:r>
        <w:rPr>
          <w:rFonts w:ascii="Arial" w:cs="Arial" w:eastAsia="Arial" w:hAnsi="Arial"/>
          <w:sz w:val="16"/>
          <w:szCs w:val="16"/>
          <w:color w:val="auto"/>
        </w:rPr>
        <w:t>” means a unit of Opal Fuels LLC designated as a “Class B Unit” pursuant to the Operating Agreement.</w:t>
      </w:r>
    </w:p>
    <w:p>
      <w:pPr>
        <w:spacing w:after="0" w:line="248" w:lineRule="exact"/>
        <w:rPr>
          <w:rFonts w:ascii="Arial" w:cs="Arial" w:eastAsia="Arial" w:hAnsi="Arial"/>
          <w:sz w:val="16"/>
          <w:szCs w:val="16"/>
          <w:color w:val="auto"/>
        </w:rPr>
      </w:pPr>
    </w:p>
    <w:p>
      <w:pPr>
        <w:ind w:left="1504" w:hanging="208"/>
        <w:spacing w:after="0"/>
        <w:tabs>
          <w:tab w:leader="none" w:pos="150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1504" w:hanging="208"/>
        <w:spacing w:after="0"/>
        <w:tabs>
          <w:tab w:leader="none" w:pos="150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jc w:val="both"/>
        <w:ind w:left="4" w:firstLine="1292"/>
        <w:spacing w:after="0" w:line="286" w:lineRule="auto"/>
        <w:tabs>
          <w:tab w:leader="none" w:pos="1515"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xml:space="preserve"> (including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“controlled”),</w:t>
      </w:r>
      <w:r>
        <w:rPr>
          <w:rFonts w:ascii="Arial" w:cs="Arial" w:eastAsia="Arial" w:hAnsi="Arial"/>
          <w:sz w:val="17"/>
          <w:szCs w:val="17"/>
          <w:color w:val="auto"/>
        </w:rPr>
        <w:t xml:space="preserve">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65" w:lineRule="exact"/>
        <w:rPr>
          <w:rFonts w:ascii="Arial" w:cs="Arial" w:eastAsia="Arial" w:hAnsi="Arial"/>
          <w:sz w:val="17"/>
          <w:szCs w:val="17"/>
          <w:color w:val="auto"/>
        </w:rPr>
      </w:pPr>
    </w:p>
    <w:p>
      <w:pPr>
        <w:ind w:left="1604" w:hanging="308"/>
        <w:spacing w:after="0"/>
        <w:tabs>
          <w:tab w:leader="none" w:pos="160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Section 1.</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Directors</w:t>
      </w:r>
      <w:r>
        <w:rPr>
          <w:rFonts w:ascii="Arial" w:cs="Arial" w:eastAsia="Arial" w:hAnsi="Arial"/>
          <w:sz w:val="18"/>
          <w:szCs w:val="18"/>
          <w:color w:val="auto"/>
        </w:rPr>
        <w:t>” is defined in Section 7.1(i).</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Action</w:t>
      </w:r>
      <w:r>
        <w:rPr>
          <w:rFonts w:ascii="Arial" w:cs="Arial" w:eastAsia="Arial" w:hAnsi="Arial"/>
          <w:sz w:val="18"/>
          <w:szCs w:val="18"/>
          <w:color w:val="auto"/>
        </w:rPr>
        <w:t>” is defined in Section 12.2.</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Action</w:t>
      </w:r>
      <w:r>
        <w:rPr>
          <w:rFonts w:ascii="Arial" w:cs="Arial" w:eastAsia="Arial" w:hAnsi="Arial"/>
          <w:sz w:val="18"/>
          <w:szCs w:val="18"/>
          <w:color w:val="auto"/>
        </w:rPr>
        <w:t>” is defined in Section 12.2.</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“General Corporation Law”</w:t>
      </w:r>
      <w:r>
        <w:rPr>
          <w:rFonts w:ascii="Arial" w:cs="Arial" w:eastAsia="Arial" w:hAnsi="Arial"/>
          <w:sz w:val="17"/>
          <w:szCs w:val="17"/>
          <w:color w:val="auto"/>
        </w:rPr>
        <w:t xml:space="preserve"> means the General Corporation Law of the State of Delaware, as from time to time in effect.</w:t>
      </w:r>
    </w:p>
    <w:p>
      <w:pPr>
        <w:spacing w:after="0" w:line="236" w:lineRule="exact"/>
        <w:rPr>
          <w:rFonts w:ascii="Arial" w:cs="Arial" w:eastAsia="Arial" w:hAnsi="Arial"/>
          <w:sz w:val="17"/>
          <w:szCs w:val="17"/>
          <w:color w:val="auto"/>
        </w:rPr>
      </w:pPr>
    </w:p>
    <w:p>
      <w:pPr>
        <w:ind w:left="1524" w:hanging="228"/>
        <w:spacing w:after="0"/>
        <w:tabs>
          <w:tab w:leader="none" w:pos="1524"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“Opal Fuels LLC”</w:t>
      </w:r>
      <w:r>
        <w:rPr>
          <w:rFonts w:ascii="Arial" w:cs="Arial" w:eastAsia="Arial" w:hAnsi="Arial"/>
          <w:sz w:val="18"/>
          <w:szCs w:val="18"/>
          <w:color w:val="auto"/>
        </w:rPr>
        <w:t xml:space="preserve"> means Opal Fuels LLC, a Delaware limited liability company or any successor thereto.</w:t>
      </w:r>
    </w:p>
    <w:p>
      <w:pPr>
        <w:spacing w:after="0" w:line="225" w:lineRule="exact"/>
        <w:rPr>
          <w:rFonts w:ascii="Arial" w:cs="Arial" w:eastAsia="Arial" w:hAnsi="Arial"/>
          <w:sz w:val="18"/>
          <w:szCs w:val="18"/>
          <w:color w:val="auto"/>
        </w:rPr>
      </w:pPr>
    </w:p>
    <w:p>
      <w:pPr>
        <w:jc w:val="both"/>
        <w:ind w:left="4" w:firstLine="1292"/>
        <w:spacing w:after="0" w:line="286" w:lineRule="auto"/>
        <w:tabs>
          <w:tab w:leader="none" w:pos="1535"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“Operating Agreement”</w:t>
      </w:r>
      <w:r>
        <w:rPr>
          <w:rFonts w:ascii="Arial" w:cs="Arial" w:eastAsia="Arial" w:hAnsi="Arial"/>
          <w:sz w:val="17"/>
          <w:szCs w:val="17"/>
          <w:color w:val="auto"/>
        </w:rPr>
        <w:t xml:space="preserve"> means the Second Amended and Restated Operating Agreement of Opal Fuels LLC, dated as of [.], 2022, by and among the Corporation, the Post-Acquisition LLC Members and the other Persons that may become parties thereto from time to time, as the same may be amended, restated, supplemented and/or otherwise modified, from time to time.</w:t>
      </w:r>
    </w:p>
    <w:p>
      <w:pPr>
        <w:spacing w:after="0" w:line="165" w:lineRule="exact"/>
        <w:rPr>
          <w:rFonts w:ascii="Arial" w:cs="Arial" w:eastAsia="Arial" w:hAnsi="Arial"/>
          <w:sz w:val="17"/>
          <w:szCs w:val="17"/>
          <w:color w:val="auto"/>
        </w:rPr>
      </w:pPr>
    </w:p>
    <w:p>
      <w:pPr>
        <w:ind w:left="4" w:firstLine="1292"/>
        <w:spacing w:after="0" w:line="277" w:lineRule="auto"/>
        <w:tabs>
          <w:tab w:leader="none" w:pos="1515"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Class B LLC Unit, together with one share of Class B Common Stock or one share of Class D Common Stock, as the case may be, subject to adjustment pursuant to Article XI of the Operating Agreement.</w:t>
      </w:r>
    </w:p>
    <w:p>
      <w:pPr>
        <w:spacing w:after="0" w:line="170" w:lineRule="exact"/>
        <w:rPr>
          <w:rFonts w:ascii="Arial" w:cs="Arial" w:eastAsia="Arial" w:hAnsi="Arial"/>
          <w:sz w:val="18"/>
          <w:szCs w:val="18"/>
          <w:color w:val="auto"/>
        </w:rPr>
      </w:pPr>
    </w:p>
    <w:p>
      <w:pPr>
        <w:ind w:left="4" w:firstLine="1292"/>
        <w:spacing w:after="0" w:line="277" w:lineRule="auto"/>
        <w:tabs>
          <w:tab w:leader="none" w:pos="156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xml:space="preserve"> means any individual, partnership, firm, corporation, limited liability company, association, trust, unincorporated organization or other entity.</w:t>
      </w:r>
    </w:p>
    <w:p>
      <w:pPr>
        <w:spacing w:after="0" w:line="170" w:lineRule="exact"/>
        <w:rPr>
          <w:rFonts w:ascii="Arial" w:cs="Arial" w:eastAsia="Arial" w:hAnsi="Arial"/>
          <w:sz w:val="18"/>
          <w:szCs w:val="18"/>
          <w:color w:val="auto"/>
        </w:rPr>
      </w:pPr>
    </w:p>
    <w:p>
      <w:pPr>
        <w:ind w:left="1544" w:hanging="248"/>
        <w:spacing w:after="0"/>
        <w:tabs>
          <w:tab w:leader="none" w:pos="1544"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“Post-Acquisition LLC Members”</w:t>
      </w:r>
      <w:r>
        <w:rPr>
          <w:rFonts w:ascii="Arial" w:cs="Arial" w:eastAsia="Arial" w:hAnsi="Arial"/>
          <w:sz w:val="16"/>
          <w:szCs w:val="16"/>
          <w:color w:val="auto"/>
        </w:rPr>
        <w:t xml:space="preserve"> means those members of Opal Fuels LLC, as set forth in the Operating Agreement, as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date thereof.</w:t>
      </w:r>
    </w:p>
    <w:p>
      <w:pPr>
        <w:spacing w:after="0" w:line="210" w:lineRule="exact"/>
        <w:rPr>
          <w:rFonts w:ascii="Arial" w:cs="Arial" w:eastAsia="Arial" w:hAnsi="Arial"/>
          <w:sz w:val="16"/>
          <w:szCs w:val="16"/>
          <w:color w:val="auto"/>
        </w:rPr>
      </w:pPr>
    </w:p>
    <w:p>
      <w:pPr>
        <w:ind w:left="1584" w:hanging="288"/>
        <w:spacing w:after="0"/>
        <w:tabs>
          <w:tab w:leader="none" w:pos="158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“Preferred Stock Directors” is defined in </w:t>
      </w:r>
      <w:r>
        <w:rPr>
          <w:rFonts w:ascii="Arial" w:cs="Arial" w:eastAsia="Arial" w:hAnsi="Arial"/>
          <w:sz w:val="18"/>
          <w:szCs w:val="18"/>
          <w:u w:val="single" w:color="auto"/>
          <w:color w:val="auto"/>
        </w:rPr>
        <w:t>Section 7.1(ii).</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“Stock Adjustment” is defined in Section 5.1(ii)(3).</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Sole Incorporator.</w:t>
      </w:r>
      <w:r>
        <w:rPr>
          <w:rFonts w:ascii="Arial" w:cs="Arial" w:eastAsia="Arial" w:hAnsi="Arial"/>
          <w:sz w:val="18"/>
          <w:szCs w:val="18"/>
          <w:color w:val="auto"/>
        </w:rPr>
        <w:t xml:space="preserve"> The name and mailing address of the sole incorporator of the Corporation are:</w:t>
      </w:r>
    </w:p>
    <w:p>
      <w:pPr>
        <w:spacing w:after="0" w:line="221"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Sherie Hollinger</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609 Main St</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0"/>
          <w:szCs w:val="20"/>
          <w:color w:val="auto"/>
        </w:rPr>
      </w:pPr>
    </w:p>
    <w:p>
      <w:pPr>
        <w:ind w:left="3384"/>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2" w:name="page33"/>
    <w:bookmarkEnd w:id="32"/>
    <w:p>
      <w:pPr>
        <w:jc w:val="both"/>
        <w:ind w:firstLine="648"/>
        <w:spacing w:after="0" w:line="263" w:lineRule="auto"/>
        <w:rPr>
          <w:sz w:val="20"/>
          <w:szCs w:val="20"/>
          <w:color w:val="auto"/>
        </w:rPr>
      </w:pPr>
      <w:r>
        <w:rPr>
          <w:rFonts w:ascii="Arial" w:cs="Arial" w:eastAsia="Arial" w:hAnsi="Arial"/>
          <w:sz w:val="18"/>
          <w:szCs w:val="18"/>
          <w:color w:val="auto"/>
        </w:rPr>
        <w:t>THE UNDERSIGNED, being the sole incorporator hereinabove named, makes and files this Certificate of Incorporation, and does hereby declare and certify that said instrument is its act and deed and that the facts stated herein are true, and accordingly has executed this Certificate of Incorporation this 21st day of July, 2022.</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KIRKLAND &amp; ELLIS LLP</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/s/Sherie Hollinger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Sherie Hollinger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Certificate of Incorporation]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151765</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these By-laws, unless the context otherwise requires, the term: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Assistant Secretary</w:t>
      </w:r>
      <w:r>
        <w:rPr>
          <w:rFonts w:ascii="Arial" w:cs="Arial" w:eastAsia="Arial" w:hAnsi="Arial"/>
          <w:sz w:val="18"/>
          <w:szCs w:val="18"/>
          <w:color w:val="auto"/>
        </w:rPr>
        <w:t>” means an Assistant Secretary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Assistant Treasurer</w:t>
      </w:r>
      <w:r>
        <w:rPr>
          <w:rFonts w:ascii="Arial" w:cs="Arial" w:eastAsia="Arial" w:hAnsi="Arial"/>
          <w:sz w:val="18"/>
          <w:szCs w:val="18"/>
          <w:color w:val="auto"/>
        </w:rPr>
        <w:t>” means an Assistant Treasurer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these By-laws of the Corporation, as amended and restated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the Corporation,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Chairman</w:t>
      </w:r>
      <w:r>
        <w:rPr>
          <w:rFonts w:ascii="Arial" w:cs="Arial" w:eastAsia="Arial" w:hAnsi="Arial"/>
          <w:sz w:val="18"/>
          <w:szCs w:val="18"/>
          <w:color w:val="auto"/>
        </w:rPr>
        <w:t>” means the Chairman of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means the Chief Executive Officer of the Corporation or if there are Co-Chief Executive Officers, the term “Chief Executive Officer” shall mean any Co-Chief Executive Officer.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and “controlled”) means, with respect to the relationship between or among two or more persons, the possession, directly or indirectly, of the power to direct or cause the direction of the affairs or management of such subject person, whether through the ownership of voting securities, as trustee or executor, by contract or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OPAL Fuels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2.2(d)(iii)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Directors</w:t>
      </w:r>
      <w:r>
        <w:rPr>
          <w:rFonts w:ascii="Arial" w:cs="Arial" w:eastAsia="Arial" w:hAnsi="Arial"/>
          <w:sz w:val="18"/>
          <w:szCs w:val="18"/>
          <w:color w:val="auto"/>
        </w:rPr>
        <w:t>” means the directors of the Corporation.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adjudication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means the General Corporation Law of the State of Delaware,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Independent Director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Nominating Stockholder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Business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Nomination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3.3(d)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Record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 of the Corporation</w:t>
      </w:r>
      <w:r>
        <w:rPr>
          <w:rFonts w:ascii="Arial" w:cs="Arial" w:eastAsia="Arial" w:hAnsi="Arial"/>
          <w:sz w:val="18"/>
          <w:szCs w:val="18"/>
          <w:color w:val="auto"/>
        </w:rPr>
        <w:t>” means the executive office of the Corporation, anything in Section 131 of the General Corporation Law to the contrary notwithstanding.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President</w:t>
      </w:r>
      <w:r>
        <w:rPr>
          <w:rFonts w:ascii="Arial" w:cs="Arial" w:eastAsia="Arial" w:hAnsi="Arial"/>
          <w:sz w:val="18"/>
          <w:szCs w:val="18"/>
          <w:color w:val="auto"/>
        </w:rPr>
        <w:t>” means the President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Proponent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Disclosure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w:t>
      </w:r>
      <w:r>
        <w:rPr>
          <w:rFonts w:ascii="Arial" w:cs="Arial" w:eastAsia="Arial" w:hAnsi="Arial"/>
          <w:sz w:val="18"/>
          <w:szCs w:val="18"/>
          <w:color w:val="auto"/>
        </w:rPr>
        <w:t>” means the Secretary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Associated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Business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2.2(d)(iii)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Nominees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means the stockholders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Treasurer</w:t>
      </w:r>
      <w:r>
        <w:rPr>
          <w:rFonts w:ascii="Arial" w:cs="Arial" w:eastAsia="Arial" w:hAnsi="Arial"/>
          <w:sz w:val="18"/>
          <w:szCs w:val="18"/>
          <w:color w:val="auto"/>
        </w:rPr>
        <w:t>” means the Treasurer of the Corporation.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Chairman</w:t>
      </w:r>
      <w:r>
        <w:rPr>
          <w:rFonts w:ascii="Arial" w:cs="Arial" w:eastAsia="Arial" w:hAnsi="Arial"/>
          <w:sz w:val="18"/>
          <w:szCs w:val="18"/>
          <w:color w:val="auto"/>
        </w:rPr>
        <w:t>” means a Vice Chairman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President</w:t>
      </w:r>
      <w:r>
        <w:rPr>
          <w:rFonts w:ascii="Arial" w:cs="Arial" w:eastAsia="Arial" w:hAnsi="Arial"/>
          <w:sz w:val="18"/>
          <w:szCs w:val="18"/>
          <w:color w:val="auto"/>
        </w:rPr>
        <w:t>” means a Vice President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Commitment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Record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undertaking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Place of Meetings</w:t>
      </w:r>
      <w:r>
        <w:rPr>
          <w:rFonts w:ascii="Arial" w:cs="Arial" w:eastAsia="Arial" w:hAnsi="Arial"/>
          <w:sz w:val="18"/>
          <w:szCs w:val="18"/>
          <w:color w:val="auto"/>
        </w:rPr>
        <w:t>. Meetings of Stockholders may be held at any place, either within or without the State of Delaware, at such place</w:t>
      </w:r>
      <w:r>
        <w:rPr>
          <w:rFonts w:ascii="Arial" w:cs="Arial" w:eastAsia="Arial" w:hAnsi="Arial"/>
          <w:sz w:val="18"/>
          <w:szCs w:val="18"/>
          <w:b w:val="1"/>
          <w:bCs w:val="1"/>
          <w:color w:val="auto"/>
        </w:rPr>
        <w:t xml:space="preserve"> </w:t>
      </w:r>
      <w:r>
        <w:rPr>
          <w:rFonts w:ascii="Arial" w:cs="Arial" w:eastAsia="Arial" w:hAnsi="Arial"/>
          <w:sz w:val="18"/>
          <w:szCs w:val="18"/>
          <w:color w:val="auto"/>
        </w:rPr>
        <w:t>or solely by means of remote communication or otherwise, as may be designated by the Board from time to time. The Board may, in its sole discretion, determine that the meeting shall not be held at any place, but may instead be held solely by means of remote communication as provided under the General Corporation Law.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Annual Meetings; Stockholder Proposals</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4"/>
        <w:spacing w:after="0" w:line="263" w:lineRule="auto"/>
        <w:tabs>
          <w:tab w:leader="none" w:pos="15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meeting of Stockholders for the election of Directors and other business shall be held annually on a date and at a time as may be designated by the Board from time to time. The Board may postpone or reschedule any annual meeting of Stockholders previously scheduled by the Board.</w:t>
      </w:r>
    </w:p>
    <w:p>
      <w:pPr>
        <w:spacing w:after="0" w:line="183" w:lineRule="exact"/>
        <w:rPr>
          <w:rFonts w:ascii="Arial" w:cs="Arial" w:eastAsia="Arial" w:hAnsi="Arial"/>
          <w:sz w:val="18"/>
          <w:szCs w:val="18"/>
          <w:color w:val="auto"/>
        </w:rPr>
      </w:pPr>
    </w:p>
    <w:p>
      <w:pPr>
        <w:jc w:val="both"/>
        <w:ind w:left="660" w:firstLine="644"/>
        <w:spacing w:after="0" w:line="288" w:lineRule="auto"/>
        <w:tabs>
          <w:tab w:leader="none" w:pos="1557"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At an annual meeting of Stockholders, only business (other than business relating to the nomination or election of Directors, which is governed by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that has been properly brought before the Stockholder annual meeting in accordance with the procedures set forth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conducted. To be properly brought before an annual meeting of Stockholders, such business must be brought before the meeting (i) by or at the direction of the Board or any committee thereof or (ii) by a Stockholder who (A) was a Stockholder of record of the Corporation when the notice required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is delivered to the Secretary and at the time of the meeting, (B) is entitled to vote at the meeting and (C) complies with the notice and other provisions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2.2(k),</w:t>
      </w:r>
      <w:r>
        <w:rPr>
          <w:rFonts w:ascii="Arial" w:cs="Arial" w:eastAsia="Arial" w:hAnsi="Arial"/>
          <w:sz w:val="16"/>
          <w:szCs w:val="16"/>
          <w:color w:val="auto"/>
        </w:rPr>
        <w:t xml:space="preserve"> and except with respect to nominations or elections of Directors, which are governed by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clause (ii) of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is the exclusive means by which a Stockholder may bring business before an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Rule 14a-8 of the Exchange Act (or any successor rule) is applicable, a Stockholder may not bring business before any meeting if the Stockholder fails to meet the requirements of such rule. Any business brought before a meeting in accordance with clause (ii) of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is referred to as “</w:t>
      </w:r>
      <w:r>
        <w:rPr>
          <w:rFonts w:ascii="Arial" w:cs="Arial" w:eastAsia="Arial" w:hAnsi="Arial"/>
          <w:sz w:val="16"/>
          <w:szCs w:val="16"/>
          <w:u w:val="single" w:color="auto"/>
          <w:color w:val="auto"/>
        </w:rPr>
        <w:t>Stockholder Business</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left="660" w:firstLine="644"/>
        <w:spacing w:after="0" w:line="288" w:lineRule="auto"/>
        <w:tabs>
          <w:tab w:leader="none" w:pos="15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2.2(k),</w:t>
      </w:r>
      <w:r>
        <w:rPr>
          <w:rFonts w:ascii="Arial" w:cs="Arial" w:eastAsia="Arial" w:hAnsi="Arial"/>
          <w:sz w:val="16"/>
          <w:szCs w:val="16"/>
          <w:color w:val="auto"/>
        </w:rPr>
        <w:t xml:space="preserve"> at any annual meeting of Stockholders, all proposals of Stockholder Business must be made by timely written notice given by or on behalf of a Stockholder of record of the Corporation (the “</w:t>
      </w:r>
      <w:r>
        <w:rPr>
          <w:rFonts w:ascii="Arial" w:cs="Arial" w:eastAsia="Arial" w:hAnsi="Arial"/>
          <w:sz w:val="16"/>
          <w:szCs w:val="16"/>
          <w:u w:val="single" w:color="auto"/>
          <w:color w:val="auto"/>
        </w:rPr>
        <w:t>Notice of Business</w:t>
      </w:r>
      <w:r>
        <w:rPr>
          <w:rFonts w:ascii="Arial" w:cs="Arial" w:eastAsia="Arial" w:hAnsi="Arial"/>
          <w:sz w:val="16"/>
          <w:szCs w:val="16"/>
          <w:color w:val="auto"/>
        </w:rPr>
        <w:t xml:space="preserve">”) and must otherwise be a proper matter for Stockholder action. To be timely, the Notice of Business must be delivered personally or mailed to, and received at, the Office of the Corporation, addressed to the Secretary, by no earlier than 120 days and no later than 90 days before the first anniversary of the date of the prior year’s annual meeting of Stockholders;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(i) the annual meeting of Stockholders is advanced by more than 30 days, or delayed by more than 60 days, from the first anniversary of the prior year’s annual meeting of Stockholders or (ii) no annual meeting was held during the prior year, the notice by the Stockholder to be timely must be received (A) no earlier than 120 days before such annual meeting and (B) no later than the later of 90 days before such annual meeting and the tenth day after the day on which the notice of such annual meeting was made by mail or Public Disclosure. In no event shall an adjournment or postponement, or Public Disclosure of an adjournment or postponement, of a Stockholder annual meeting commence a new time period (or extend any time period) for the giving of the Notice of Business.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440" w:hanging="256"/>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Notice of Business must set forth:</w:t>
      </w:r>
    </w:p>
    <w:p>
      <w:pPr>
        <w:spacing w:after="0" w:line="225" w:lineRule="exact"/>
        <w:rPr>
          <w:rFonts w:ascii="Arial" w:cs="Arial" w:eastAsia="Arial" w:hAnsi="Arial"/>
          <w:sz w:val="18"/>
          <w:szCs w:val="18"/>
          <w:color w:val="auto"/>
        </w:rPr>
      </w:pPr>
    </w:p>
    <w:p>
      <w:pPr>
        <w:ind w:left="180" w:firstLine="652"/>
        <w:spacing w:after="0" w:line="277" w:lineRule="auto"/>
        <w:tabs>
          <w:tab w:leader="none" w:pos="1054"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name and record address of each Stockholder proposing Stockholder Business (each, a “</w:t>
      </w:r>
      <w:r>
        <w:rPr>
          <w:rFonts w:ascii="Arial" w:cs="Arial" w:eastAsia="Arial" w:hAnsi="Arial"/>
          <w:sz w:val="18"/>
          <w:szCs w:val="18"/>
          <w:u w:val="single" w:color="auto"/>
          <w:color w:val="auto"/>
        </w:rPr>
        <w:t>Proponent</w:t>
      </w:r>
      <w:r>
        <w:rPr>
          <w:rFonts w:ascii="Arial" w:cs="Arial" w:eastAsia="Arial" w:hAnsi="Arial"/>
          <w:sz w:val="18"/>
          <w:szCs w:val="18"/>
          <w:color w:val="auto"/>
        </w:rPr>
        <w:t>”), as they appear on the Corporation’s books;</w:t>
      </w:r>
    </w:p>
    <w:p>
      <w:pPr>
        <w:spacing w:after="0" w:line="170" w:lineRule="exact"/>
        <w:rPr>
          <w:rFonts w:ascii="Arial" w:cs="Arial" w:eastAsia="Arial" w:hAnsi="Arial"/>
          <w:sz w:val="18"/>
          <w:szCs w:val="18"/>
          <w:color w:val="auto"/>
        </w:rPr>
      </w:pPr>
    </w:p>
    <w:p>
      <w:pPr>
        <w:ind w:left="1100" w:hanging="268"/>
        <w:spacing w:after="0"/>
        <w:tabs>
          <w:tab w:leader="none" w:pos="11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name and address of any Stockholder Associated Person (defined below) of each Proponent;</w:t>
      </w:r>
    </w:p>
    <w:p>
      <w:pPr>
        <w:spacing w:after="0" w:line="225" w:lineRule="exact"/>
        <w:rPr>
          <w:rFonts w:ascii="Arial" w:cs="Arial" w:eastAsia="Arial" w:hAnsi="Arial"/>
          <w:sz w:val="18"/>
          <w:szCs w:val="18"/>
          <w:color w:val="auto"/>
        </w:rPr>
      </w:pPr>
    </w:p>
    <w:p>
      <w:pPr>
        <w:jc w:val="both"/>
        <w:ind w:left="180" w:firstLine="652"/>
        <w:spacing w:after="0" w:line="284" w:lineRule="auto"/>
        <w:tabs>
          <w:tab w:leader="none" w:pos="116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as to each Proponent and any Stockholder Associated Person of such Proponent, (A) the class or series and number of shares of stock of the Corporation, directly or indirectly, held of record and beneficially by such Proponent or Stockholder Associated Person of such Proponent, (B) the date such shares of stock were acquired, (C) a description of any agreement, arrangement or understanding, direct or indirect, with respect to such Stockholder Business between or among such Proponent, any Stockholder Associated Person of such Proponent or any others (including their names) acting in concert with any of the foregoing,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directly or indirectly, as of the date of such Proponent’s notice by, or on behalf of, such Proponent or any Stockholder Associated Person of such Proponent, the effect or intent of which is to mitigate loss to, manage risk or benefit of share price changes for, or increase or decrease the voting power of such Proponent or any Stockholder Associated Person of such Proponent with respect to shares of stock of the Corporation or with a value derived in whole or in part from the value or decrease in value of any class or series of stock of the Corporation, whether or not such instrument or right shall be subject to settlement in the underlying class or series of stock of the Corporation or otherwise (a “</w:t>
      </w:r>
      <w:r>
        <w:rPr>
          <w:rFonts w:ascii="Arial" w:cs="Arial" w:eastAsia="Arial" w:hAnsi="Arial"/>
          <w:sz w:val="16"/>
          <w:szCs w:val="16"/>
          <w:u w:val="single" w:color="auto"/>
          <w:color w:val="auto"/>
        </w:rPr>
        <w:t>Derivative</w:t>
      </w:r>
      <w:r>
        <w:rPr>
          <w:rFonts w:ascii="Arial" w:cs="Arial" w:eastAsia="Arial" w:hAnsi="Arial"/>
          <w:sz w:val="16"/>
          <w:szCs w:val="16"/>
          <w:color w:val="auto"/>
        </w:rPr>
        <w:t xml:space="preserve">”), (E) a description in reasonable detail of any proxy (including revocable proxies), contract, arrangement, understanding or other relationship pursuant to which such Proponent or Stockholder Associated Person of such Proponent has a right to vote any shares of stock of the Corporation, (F) any rights to dividends on the stock of the Corporation owned beneficially by such Proponent or any Stockholder Associated Person of such Proponent that are separated or separable from the underlying stock of the Corporation, (G) any proportionate interest in stock of the Corporation or Derivatives held, directly or indirectly, by a general or limited partnership in which such Proponent or Stockholder Associated Person of such Proponent is a general partner or, directly or indirectly, beneficially owns an interest in a general partner and (H) any performance-related fees (other than an asset-based fee) that such Proponent or any Stockholder Associated Person of such Proponent is entitled to based on any increase or decrease in the value of stock of the Corporation or Derivatives thereof, if any, as of the date of such notice. The information specified in </w:t>
      </w:r>
      <w:r>
        <w:rPr>
          <w:rFonts w:ascii="Arial" w:cs="Arial" w:eastAsia="Arial" w:hAnsi="Arial"/>
          <w:sz w:val="16"/>
          <w:szCs w:val="16"/>
          <w:u w:val="single" w:color="auto"/>
          <w:color w:val="auto"/>
        </w:rPr>
        <w:t>Section 2.2(d)(i)</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2.2(d)(iii)</w:t>
      </w:r>
      <w:r>
        <w:rPr>
          <w:rFonts w:ascii="Arial" w:cs="Arial" w:eastAsia="Arial" w:hAnsi="Arial"/>
          <w:sz w:val="16"/>
          <w:szCs w:val="16"/>
          <w:color w:val="auto"/>
        </w:rPr>
        <w:t xml:space="preserve"> is referred to herein as “</w:t>
      </w:r>
      <w:r>
        <w:rPr>
          <w:rFonts w:ascii="Arial" w:cs="Arial" w:eastAsia="Arial" w:hAnsi="Arial"/>
          <w:sz w:val="16"/>
          <w:szCs w:val="16"/>
          <w:u w:val="single" w:color="auto"/>
          <w:color w:val="auto"/>
        </w:rPr>
        <w:t>Stockholder Information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 w:name="page38"/>
    <w:bookmarkEnd w:id="37"/>
    <w:p>
      <w:pPr>
        <w:ind w:left="180" w:firstLine="652"/>
        <w:spacing w:after="0" w:line="277" w:lineRule="auto"/>
        <w:tabs>
          <w:tab w:leader="none" w:pos="11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Stockholder Information with respect to any stock or other interests of the Corporation held by members of each Proponent’s or its Stockholder Associated Person’s immediate family sharing the same household;</w:t>
      </w:r>
    </w:p>
    <w:p>
      <w:pPr>
        <w:spacing w:after="0" w:line="170" w:lineRule="exact"/>
        <w:rPr>
          <w:rFonts w:ascii="Arial" w:cs="Arial" w:eastAsia="Arial" w:hAnsi="Arial"/>
          <w:sz w:val="18"/>
          <w:szCs w:val="18"/>
          <w:color w:val="auto"/>
        </w:rPr>
      </w:pPr>
    </w:p>
    <w:p>
      <w:pPr>
        <w:ind w:left="180" w:firstLine="652"/>
        <w:spacing w:after="0" w:line="277" w:lineRule="auto"/>
        <w:tabs>
          <w:tab w:leader="none" w:pos="10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representation to the Corporation that each Proponent is a holder of record of stock of the Corporation entitled to vote at the meeting and intends to appear in person or by proxy at the meeting to propose the Stockholder Business;</w:t>
      </w:r>
    </w:p>
    <w:p>
      <w:pPr>
        <w:spacing w:after="0" w:line="170" w:lineRule="exact"/>
        <w:rPr>
          <w:rFonts w:ascii="Arial" w:cs="Arial" w:eastAsia="Arial" w:hAnsi="Arial"/>
          <w:sz w:val="18"/>
          <w:szCs w:val="18"/>
          <w:color w:val="auto"/>
        </w:rPr>
      </w:pPr>
    </w:p>
    <w:p>
      <w:pPr>
        <w:jc w:val="both"/>
        <w:ind w:left="180" w:firstLine="652"/>
        <w:spacing w:after="0" w:line="275" w:lineRule="auto"/>
        <w:tabs>
          <w:tab w:leader="none" w:pos="1139"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brief description of the Stockholder Business desired to be brought before the annual meeting of Stockholders, the text of the proposal (including the text of any resolutions proposed for consideration and, if such business includes a proposal to amend these By-laws, the language of the proposed amendment) and the reasons for conducting such Stockholder Business at the meeting and any substantial interest (within the meaning of Item 5 of Schedule 14A under the Exchange Act) in such business of such stockholder and the beneficial owner (within the meaning of Rule 13d-3 promulgated under the Exchange Act);</w:t>
      </w:r>
    </w:p>
    <w:p>
      <w:pPr>
        <w:spacing w:after="0" w:line="176" w:lineRule="exact"/>
        <w:rPr>
          <w:rFonts w:ascii="Arial" w:cs="Arial" w:eastAsia="Arial" w:hAnsi="Arial"/>
          <w:sz w:val="17"/>
          <w:szCs w:val="17"/>
          <w:color w:val="auto"/>
        </w:rPr>
      </w:pPr>
    </w:p>
    <w:p>
      <w:pPr>
        <w:ind w:left="1220" w:hanging="388"/>
        <w:spacing w:after="0"/>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material interest of each Proponent and any Stockholder Associated Person of such Proponent in the Stockholder</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jc w:val="both"/>
        <w:ind w:left="180" w:right="20" w:firstLine="652"/>
        <w:spacing w:after="0" w:line="286" w:lineRule="auto"/>
        <w:tabs>
          <w:tab w:leader="none" w:pos="12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representation to the Corporation as to whether each Proponent intends (A) to deliver a proxy statement and form of proxy to holders of at least the percentage of the Corporation’s outstanding capital stock required to approve or adopt the Stockholder Business or (B) otherwise to solicit proxies from the Stockholders in support of such Stockholder Business;</w:t>
      </w:r>
    </w:p>
    <w:p>
      <w:pPr>
        <w:spacing w:after="0" w:line="165" w:lineRule="exact"/>
        <w:rPr>
          <w:rFonts w:ascii="Arial" w:cs="Arial" w:eastAsia="Arial" w:hAnsi="Arial"/>
          <w:sz w:val="17"/>
          <w:szCs w:val="17"/>
          <w:color w:val="auto"/>
        </w:rPr>
      </w:pPr>
    </w:p>
    <w:p>
      <w:pPr>
        <w:ind w:left="180" w:firstLine="652"/>
        <w:spacing w:after="0" w:line="277" w:lineRule="auto"/>
        <w:tabs>
          <w:tab w:leader="none" w:pos="11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 if the Proponents or Stockholder Associated Persons of the Proponents were participants in a solicitation subject to Section 14 of the Exchange Act; and</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 w:name="page39"/>
    <w:bookmarkEnd w:id="38"/>
    <w:p>
      <w:pPr>
        <w:ind w:left="640" w:firstLine="652"/>
        <w:spacing w:after="0" w:line="277" w:lineRule="auto"/>
        <w:tabs>
          <w:tab w:leader="none" w:pos="156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representation and covenant for the benefit of the Corporation that the Proponents shall provide any other information reasonably requested by the Corporation.</w:t>
      </w:r>
    </w:p>
    <w:p>
      <w:pPr>
        <w:spacing w:after="0" w:line="170" w:lineRule="exact"/>
        <w:rPr>
          <w:rFonts w:ascii="Arial" w:cs="Arial" w:eastAsia="Arial" w:hAnsi="Arial"/>
          <w:sz w:val="18"/>
          <w:szCs w:val="18"/>
          <w:color w:val="auto"/>
        </w:rPr>
      </w:pPr>
    </w:p>
    <w:p>
      <w:pPr>
        <w:ind w:left="900" w:hanging="25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Proponents shall also provide any other information reasonably requested by the Corporation within ten business days after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jc w:val="both"/>
        <w:ind w:firstLine="644"/>
        <w:spacing w:after="0" w:line="291" w:lineRule="auto"/>
        <w:tabs>
          <w:tab w:leader="none" w:pos="8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In addition, the Proponents shall further update and supplement the information provided to the Corporation in the Notice of Business or upon the Corporation’s request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as needed, so that such information shall be true and correct as of the record date for the meeting and as of the date that is the later of five business days before the meeting or any adjournment or postponement thereof. Such update and supplement must be delivered personally or mailed to, and received at, the Office of the Corporation, addressed to the Secretary, by no later than five business days after the record date for the meeting (in the case of the update and supplement required to be made as of the record date), and not later than two business days before the date for the meeting (in the case of the update and supplement required to be made as of five business days before the meeting or any adjournment or postponement thereof).</w:t>
      </w:r>
    </w:p>
    <w:p>
      <w:pPr>
        <w:spacing w:after="0" w:line="166" w:lineRule="exact"/>
        <w:rPr>
          <w:rFonts w:ascii="Arial" w:cs="Arial" w:eastAsia="Arial" w:hAnsi="Arial"/>
          <w:sz w:val="16"/>
          <w:szCs w:val="16"/>
          <w:color w:val="auto"/>
        </w:rPr>
      </w:pPr>
    </w:p>
    <w:p>
      <w:pPr>
        <w:jc w:val="both"/>
        <w:ind w:firstLine="644"/>
        <w:spacing w:after="0" w:line="259" w:lineRule="auto"/>
        <w:tabs>
          <w:tab w:leader="none" w:pos="9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person presiding over the meeting of Stockholders shall, if the facts warrant, determine and declare to the meeting of Stockholders that business was not properly brought before the meeting of Stockholders in accordance with the procedures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if he or she should so determine, he or she shall so declare to the meeting of Stockholders and any such business not properly brought before the meeting of Stockholders shall not be transacted.</w:t>
      </w:r>
    </w:p>
    <w:p>
      <w:pPr>
        <w:spacing w:after="0" w:line="186" w:lineRule="exact"/>
        <w:rPr>
          <w:rFonts w:ascii="Arial" w:cs="Arial" w:eastAsia="Arial" w:hAnsi="Arial"/>
          <w:sz w:val="18"/>
          <w:szCs w:val="18"/>
          <w:color w:val="auto"/>
        </w:rPr>
      </w:pPr>
    </w:p>
    <w:p>
      <w:pPr>
        <w:jc w:val="both"/>
        <w:ind w:firstLine="644"/>
        <w:spacing w:after="0" w:line="293" w:lineRule="auto"/>
        <w:tabs>
          <w:tab w:leader="none" w:pos="9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If each Proponent (or a qualified representative of such Proponent) does not appear at the meeting of Stockholders to present the Stockholder Business, such business shall not be transacted, notwithstanding that proxies in respect of such vote may have been received by the Corporation. For purposes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such writing or electronic transmission, at the meeting of Stockholders.</w:t>
      </w:r>
    </w:p>
    <w:p>
      <w:pPr>
        <w:spacing w:after="0" w:line="164" w:lineRule="exact"/>
        <w:rPr>
          <w:rFonts w:ascii="Arial" w:cs="Arial" w:eastAsia="Arial" w:hAnsi="Arial"/>
          <w:sz w:val="16"/>
          <w:szCs w:val="16"/>
          <w:color w:val="auto"/>
        </w:rPr>
      </w:pPr>
    </w:p>
    <w:p>
      <w:pPr>
        <w:jc w:val="both"/>
        <w:ind w:firstLine="644"/>
        <w:spacing w:after="0" w:line="263" w:lineRule="auto"/>
        <w:tabs>
          <w:tab w:leader="none" w:pos="8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Disclosure</w:t>
      </w:r>
      <w:r>
        <w:rPr>
          <w:rFonts w:ascii="Arial" w:cs="Arial" w:eastAsia="Arial" w:hAnsi="Arial"/>
          <w:sz w:val="18"/>
          <w:szCs w:val="18"/>
          <w:color w:val="auto"/>
        </w:rPr>
        <w:t>” of any date or other information means disclosure thereof by a press release reported by the Dow Jones News Services, Associated Press or comparable U.S. national news service or in a document publicly filed by the Corporation with the SEC pursuant to Sections 13, 14 or 15(d) of the Exchange Act.</w:t>
      </w:r>
    </w:p>
    <w:p>
      <w:pPr>
        <w:spacing w:after="0" w:line="183" w:lineRule="exact"/>
        <w:rPr>
          <w:rFonts w:ascii="Arial" w:cs="Arial" w:eastAsia="Arial" w:hAnsi="Arial"/>
          <w:sz w:val="18"/>
          <w:szCs w:val="18"/>
          <w:color w:val="auto"/>
        </w:rPr>
      </w:pPr>
    </w:p>
    <w:p>
      <w:pPr>
        <w:ind w:left="860" w:hanging="216"/>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Associated Person</w:t>
      </w:r>
      <w:r>
        <w:rPr>
          <w:rFonts w:ascii="Arial" w:cs="Arial" w:eastAsia="Arial" w:hAnsi="Arial"/>
          <w:sz w:val="18"/>
          <w:szCs w:val="18"/>
          <w:color w:val="auto"/>
        </w:rPr>
        <w:t>” means, with respect to any Stockholder,</w:t>
      </w:r>
    </w:p>
    <w:p>
      <w:pPr>
        <w:spacing w:after="0" w:line="225" w:lineRule="exact"/>
        <w:rPr>
          <w:rFonts w:ascii="Arial" w:cs="Arial" w:eastAsia="Arial" w:hAnsi="Arial"/>
          <w:sz w:val="18"/>
          <w:szCs w:val="18"/>
          <w:color w:val="auto"/>
        </w:rPr>
      </w:pPr>
    </w:p>
    <w:p>
      <w:pPr>
        <w:ind w:left="1500" w:hanging="208"/>
        <w:spacing w:after="0"/>
        <w:tabs>
          <w:tab w:leader="none" w:pos="15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other beneficial owner of stock of the Corporation that is owned by such Stockholder and</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9" w:name="page40"/>
    <w:bookmarkEnd w:id="39"/>
    <w:p>
      <w:pPr>
        <w:ind w:left="1300" w:firstLine="652"/>
        <w:spacing w:after="0" w:line="277" w:lineRule="auto"/>
        <w:tabs>
          <w:tab w:leader="none" w:pos="22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person that directly, or indirectly through one or more intermediaries, controls, or is controlled by, or is under common control with, such Stockholder or such beneficial owner.</w:t>
      </w:r>
    </w:p>
    <w:p>
      <w:pPr>
        <w:spacing w:after="0" w:line="170" w:lineRule="exact"/>
        <w:rPr>
          <w:rFonts w:ascii="Arial" w:cs="Arial" w:eastAsia="Arial" w:hAnsi="Arial"/>
          <w:sz w:val="18"/>
          <w:szCs w:val="18"/>
          <w:color w:val="auto"/>
        </w:rPr>
      </w:pPr>
    </w:p>
    <w:p>
      <w:pPr>
        <w:jc w:val="both"/>
        <w:ind w:left="660" w:firstLine="644"/>
        <w:spacing w:after="0" w:line="279" w:lineRule="auto"/>
        <w:tabs>
          <w:tab w:leader="none" w:pos="1571"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notice requirements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deemed satisfied with respect to Stockholder proposals that have been properly brought under Rule 14a-8 of the Exchange Act and that are included in a proxy statement that has been prepared by the Corporation to solicit proxies for an annual meeting of Stockholders. Further, nothing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deemed to affect any rights of the holders of any series of preferred stock of the Corporation pursuant to any applicable provision of the Certificate of Incorporation.</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2.3 </w:t>
      </w:r>
      <w:r>
        <w:rPr>
          <w:rFonts w:ascii="Arial" w:cs="Arial" w:eastAsia="Arial" w:hAnsi="Arial"/>
          <w:sz w:val="17"/>
          <w:szCs w:val="17"/>
          <w:b w:val="1"/>
          <w:bCs w:val="1"/>
          <w:u w:val="single" w:color="auto"/>
          <w:color w:val="auto"/>
        </w:rPr>
        <w:t>Special Meetings</w:t>
      </w:r>
      <w:r>
        <w:rPr>
          <w:rFonts w:ascii="Arial" w:cs="Arial" w:eastAsia="Arial" w:hAnsi="Arial"/>
          <w:sz w:val="17"/>
          <w:szCs w:val="17"/>
          <w:color w:val="auto"/>
        </w:rPr>
        <w:t>. Special meetings of Stockholders may be called only in the manner set forth in the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every special meeting of Stockholders shall state the purpose or purposes of such meeting. Except as otherwise required by law, the business conducted at a special meeting of Stockholders shall be limited to matters relating to the purpose or purposes stated in the Corporation’s notice of meeting, and the Board shall have exclusive authority to determine the business included in such notice. The Chairman, a Vice Chairman, the chief executive officer or the Board may postpone, reschedule or cancel any special meeting of Stockholders previously called.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Record Date</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4"/>
        <w:spacing w:after="0" w:line="268" w:lineRule="auto"/>
        <w:tabs>
          <w:tab w:leader="none" w:pos="1557"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the purpose of determining the Stockholders entitled to notice of any meeting of Stockholders or any adjournment thereof, unless otherwise required by the Certificate of Incorporation or applicable law, the Board may fix a record date (the “</w:t>
      </w:r>
      <w:r>
        <w:rPr>
          <w:rFonts w:ascii="Arial" w:cs="Arial" w:eastAsia="Arial" w:hAnsi="Arial"/>
          <w:sz w:val="17"/>
          <w:szCs w:val="17"/>
          <w:u w:val="single" w:color="auto"/>
          <w:color w:val="auto"/>
        </w:rPr>
        <w:t>Notice Record Date</w:t>
      </w:r>
      <w:r>
        <w:rPr>
          <w:rFonts w:ascii="Arial" w:cs="Arial" w:eastAsia="Arial" w:hAnsi="Arial"/>
          <w:sz w:val="17"/>
          <w:szCs w:val="17"/>
          <w:color w:val="auto"/>
        </w:rPr>
        <w:t>”), which record date shall not precede the date on which the resolution fixing the record date is adopted by the Board and shall not be more than 60 days or less than ten days before the date of such meeting. The Notice Record Date shall also be the record date for determining the Stockholders entitled to vote at such meeting unless the Board determines, at the time it fixes such Notice Record Date, that a later date on or before the date of such meeting shall be the date for making such determination (the “</w:t>
      </w:r>
      <w:r>
        <w:rPr>
          <w:rFonts w:ascii="Arial" w:cs="Arial" w:eastAsia="Arial" w:hAnsi="Arial"/>
          <w:sz w:val="17"/>
          <w:szCs w:val="17"/>
          <w:u w:val="single" w:color="auto"/>
          <w:color w:val="auto"/>
        </w:rPr>
        <w:t>Voting Record Date</w:t>
      </w:r>
      <w:r>
        <w:rPr>
          <w:rFonts w:ascii="Arial" w:cs="Arial" w:eastAsia="Arial" w:hAnsi="Arial"/>
          <w:sz w:val="17"/>
          <w:szCs w:val="17"/>
          <w:color w:val="auto"/>
        </w:rPr>
        <w:t>”). For the purposes of determining the Stockholders entitled to consent to corporate action without a meeting of Stockholders in accordance with Section 228 of the General Corporation Law, unless otherwise required by the Certificate of Incorporation or applicable law, the Board may fix a record date, which record date shall not precede the date on which the resolution fixing the record date is adopted by the Board and shall not be more than ten days after the date on which the resolution fixing the record date is adopted by the Board. For the purposes of determining the Stockholders entitled to (i) receive payment of any dividend or other distribution or allotment of any rights, (ii) exercise any rights in respect of any change, conversion or exchange of stock of the Corporation or (iii) take any other lawful action, unless otherwise required by the Certificate of Incorporation or applicable law, the Board may fix a record date, which record date shall not precede the date on which the resolution fixing the record date is adopted by the Board and shall not be more than 60 days prior to such action.</w:t>
      </w:r>
    </w:p>
    <w:p>
      <w:pPr>
        <w:spacing w:after="0" w:line="184" w:lineRule="exact"/>
        <w:rPr>
          <w:rFonts w:ascii="Arial" w:cs="Arial" w:eastAsia="Arial" w:hAnsi="Arial"/>
          <w:sz w:val="17"/>
          <w:szCs w:val="17"/>
          <w:color w:val="auto"/>
        </w:rPr>
      </w:pPr>
    </w:p>
    <w:p>
      <w:pPr>
        <w:ind w:left="1560" w:hanging="256"/>
        <w:spacing w:after="0"/>
        <w:tabs>
          <w:tab w:leader="none" w:pos="1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no such record date is fixed by the Board: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left="1300" w:firstLine="652"/>
        <w:spacing w:after="0" w:line="263" w:lineRule="auto"/>
        <w:tabs>
          <w:tab w:leader="none" w:pos="21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3" w:lineRule="exact"/>
        <w:rPr>
          <w:rFonts w:ascii="Arial" w:cs="Arial" w:eastAsia="Arial" w:hAnsi="Arial"/>
          <w:sz w:val="18"/>
          <w:szCs w:val="18"/>
          <w:color w:val="auto"/>
        </w:rPr>
      </w:pPr>
    </w:p>
    <w:p>
      <w:pPr>
        <w:jc w:val="both"/>
        <w:ind w:left="1300" w:firstLine="652"/>
        <w:spacing w:after="0" w:line="273" w:lineRule="auto"/>
        <w:tabs>
          <w:tab w:leader="none" w:pos="2243"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consent to corporate action without a meeting of Stockholders (unless otherwise provided in the Certificate of Incorporation or applicable law), when no prior action by the Board is required by applicable law, shall be the first date on which a signed consent setting forth the action taken or proposed to be taken is delivered to the Corporation in accordance with applicable law, and if prior action by the Board is required by applicable law, the record date for determining Stockholders entitled to consent to corporate action in writing without a meeting of Stockholders shall be at the close of business on the day on which the Board adopts the resolution taking such prior action; and</w:t>
      </w:r>
    </w:p>
    <w:p>
      <w:pPr>
        <w:spacing w:after="0" w:line="177" w:lineRule="exact"/>
        <w:rPr>
          <w:rFonts w:ascii="Arial" w:cs="Arial" w:eastAsia="Arial" w:hAnsi="Arial"/>
          <w:sz w:val="17"/>
          <w:szCs w:val="17"/>
          <w:color w:val="auto"/>
        </w:rPr>
      </w:pPr>
    </w:p>
    <w:p>
      <w:pPr>
        <w:ind w:left="1300" w:firstLine="652"/>
        <w:spacing w:after="0" w:line="308" w:lineRule="auto"/>
        <w:tabs>
          <w:tab w:leader="none" w:pos="23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(i) receive payment of any dividend or other distribution or allotment of any rights, (ii) exercise any rights in respect of any change, conversion or exchange of stock of the Corporation or</w:t>
      </w:r>
    </w:p>
    <w:p>
      <w:pPr>
        <w:spacing w:after="0" w:line="146" w:lineRule="exact"/>
        <w:rPr>
          <w:rFonts w:ascii="Arial" w:cs="Arial" w:eastAsia="Arial" w:hAnsi="Arial"/>
          <w:sz w:val="17"/>
          <w:szCs w:val="17"/>
          <w:color w:val="auto"/>
        </w:rPr>
      </w:pPr>
    </w:p>
    <w:p>
      <w:pPr>
        <w:ind w:left="1300" w:firstLine="652"/>
        <w:spacing w:after="0" w:line="277" w:lineRule="auto"/>
        <w:tabs>
          <w:tab w:leader="none" w:pos="226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take any other lawful action, unless otherwise required by the Certificate of Incorporation or applicable law, shall be at the close of business on the day on which the Board adopts the resolutions relating thereto.</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When a determination of Stockholders of record entitled to notice of, or to vote at, any meeting of Stockholders has been made as provided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such determination shall apply to any adjournment thereof, unless the Board fixes a new Voting Record Date for the adjourned meeting of Stockholders, in which case the Board shall also fix such Voting Record Date or a date earlier than such date as the new Notice Record Date for such adjourned meeting.</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Notice of Meetings of Stockholders</w:t>
      </w:r>
      <w:r>
        <w:rPr>
          <w:rFonts w:ascii="Arial" w:cs="Arial" w:eastAsia="Arial" w:hAnsi="Arial"/>
          <w:sz w:val="16"/>
          <w:szCs w:val="16"/>
          <w:color w:val="auto"/>
        </w:rPr>
        <w:t xml:space="preserve">. Whenever, under the provisions of applicable law, the Certificate of Incorporation or these By-laws, Stockholders are required or permitted to take any action at a meeting of Stockholders, a notice of the meeting in form of a writing or electronic transmission shall be given stating: (a) the place, if any, date and hour of such meeting; (b) the means of remote communication, if any, by which Stockholders and proxy holders may be deemed to be present in person and vote at such meeting; (c) the Voting Record Date, if such date is different from the Notice Record Date; and, (d) in the case of a special meeting of Stockholders, the purpose or purposes for which such meeting is called. Unless otherwise provided by these By-laws or applicable law, the notice of any meeting of Stockholders shall be given, not less than ten days nor more than 60 days before the date of such meeting, to each Stockholder entitled to vote at such meeting as of the Notice Record Date. If mailed, such notice shall be deemed to be given when deposited in the U.S. mail, with postage prepaid, and directed to the Stockholder at his, her or its address as it appears on the records of the Corporation. Without limiting the manner by which notices of meetings otherwise may be given effectively to stockholders, any such notice may be given by electronic mail or other electronic transmission in the manner provided in Section 232 of the General Corporation Law. An affidavit of the Secretary, an Assistant Secretary or the transfer agent of the Corporation that the notice required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has been given shall, in the absence of fraud, be prima facie evidence of the facts stated therein. If a meeting of Stockholders is adjourned to another time or place, notice need not be given of the adjourned meeting of Stockholders if the time and place, if any, thereof and the means of remote communications, if any, by which stockholders and proxy holders may be deemed to be present in person and vote at such adjourned meeting are announced at the meeting of Stockholders at which the adjournment is taken. Any business that might have been transacted at the meeting of Stockholders as originally called may be transacted at the adjourned meeting of Stockholders. If, however, the adjournment is for more than 30 days, a notice of the adjourned meeting of Stockholders shall be given to each Stockholder of record entitled to vote at such meeting. If, after the adjournment, a new Voting Record Date is fixed for the adjourned meeting of Stockholders, the Board shall fix a new Notice Record Date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shall give notice of such adjourned meeting to each Stockholder entitled to vote at such meeting as of the Notice Record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2.6 </w:t>
      </w:r>
      <w:r>
        <w:rPr>
          <w:rFonts w:ascii="Arial" w:cs="Arial" w:eastAsia="Arial" w:hAnsi="Arial"/>
          <w:sz w:val="16"/>
          <w:szCs w:val="16"/>
          <w:b w:val="1"/>
          <w:bCs w:val="1"/>
          <w:u w:val="single" w:color="auto"/>
          <w:color w:val="auto"/>
        </w:rPr>
        <w:t>Waivers of Notice</w:t>
      </w:r>
      <w:r>
        <w:rPr>
          <w:rFonts w:ascii="Arial" w:cs="Arial" w:eastAsia="Arial" w:hAnsi="Arial"/>
          <w:sz w:val="16"/>
          <w:szCs w:val="16"/>
          <w:color w:val="auto"/>
        </w:rPr>
        <w:t>. Whenever the giving of any notice to Stockholders is required to be given by applicable law,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or these By-laws, a written waiver, signed by the person entitled to notice, or a waiver electronic transmission by the person entitled to notice, whether before or after the event as to which such notice is required, shall be deemed equivalent to notice. Attendance by a Stockholder at a meeting of Stockholders shall constitute a waiver of notice of such meeting except when the Stockholder attends such meeting for the express purpose of objecting, at the beginning of such meeting, to the transaction of any business on the ground that such meeting has not been lawfully called or convened. Any Stockholder so waiving notice of such meeting shall be bound by the proceedings of any such meeting in all respects as if due notice thereof had been given. Neither the business to be transacted at, nor the purposes of, any regular or special meeting of Stockholders need be specified in any written waiver of notice or any waiver by electronic transmission unless so required by the Certificate of Incorporation or these By-laws.</w:t>
      </w:r>
    </w:p>
    <w:p>
      <w:pPr>
        <w:spacing w:after="0" w:line="1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List of Stockholders</w:t>
      </w:r>
      <w:r>
        <w:rPr>
          <w:rFonts w:ascii="Arial" w:cs="Arial" w:eastAsia="Arial" w:hAnsi="Arial"/>
          <w:sz w:val="17"/>
          <w:szCs w:val="17"/>
          <w:color w:val="auto"/>
        </w:rPr>
        <w:t>. The Corporation shall prepare and make available, at least ten days before every meeting of Stockholders, a</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alphabetical list of the Stockholders entitled to vote at the meeting of Stockholders (provided, however, that if the record date for determining the stockholders entitled to vote is less than ten days before the date of the meeting, the list shall reflect the stockholders entitled to vote as of the tenth day before the meeting date), and showing the address of each Stockholder and the number of shares registered in the name of each Stockholder. The Corporation shall not be required to include electronic mail addresses or other electronic contact information on such list. Such list may be examined by any Stockholder or such Stockholder’s agent or attorney, at such Stockholder’s expense, for any purpose germane to the meeting of Stockholders, for a period of at least ten days prior to such meeting, during ordinary business hours at the principal place of business of the Corporation or on a reasonably accessible electronic network as provided by applicable law. If the meeting of Stockholders is to be held at a place, the list shall also be produced and kept at the time and place of such meeting during the whole time thereof and may be examined by any Stockholder who is present. If the meeting of Stockholders is held solely by means of remote communication, the list shall also be open for examination as provided by applicable law. Except as provided by applicable law, the stock ledger shall be the only evidence as to who are the Stockholders entitled to examine the list of Stockholders or to vote in person or by proxy at any meeting of Stockholders.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2.8 </w:t>
      </w:r>
      <w:r>
        <w:rPr>
          <w:rFonts w:ascii="Arial" w:cs="Arial" w:eastAsia="Arial" w:hAnsi="Arial"/>
          <w:sz w:val="17"/>
          <w:szCs w:val="17"/>
          <w:b w:val="1"/>
          <w:bCs w:val="1"/>
          <w:u w:val="single" w:color="auto"/>
          <w:color w:val="auto"/>
        </w:rPr>
        <w:t>Quorum of Stockholders; Adjournment</w:t>
      </w:r>
      <w:r>
        <w:rPr>
          <w:rFonts w:ascii="Arial" w:cs="Arial" w:eastAsia="Arial" w:hAnsi="Arial"/>
          <w:sz w:val="17"/>
          <w:szCs w:val="17"/>
          <w:color w:val="auto"/>
        </w:rPr>
        <w:t>. Except as otherwise provided by law, the Certificate of Incorporation or these By-laws, at</w:t>
      </w:r>
      <w:r>
        <w:rPr>
          <w:rFonts w:ascii="Arial" w:cs="Arial" w:eastAsia="Arial" w:hAnsi="Arial"/>
          <w:sz w:val="17"/>
          <w:szCs w:val="17"/>
          <w:b w:val="1"/>
          <w:bCs w:val="1"/>
          <w:color w:val="auto"/>
        </w:rPr>
        <w:t xml:space="preserve"> </w:t>
      </w:r>
      <w:r>
        <w:rPr>
          <w:rFonts w:ascii="Arial" w:cs="Arial" w:eastAsia="Arial" w:hAnsi="Arial"/>
          <w:sz w:val="17"/>
          <w:szCs w:val="17"/>
          <w:color w:val="auto"/>
        </w:rPr>
        <w:t>each meeting of Stockholders, the presence, in person, or represented by proxy, of the holders of a majority of the voting power of all issued and outstanding shares of stock of the Corporation entitled to vote at the meeting of Stockholders shall constitute a quorum for the transaction of any business at such meeting, except that, where a separate vote by a class or series of classes of shares is required, a quorum shall consist of no less than a majority of the voting power of all outstanding shares of stock of such class or series of classes, as applicable, present in person or represented by proxy. In the absence of a quorum, the holders of a majority in voting power of the shares of stock of the Corporation present in person or represented by proxy at any meeting of Stockholders, including an adjourned meeting of Stockholders, and entitled to vote at the meeting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2.9 </w:t>
      </w:r>
      <w:r>
        <w:rPr>
          <w:rFonts w:ascii="Arial" w:cs="Arial" w:eastAsia="Arial" w:hAnsi="Arial"/>
          <w:sz w:val="17"/>
          <w:szCs w:val="17"/>
          <w:b w:val="1"/>
          <w:bCs w:val="1"/>
          <w:u w:val="single" w:color="auto"/>
          <w:color w:val="auto"/>
        </w:rPr>
        <w:t>Voting; Proxies</w:t>
      </w:r>
      <w:r>
        <w:rPr>
          <w:rFonts w:ascii="Arial" w:cs="Arial" w:eastAsia="Arial" w:hAnsi="Arial"/>
          <w:sz w:val="17"/>
          <w:szCs w:val="17"/>
          <w:color w:val="auto"/>
        </w:rPr>
        <w:t>. Unless otherwise provided by the General Corporation Law and except as specifically provided in Section 5.1(i)(1)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each Stockholder entitled to vote at any meeting of Stockholders shall be entitled to one vote for each share of stock of the Corporation held by such Stockholder which has voting power upon the matter in question. At any meeting of Stockholders, all matters other than the election of Directors, except as otherwise provided by the Certificate of Incorporation, these By-laws or any applicable law, shall be decided by the affirmative vote of the holders of a majority in voting power of the issued and outstanding shares of capital stock of the Corporation present in person or represented by proxy and entitled to vote thereon. At all meetings of Stockholders for the election of Directors, a plurality of the votes cast shall be sufficient to elect Directors. Each Stockholder entitled to vote at a meeting of Stockholders or to express consent or dissent to corporate action in writing without a meeting of the Corporation may authorize another person or persons to act for such Stockholder by proxy, but no such proxy shall be voted or acted upon after three years from its date, unless the proxy expressly provides for a longer period. A duly executed proxy shall be irrevocable if it states that it is irrevocable and if, and only so long as, it is coupled with an interest sufficient in law to support an irrevocable power. A Stockholder may revoke any proxy that is not irrevocable by attending the meeting of Stockholders and voting in person or by delivering to the Secretary a revocation of the proxy or by delivering a new proxy bearing a later date.</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Voting Procedures and Inspectors at Meetings of Stockholders</w:t>
      </w:r>
      <w:r>
        <w:rPr>
          <w:rFonts w:ascii="Arial" w:cs="Arial" w:eastAsia="Arial" w:hAnsi="Arial"/>
          <w:sz w:val="16"/>
          <w:szCs w:val="16"/>
          <w:color w:val="auto"/>
        </w:rPr>
        <w:t>. The Corporation, in advance of any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appoint one or more inspectors, who may be employees of the Corporation, to act at such meeting and make a written report thereof. The Corporation may designate one or more persons as alternate inspectors to replace any inspector who fails to act. If no inspector or alternate is able to act at a meeting of Stockholders, the person presiding at such meeting shall appoint one or more inspectors to act at such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of Stockholders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such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of Stockholders shall be determined by the person presiding at such meeting and shall be announced at such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u w:val="single" w:color="auto"/>
          <w:color w:val="auto"/>
        </w:rPr>
        <w:t>Conduct of Meetings; Adjournment</w:t>
      </w:r>
      <w:r>
        <w:rPr>
          <w:rFonts w:ascii="Arial" w:cs="Arial" w:eastAsia="Arial" w:hAnsi="Arial"/>
          <w:sz w:val="16"/>
          <w:szCs w:val="16"/>
          <w:color w:val="auto"/>
        </w:rPr>
        <w:t>. The Board may adopt such rules and procedures for the conduct of Stockholder meetings as it</w:t>
      </w:r>
      <w:r>
        <w:rPr>
          <w:rFonts w:ascii="Arial" w:cs="Arial" w:eastAsia="Arial" w:hAnsi="Arial"/>
          <w:sz w:val="16"/>
          <w:szCs w:val="16"/>
          <w:b w:val="1"/>
          <w:bCs w:val="1"/>
          <w:color w:val="auto"/>
        </w:rPr>
        <w:t xml:space="preserve"> </w:t>
      </w:r>
      <w:r>
        <w:rPr>
          <w:rFonts w:ascii="Arial" w:cs="Arial" w:eastAsia="Arial" w:hAnsi="Arial"/>
          <w:sz w:val="16"/>
          <w:szCs w:val="16"/>
          <w:color w:val="auto"/>
        </w:rPr>
        <w:t>deems appropriate. At each meeting of Stockholders, the Chairman or, in the absence of the Chairman, the Vice Chairman or a designee appointed by the Chairman shall preside over each such meeting. Except to the extent inconsistent with the rules and procedures as adopted by the Board, the person presiding over the meeting of Stockholders shall have the right and authority to convene, adjourn and reconvene such meeting from time to time to prescribe such additional rules and procedures and to do all such acts as, in the judgment of such person, are appropriate for the proper conduct of such meeting. Such rules and procedures, whether adopted by the Board or prescribed by the person presiding over the meeting of Stockholders, may include (a) the establishment of an agenda or order of business for such meeting, (b) rules and procedures for maintaining order at such meeting and the safety of those present, (c) limitations on attendance at or participation in such meeting to Stockholders of record of the Corporation, their duly authorized and constituted proxies or such other persons as the person presiding over such meeting shall determine,</w:t>
      </w:r>
    </w:p>
    <w:p>
      <w:pPr>
        <w:spacing w:after="0" w:line="170" w:lineRule="exact"/>
        <w:rPr>
          <w:sz w:val="20"/>
          <w:szCs w:val="20"/>
          <w:color w:val="auto"/>
        </w:rPr>
      </w:pPr>
    </w:p>
    <w:p>
      <w:pPr>
        <w:ind w:left="1540" w:hanging="236"/>
        <w:spacing w:after="0"/>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restrictions on entry to such meeting after the time fixed for the commencement thereof and</w:t>
      </w:r>
    </w:p>
    <w:p>
      <w:pPr>
        <w:spacing w:after="0" w:line="225" w:lineRule="exact"/>
        <w:rPr>
          <w:rFonts w:ascii="Arial" w:cs="Arial" w:eastAsia="Arial" w:hAnsi="Arial"/>
          <w:sz w:val="18"/>
          <w:szCs w:val="18"/>
          <w:color w:val="auto"/>
        </w:rPr>
      </w:pPr>
    </w:p>
    <w:p>
      <w:pPr>
        <w:jc w:val="both"/>
        <w:ind w:left="660" w:firstLine="644"/>
        <w:spacing w:after="0" w:line="290" w:lineRule="auto"/>
        <w:tabs>
          <w:tab w:leader="none" w:pos="157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limitations on the time allotted to questions or comments by participants. The person presiding over any meeting of Stockholders, in addition to making any other determinations that may be appropriate to the conduct of such meeting, may determine and declare to the meeting of Stockholders that a matter or business was not properly brought before such meeting and if such presiding person should so determine, he or she shall so declare to such meeting and any such matter or business not properly brought before such meeting shall not be transacted or considered. Unless and to the extent determined by the Board or the person presiding over the meeting of Stockholders, meetings of Stockholders shall not be required to be held in accordance with the rules of parliamentary procedure. The Secretary or, in the absence of the Secretary, one of the Assistant Secretaries or a designee appointed by the Chairman shall act as secretary of the meeting of Stockholders. To the extent permitted by applicable law, meetings of Stockholders may be conducted by remote communications, including by webcast.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2.12 </w:t>
      </w:r>
      <w:r>
        <w:rPr>
          <w:rFonts w:ascii="Arial" w:cs="Arial" w:eastAsia="Arial" w:hAnsi="Arial"/>
          <w:sz w:val="18"/>
          <w:szCs w:val="18"/>
          <w:b w:val="1"/>
          <w:bCs w:val="1"/>
          <w:u w:val="single" w:color="auto"/>
          <w:color w:val="auto"/>
        </w:rPr>
        <w:t>Order of Business</w:t>
      </w:r>
      <w:r>
        <w:rPr>
          <w:rFonts w:ascii="Arial" w:cs="Arial" w:eastAsia="Arial" w:hAnsi="Arial"/>
          <w:sz w:val="18"/>
          <w:szCs w:val="18"/>
          <w:color w:val="auto"/>
        </w:rPr>
        <w:t>. The order of business at all meetings of Stockholders shall be as determined by the person presiding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2.13 </w:t>
      </w:r>
      <w:r>
        <w:rPr>
          <w:rFonts w:ascii="Arial" w:cs="Arial" w:eastAsia="Arial" w:hAnsi="Arial"/>
          <w:sz w:val="17"/>
          <w:szCs w:val="17"/>
          <w:b w:val="1"/>
          <w:bCs w:val="1"/>
          <w:u w:val="single" w:color="auto"/>
          <w:color w:val="auto"/>
        </w:rPr>
        <w:t>Consent of Stockholders Without a Meeting</w:t>
      </w:r>
      <w:r>
        <w:rPr>
          <w:rFonts w:ascii="Arial" w:cs="Arial" w:eastAsia="Arial" w:hAnsi="Arial"/>
          <w:sz w:val="17"/>
          <w:szCs w:val="17"/>
          <w:color w:val="auto"/>
        </w:rPr>
        <w:t>. Unless otherwise restricted by the Certificate of Incorporation, or these By-laws, any</w:t>
      </w:r>
      <w:r>
        <w:rPr>
          <w:rFonts w:ascii="Arial" w:cs="Arial" w:eastAsia="Arial" w:hAnsi="Arial"/>
          <w:sz w:val="17"/>
          <w:szCs w:val="17"/>
          <w:b w:val="1"/>
          <w:bCs w:val="1"/>
          <w:color w:val="auto"/>
        </w:rPr>
        <w:t xml:space="preserve"> </w:t>
      </w:r>
      <w:r>
        <w:rPr>
          <w:rFonts w:ascii="Arial" w:cs="Arial" w:eastAsia="Arial" w:hAnsi="Arial"/>
          <w:sz w:val="17"/>
          <w:szCs w:val="17"/>
          <w:color w:val="auto"/>
        </w:rPr>
        <w:t>action required or permitted to be taken at any annual or special meeting of Stockholders may be taken without a meeting, without prior notice and without a vote, if a consent or consents, setting forth the action to be so taken, shall be signed by the holders of outstanding stock having not less than the minimum number of votes that would be necessary to authorize or take such action at a meeting of Stockholders at which all shares entitled to vote thereon were present and voted and shall be delivered to the Corporation in accordance with Section 228 of the General Corporation Law. A consent must be set forth in writing or in an electronic transmission, and no consent shall be effective to take the corporate action referred to therein unless consents signed by a sufficient number of holders to take action are delivered to the Corporation in the manner required by Section 228 of the General Corporation Law within 60 days of the first date on which a consent is so delivered to the Corporation.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Corporation. Unless otherwise provided, any such consent shall be revocable prior to its becoming effective. Prompt notice of the taking of the corporate action without a meeting of Stockholders by less than unanimous consent shall be given to those Stockholders who have not consented and who, if the action had been taken at a meeting of Stockholders, would have been entitled to notice of the meeting of Stockholders if the record date for such meeting had been the date that consents signed by a sufficient number of holders to take the action were delivered to the Corporation as provided in Section 228 of the General Corporation Law.</w:t>
      </w:r>
    </w:p>
    <w:p>
      <w:pPr>
        <w:spacing w:after="0" w:line="18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General Powers</w:t>
      </w:r>
      <w:r>
        <w:rPr>
          <w:rFonts w:ascii="Arial" w:cs="Arial" w:eastAsia="Arial" w:hAnsi="Arial"/>
          <w:sz w:val="18"/>
          <w:szCs w:val="18"/>
          <w:color w:val="auto"/>
        </w:rPr>
        <w:t>. Except as otherwise provided by the Certificate of Incorporation or the General Corporation Law, the business and</w:t>
      </w:r>
      <w:r>
        <w:rPr>
          <w:rFonts w:ascii="Arial" w:cs="Arial" w:eastAsia="Arial" w:hAnsi="Arial"/>
          <w:sz w:val="18"/>
          <w:szCs w:val="18"/>
          <w:b w:val="1"/>
          <w:bCs w:val="1"/>
          <w:color w:val="auto"/>
        </w:rPr>
        <w:t xml:space="preserve"> </w:t>
      </w:r>
      <w:r>
        <w:rPr>
          <w:rFonts w:ascii="Arial" w:cs="Arial" w:eastAsia="Arial" w:hAnsi="Arial"/>
          <w:sz w:val="18"/>
          <w:szCs w:val="18"/>
          <w:color w:val="auto"/>
        </w:rPr>
        <w:t>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Number of Directors; Term of Office</w:t>
      </w:r>
      <w:r>
        <w:rPr>
          <w:rFonts w:ascii="Arial" w:cs="Arial" w:eastAsia="Arial" w:hAnsi="Arial"/>
          <w:sz w:val="18"/>
          <w:szCs w:val="18"/>
          <w:color w:val="auto"/>
        </w:rPr>
        <w:t>. Except as otherwise provided for in the Certificate of Incorporation or fixed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5.2 of the Certificate of Incorporation relating to the rights of the holders of any series of Preferred Stock to elect additional Directors, the total number of Directors constituting the entire Board shall, (a) as of the date of the Certificate of Incorporation, initially be seven and (b) thereafter, shall be fixed exclusively by one or more resolutions adopted from time to time by the Board. Directors shall be elected by the stockholders at their annual meeting, and each director so elected shall hold office until the next annual meeting of stockholders and until his or her successor is elected and qualified, subject to such director’s earlier death, resignation, disqualification or removal. The Board of Directors shall elect from its ranks a Chairman of the Board of Directors, who shall have the powers and perform such duties as provided in these Bylaws and as the Board of Directors may from time to time prescribe.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Nominations of Directors</w:t>
      </w:r>
      <w:r>
        <w:rPr>
          <w:rFonts w:ascii="Arial" w:cs="Arial" w:eastAsia="Arial" w:hAnsi="Arial"/>
          <w:sz w:val="18"/>
          <w:szCs w:val="18"/>
          <w:color w:val="auto"/>
        </w:rPr>
        <w:t>.</w:t>
      </w:r>
    </w:p>
    <w:p>
      <w:pPr>
        <w:spacing w:after="0" w:line="229" w:lineRule="exact"/>
        <w:rPr>
          <w:sz w:val="20"/>
          <w:szCs w:val="20"/>
          <w:color w:val="auto"/>
        </w:rPr>
      </w:pPr>
    </w:p>
    <w:p>
      <w:pPr>
        <w:jc w:val="both"/>
        <w:ind w:firstLine="644"/>
        <w:spacing w:after="0" w:line="263" w:lineRule="auto"/>
        <w:tabs>
          <w:tab w:leader="none" w:pos="9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each Director shall serve until his or her successor is duly elected and qualified or until his or her earlier death, resignation, disqualification, or removal. No decrease in the authorized number of Directors constituting the Board shall shorten the term of any incumbent Director.</w:t>
      </w:r>
    </w:p>
    <w:p>
      <w:pPr>
        <w:spacing w:after="0" w:line="183" w:lineRule="exact"/>
        <w:rPr>
          <w:rFonts w:ascii="Arial" w:cs="Arial" w:eastAsia="Arial" w:hAnsi="Arial"/>
          <w:sz w:val="18"/>
          <w:szCs w:val="18"/>
          <w:color w:val="auto"/>
        </w:rPr>
      </w:pPr>
    </w:p>
    <w:p>
      <w:pPr>
        <w:ind w:right="120" w:firstLine="644"/>
        <w:spacing w:after="0" w:line="277" w:lineRule="auto"/>
        <w:tabs>
          <w:tab w:leader="none" w:pos="9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3.3(k),</w:t>
      </w:r>
      <w:r>
        <w:rPr>
          <w:rFonts w:ascii="Arial" w:cs="Arial" w:eastAsia="Arial" w:hAnsi="Arial"/>
          <w:sz w:val="18"/>
          <w:szCs w:val="18"/>
          <w:color w:val="auto"/>
        </w:rPr>
        <w:t xml:space="preserve"> only persons who are nominated in accordance with the procedures set forth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are eligible for election as Directors.</w:t>
      </w:r>
    </w:p>
    <w:p>
      <w:pPr>
        <w:spacing w:after="0" w:line="170" w:lineRule="exact"/>
        <w:rPr>
          <w:rFonts w:ascii="Arial" w:cs="Arial" w:eastAsia="Arial" w:hAnsi="Arial"/>
          <w:sz w:val="18"/>
          <w:szCs w:val="18"/>
          <w:color w:val="auto"/>
        </w:rPr>
      </w:pPr>
    </w:p>
    <w:p>
      <w:pPr>
        <w:jc w:val="both"/>
        <w:ind w:firstLine="644"/>
        <w:spacing w:after="0" w:line="272" w:lineRule="auto"/>
        <w:tabs>
          <w:tab w:leader="none" w:pos="903"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Nominations of persons for election to the Board may only be made at a meeting of Stockholders properly called for the election of Directors and only (i) by or at the direction of the Board or any committee thereof or (ii) by a Stockholder who (A) was a Stockholder of record of the Corporation when the notice required by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is delivered to the Secretary and at the time of such meeting, (B) is entitled to vote for the election of Directors at such meeting and (C) complies with the notice and other provisions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3.3(k),</w:t>
      </w:r>
      <w:r>
        <w:rPr>
          <w:rFonts w:ascii="Arial" w:cs="Arial" w:eastAsia="Arial" w:hAnsi="Arial"/>
          <w:sz w:val="17"/>
          <w:szCs w:val="17"/>
          <w:color w:val="auto"/>
        </w:rPr>
        <w:t xml:space="preserve"> clause (ii) of this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is the exclusive means by which a Stockholder may nominate a person for election to the Board. Persons nominated in accordance with clause (ii) of this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are referred to as “</w:t>
      </w:r>
      <w:r>
        <w:rPr>
          <w:rFonts w:ascii="Arial" w:cs="Arial" w:eastAsia="Arial" w:hAnsi="Arial"/>
          <w:sz w:val="17"/>
          <w:szCs w:val="17"/>
          <w:u w:val="single" w:color="auto"/>
          <w:color w:val="auto"/>
        </w:rPr>
        <w:t>Stockholder Nominees</w:t>
      </w:r>
      <w:r>
        <w:rPr>
          <w:rFonts w:ascii="Arial" w:cs="Arial" w:eastAsia="Arial" w:hAnsi="Arial"/>
          <w:sz w:val="17"/>
          <w:szCs w:val="17"/>
          <w:color w:val="auto"/>
        </w:rPr>
        <w:t>.” A Stockholder nominating persons for election to the Board is referred to as the “</w:t>
      </w:r>
      <w:r>
        <w:rPr>
          <w:rFonts w:ascii="Arial" w:cs="Arial" w:eastAsia="Arial" w:hAnsi="Arial"/>
          <w:sz w:val="17"/>
          <w:szCs w:val="17"/>
          <w:u w:val="single" w:color="auto"/>
          <w:color w:val="auto"/>
        </w:rPr>
        <w:t>Nominating Stockholder</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44"/>
        <w:spacing w:after="0" w:line="286" w:lineRule="auto"/>
        <w:tabs>
          <w:tab w:leader="none" w:pos="903"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3.3(k),</w:t>
      </w:r>
      <w:r>
        <w:rPr>
          <w:rFonts w:ascii="Arial" w:cs="Arial" w:eastAsia="Arial" w:hAnsi="Arial"/>
          <w:sz w:val="17"/>
          <w:szCs w:val="17"/>
          <w:color w:val="auto"/>
        </w:rPr>
        <w:t xml:space="preserve"> all nominations of Stockholder Nominees must be made by timely written notice given by or on behalf of a Stockholder of record of the Corporation (the “</w:t>
      </w:r>
      <w:r>
        <w:rPr>
          <w:rFonts w:ascii="Arial" w:cs="Arial" w:eastAsia="Arial" w:hAnsi="Arial"/>
          <w:sz w:val="17"/>
          <w:szCs w:val="17"/>
          <w:u w:val="single" w:color="auto"/>
          <w:color w:val="auto"/>
        </w:rPr>
        <w:t>Notice of Nomination</w:t>
      </w:r>
      <w:r>
        <w:rPr>
          <w:rFonts w:ascii="Arial" w:cs="Arial" w:eastAsia="Arial" w:hAnsi="Arial"/>
          <w:sz w:val="17"/>
          <w:szCs w:val="17"/>
          <w:color w:val="auto"/>
        </w:rPr>
        <w:t>”). To be timely, the Notice of Nomination must be delivered personally or mailed to, and received at, the Office of the Corporation, addressed to the attention of the Secretary, by the following dates:</w:t>
      </w:r>
    </w:p>
    <w:p>
      <w:pPr>
        <w:spacing w:after="0" w:line="165" w:lineRule="exact"/>
        <w:rPr>
          <w:rFonts w:ascii="Arial" w:cs="Arial" w:eastAsia="Arial" w:hAnsi="Arial"/>
          <w:sz w:val="17"/>
          <w:szCs w:val="17"/>
          <w:color w:val="auto"/>
        </w:rPr>
      </w:pPr>
    </w:p>
    <w:p>
      <w:pPr>
        <w:jc w:val="both"/>
        <w:ind w:left="640" w:firstLine="652"/>
        <w:spacing w:after="0" w:line="285" w:lineRule="auto"/>
        <w:tabs>
          <w:tab w:leader="none" w:pos="1514"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in the case of the nomination of a Stockholder Nominee for election to the Board at an annual meeting of Stockholders, no earlier than 120 days and no later than 90 days before the first anniversary of the date of the prior year’s annual meeting of Stockholders;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 the annual meeting of Stockholders is advanced by more than 30 days, or delayed by more than 60 days, from the first anniversary of the prior year’s annual meeting of Stockholders or (B) no annual meeting of Stockholders was held during the prior year, the notice by the Stockholder to be timely must be received (1) no earlier than 120 days before such annual meeting and</w:t>
      </w:r>
    </w:p>
    <w:p>
      <w:pPr>
        <w:spacing w:after="0" w:line="1" w:lineRule="exact"/>
        <w:rPr>
          <w:rFonts w:ascii="Arial" w:cs="Arial" w:eastAsia="Arial" w:hAnsi="Arial"/>
          <w:sz w:val="16"/>
          <w:szCs w:val="16"/>
          <w:color w:val="auto"/>
        </w:rPr>
      </w:pPr>
    </w:p>
    <w:p>
      <w:pPr>
        <w:ind w:left="640" w:right="20"/>
        <w:spacing w:after="0" w:line="260" w:lineRule="auto"/>
        <w:rPr>
          <w:rFonts w:ascii="Arial" w:cs="Arial" w:eastAsia="Arial" w:hAnsi="Arial"/>
          <w:sz w:val="16"/>
          <w:szCs w:val="16"/>
          <w:color w:val="auto"/>
        </w:rPr>
      </w:pPr>
      <w:r>
        <w:rPr>
          <w:rFonts w:ascii="Arial" w:cs="Arial" w:eastAsia="Arial" w:hAnsi="Arial"/>
          <w:sz w:val="18"/>
          <w:szCs w:val="18"/>
          <w:color w:val="auto"/>
        </w:rPr>
        <w:t>(2) no later than the later of 90 days before such annual meeting and the tenth day after the day on which the notice of such annual meeting was made by mail or Public Disclosure; and</w:t>
      </w:r>
    </w:p>
    <w:p>
      <w:pPr>
        <w:spacing w:after="0" w:line="185" w:lineRule="exact"/>
        <w:rPr>
          <w:rFonts w:ascii="Arial" w:cs="Arial" w:eastAsia="Arial" w:hAnsi="Arial"/>
          <w:sz w:val="16"/>
          <w:szCs w:val="16"/>
          <w:color w:val="auto"/>
        </w:rPr>
      </w:pPr>
    </w:p>
    <w:p>
      <w:pPr>
        <w:jc w:val="both"/>
        <w:ind w:left="640" w:firstLine="652"/>
        <w:spacing w:after="0" w:line="263" w:lineRule="auto"/>
        <w:tabs>
          <w:tab w:leader="none" w:pos="15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case of the nomination of a Stockholder Nominee for election to the Board at a special meeting of Stockholders, no earlier than 120 days before and no later than the later of 90 days before such special meeting and the tenth day after the day on which the notice of such special meeting was made by mail or Public Disclosure.</w:t>
      </w:r>
    </w:p>
    <w:p>
      <w:pPr>
        <w:spacing w:after="0" w:line="39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6" w:name="page47"/>
    <w:bookmarkEnd w:id="46"/>
    <w:p>
      <w:pPr>
        <w:jc w:val="both"/>
        <w:ind w:left="-460" w:firstLine="644"/>
        <w:spacing w:after="0" w:line="255"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anything to the contrary, if the number of Directors to be elected to the Board at a meeting of Stockholders is increased and there is no Public Disclosure by the Corporation naming the nominees for the additional directorships at least 100 days before the first anniversary of the preceding year’s annual meeting of Stockholders, a Notice of Nomination shall also be considered timely, but only with respect to nominees for the additional directorships, if it shall be delivered personally and received at the Office of the Corporation, addressed to the attention of the Secretary, no later than the close of business on the tenth day following the day on which such Public Disclosure is first made by the Corporation.</w:t>
      </w:r>
    </w:p>
    <w:p>
      <w:pPr>
        <w:spacing w:after="0" w:line="192" w:lineRule="exact"/>
        <w:rPr>
          <w:rFonts w:ascii="Arial" w:cs="Arial" w:eastAsia="Arial" w:hAnsi="Arial"/>
          <w:sz w:val="18"/>
          <w:szCs w:val="18"/>
          <w:color w:val="auto"/>
        </w:rPr>
      </w:pPr>
    </w:p>
    <w:p>
      <w:pPr>
        <w:ind w:left="-460" w:firstLine="644"/>
        <w:spacing w:after="0" w:line="308" w:lineRule="auto"/>
        <w:tabs>
          <w:tab w:leader="none" w:pos="422"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no event shall an adjournment or postponement, or Public Disclosure of an adjournment or postponement, of an annual or special meeting of Stockholders commence a new time period (or extend any time period) for the giving of the Notice of Nomination.</w:t>
      </w:r>
    </w:p>
    <w:p>
      <w:pPr>
        <w:spacing w:after="0" w:line="146" w:lineRule="exact"/>
        <w:rPr>
          <w:rFonts w:ascii="Arial" w:cs="Arial" w:eastAsia="Arial" w:hAnsi="Arial"/>
          <w:sz w:val="17"/>
          <w:szCs w:val="17"/>
          <w:color w:val="auto"/>
        </w:rPr>
      </w:pPr>
    </w:p>
    <w:p>
      <w:pPr>
        <w:ind w:left="440" w:hanging="256"/>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Notice of Nomination shall set forth:</w:t>
      </w:r>
    </w:p>
    <w:p>
      <w:pPr>
        <w:spacing w:after="0" w:line="225" w:lineRule="exact"/>
        <w:rPr>
          <w:rFonts w:ascii="Arial" w:cs="Arial" w:eastAsia="Arial" w:hAnsi="Arial"/>
          <w:sz w:val="18"/>
          <w:szCs w:val="18"/>
          <w:color w:val="auto"/>
        </w:rPr>
      </w:pPr>
    </w:p>
    <w:p>
      <w:pPr>
        <w:ind w:left="180" w:right="20" w:firstLine="652"/>
        <w:spacing w:after="0" w:line="277" w:lineRule="auto"/>
        <w:tabs>
          <w:tab w:leader="none" w:pos="10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Stockholder Information with respect to each Nominating Stockholder and Stockholder Associated Person of such Nominating Stockholder;</w:t>
      </w:r>
    </w:p>
    <w:p>
      <w:pPr>
        <w:spacing w:after="0" w:line="170" w:lineRule="exact"/>
        <w:rPr>
          <w:rFonts w:ascii="Arial" w:cs="Arial" w:eastAsia="Arial" w:hAnsi="Arial"/>
          <w:sz w:val="18"/>
          <w:szCs w:val="18"/>
          <w:color w:val="auto"/>
        </w:rPr>
      </w:pPr>
    </w:p>
    <w:p>
      <w:pPr>
        <w:ind w:left="180" w:firstLine="652"/>
        <w:spacing w:after="0" w:line="342" w:lineRule="auto"/>
        <w:tabs>
          <w:tab w:leader="none" w:pos="11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 representation to the Corporation that each Nominating Stockholder is a holder of record of stock of the Corporation entitled to vote at the meeting of Stockholders and intends to appear in person or by proxy at such meeting to propose such nomination;</w:t>
      </w:r>
    </w:p>
    <w:p>
      <w:pPr>
        <w:spacing w:after="0" w:line="123" w:lineRule="exact"/>
        <w:rPr>
          <w:rFonts w:ascii="Arial" w:cs="Arial" w:eastAsia="Arial" w:hAnsi="Arial"/>
          <w:sz w:val="16"/>
          <w:szCs w:val="16"/>
          <w:color w:val="auto"/>
        </w:rPr>
      </w:pPr>
    </w:p>
    <w:p>
      <w:pPr>
        <w:jc w:val="both"/>
        <w:ind w:left="180" w:firstLine="652"/>
        <w:spacing w:after="0" w:line="279" w:lineRule="auto"/>
        <w:tabs>
          <w:tab w:leader="none" w:pos="1164"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all information regarding each Stockholder Nominee and Stockholder Associated Person of the Nominating Stockholder nominating such Stockholder Nominee that would be required to be disclosed in a solicitation of proxies subject to Section 14 of the Exchange Act, the written consent of such Stockholder Nominee to being named in a proxy statement as a nominee and to serve if elected and a completed signed questionnaire, representation and agreement required by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180" w:firstLine="652"/>
        <w:spacing w:after="0" w:line="254" w:lineRule="auto"/>
        <w:tabs>
          <w:tab w:leader="none" w:pos="11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of such Nominating Stockholder or their respective associates, or others acting in concert therewith, including all information that would be required to be disclosed pursuant to Rule 404 promulgated under Regulation S- K if such Nominating Stockholder, Stockholder Associated Person of such Nominating Stockholder or any person acting in concert therewith were the “registrant” for purposes of such rule and the Stockholder Nominee nominated by such Stockholder Nominee were a director or executive of such registrant;</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7" w:name="page48"/>
    <w:bookmarkEnd w:id="47"/>
    <w:p>
      <w:pPr>
        <w:ind w:left="180" w:firstLine="652"/>
        <w:spacing w:after="0" w:line="277" w:lineRule="auto"/>
        <w:tabs>
          <w:tab w:leader="none" w:pos="11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Stockholder Information with respect to any stock or other interests of the Corporation held by members of the Nominating Stockholder’s or its Stockholder Associated Person’s immediate family sharing the same household;</w:t>
      </w:r>
    </w:p>
    <w:p>
      <w:pPr>
        <w:spacing w:after="0" w:line="170" w:lineRule="exact"/>
        <w:rPr>
          <w:rFonts w:ascii="Arial" w:cs="Arial" w:eastAsia="Arial" w:hAnsi="Arial"/>
          <w:sz w:val="18"/>
          <w:szCs w:val="18"/>
          <w:color w:val="auto"/>
        </w:rPr>
      </w:pPr>
    </w:p>
    <w:p>
      <w:pPr>
        <w:jc w:val="both"/>
        <w:ind w:left="180" w:firstLine="652"/>
        <w:spacing w:after="0" w:line="259" w:lineRule="auto"/>
        <w:tabs>
          <w:tab w:leader="none" w:pos="11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representation to the Corporation as to whether each Nominating Stockholder intends (A) to deliver a proxy statement and form of proxy to holders of at least the percentage of the Corporation’s outstanding capital stock required to approve the nomination of such Nominating Stockholder’s Stockholder Nominees or (B) otherwise to solicit proxies from Stockholders in support of such nomination;</w:t>
      </w:r>
    </w:p>
    <w:p>
      <w:pPr>
        <w:spacing w:after="0" w:line="186" w:lineRule="exact"/>
        <w:rPr>
          <w:rFonts w:ascii="Arial" w:cs="Arial" w:eastAsia="Arial" w:hAnsi="Arial"/>
          <w:sz w:val="18"/>
          <w:szCs w:val="18"/>
          <w:color w:val="auto"/>
        </w:rPr>
      </w:pPr>
    </w:p>
    <w:p>
      <w:pPr>
        <w:ind w:left="180" w:firstLine="652"/>
        <w:spacing w:after="0" w:line="342" w:lineRule="auto"/>
        <w:tabs>
          <w:tab w:leader="none" w:pos="1205"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other information that would be required to be filed with the SEC if each Nominating Stockholder and Stockholder Associated Persons of such Nominating Stockholder were participants in a solicitation subject to Section 14 of the Exchange Act; and</w:t>
      </w:r>
    </w:p>
    <w:p>
      <w:pPr>
        <w:spacing w:after="0" w:line="123" w:lineRule="exact"/>
        <w:rPr>
          <w:rFonts w:ascii="Arial" w:cs="Arial" w:eastAsia="Arial" w:hAnsi="Arial"/>
          <w:sz w:val="16"/>
          <w:szCs w:val="16"/>
          <w:color w:val="auto"/>
        </w:rPr>
      </w:pPr>
    </w:p>
    <w:p>
      <w:pPr>
        <w:ind w:left="180" w:firstLine="652"/>
        <w:spacing w:after="0" w:line="277" w:lineRule="auto"/>
        <w:tabs>
          <w:tab w:leader="none" w:pos="123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representation and covenant for the benefit of the Corporation that each Nominating Stockholder shall provide any other information reasonably requested by the Corporation.</w:t>
      </w:r>
    </w:p>
    <w:p>
      <w:pPr>
        <w:spacing w:after="0" w:line="170" w:lineRule="exact"/>
        <w:rPr>
          <w:rFonts w:ascii="Arial" w:cs="Arial" w:eastAsia="Arial" w:hAnsi="Arial"/>
          <w:sz w:val="18"/>
          <w:szCs w:val="18"/>
          <w:color w:val="auto"/>
        </w:rPr>
      </w:pPr>
    </w:p>
    <w:p>
      <w:pPr>
        <w:ind w:left="-460" w:right="20" w:firstLine="644"/>
        <w:spacing w:after="0" w:line="277" w:lineRule="auto"/>
        <w:tabs>
          <w:tab w:leader="none" w:pos="45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Nominating Stockholders shall also provide any other information reasonably requested by the Corporation within ten business days after such request.</w:t>
      </w:r>
    </w:p>
    <w:p>
      <w:pPr>
        <w:spacing w:after="0" w:line="170" w:lineRule="exact"/>
        <w:rPr>
          <w:rFonts w:ascii="Arial" w:cs="Arial" w:eastAsia="Arial" w:hAnsi="Arial"/>
          <w:sz w:val="18"/>
          <w:szCs w:val="18"/>
          <w:color w:val="auto"/>
        </w:rPr>
      </w:pPr>
    </w:p>
    <w:p>
      <w:pPr>
        <w:jc w:val="both"/>
        <w:ind w:left="180" w:firstLine="652"/>
        <w:spacing w:after="0" w:line="271" w:lineRule="auto"/>
        <w:tabs>
          <w:tab w:leader="none" w:pos="1047"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In addition, the Nominating Stockholders shall further update and supplement the information provided to the Corporation in the Notice of Nomination or upon the Corporation’s request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 xml:space="preserve"> as needed, so that such information shall be true and correct as of the record date for the meeting of Stockholders and as of the date that is five business days before such meeting or any adjournment or postponement thereof. Such update and supplement must be delivered personally or mailed to, and received at, the Office of the Corporation, addressed to the Secretary, by no later than five business days after the record date for the meeting of Stockholders (in the case of the update and supplement required to be made as of the record date), and not later than two business days before the date for such meeting (in the case of the update and supplement required to be made as of five business days before the meeting or any adjournment or postponement thereof).</w:t>
      </w:r>
    </w:p>
    <w:p>
      <w:pPr>
        <w:spacing w:after="0" w:line="178" w:lineRule="exact"/>
        <w:rPr>
          <w:rFonts w:ascii="Arial" w:cs="Arial" w:eastAsia="Arial" w:hAnsi="Arial"/>
          <w:sz w:val="17"/>
          <w:szCs w:val="17"/>
          <w:color w:val="auto"/>
        </w:rPr>
      </w:pPr>
    </w:p>
    <w:p>
      <w:pPr>
        <w:jc w:val="both"/>
        <w:ind w:left="-460" w:firstLine="644"/>
        <w:spacing w:after="0" w:line="263" w:lineRule="auto"/>
        <w:tabs>
          <w:tab w:leader="none" w:pos="4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person presiding over the meeting of Stockholders shall, if the facts warrant, determine and declare to such meeting, that the nomination of Directors was not made in accordance with the procedures set forth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if he or she should so determine, he or she shall so declare to such meeting and the defective nomination shall be disregarded.</w:t>
      </w:r>
    </w:p>
    <w:p>
      <w:pPr>
        <w:spacing w:after="0" w:line="183" w:lineRule="exact"/>
        <w:rPr>
          <w:rFonts w:ascii="Arial" w:cs="Arial" w:eastAsia="Arial" w:hAnsi="Arial"/>
          <w:sz w:val="18"/>
          <w:szCs w:val="18"/>
          <w:color w:val="auto"/>
        </w:rPr>
      </w:pPr>
    </w:p>
    <w:p>
      <w:pPr>
        <w:jc w:val="both"/>
        <w:ind w:left="-460" w:firstLine="644"/>
        <w:spacing w:after="0" w:line="254" w:lineRule="auto"/>
        <w:tabs>
          <w:tab w:leader="none" w:pos="406"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If a Nominating Stockholder (or a qualified representative of such Stockholder) does not appear at the applicable Stockholder meeting to nominate its Stockholder Nominees, such nomination shall be disregarded and such business shall not be transacted, notwithstanding that proxies in respect of such vote may have been received by the Corporation. For purposes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8" w:name="page49"/>
    <w:bookmarkEnd w:id="48"/>
    <w:p>
      <w:pPr>
        <w:ind w:left="660" w:firstLine="644"/>
        <w:spacing w:after="0" w:line="277" w:lineRule="auto"/>
        <w:tabs>
          <w:tab w:leader="none" w:pos="1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be deemed to affect any rights of the holders of any series of preferred stock of the Corporation pursuant to any applicable provision of the Certificate of Incorporation.</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3.4 </w:t>
      </w:r>
      <w:r>
        <w:rPr>
          <w:rFonts w:ascii="Arial" w:cs="Arial" w:eastAsia="Arial" w:hAnsi="Arial"/>
          <w:sz w:val="17"/>
          <w:szCs w:val="17"/>
          <w:b w:val="1"/>
          <w:bCs w:val="1"/>
          <w:u w:val="single" w:color="auto"/>
          <w:color w:val="auto"/>
        </w:rPr>
        <w:t>Nominee and Director Qualifications</w:t>
      </w:r>
      <w:r>
        <w:rPr>
          <w:rFonts w:ascii="Arial" w:cs="Arial" w:eastAsia="Arial" w:hAnsi="Arial"/>
          <w:sz w:val="17"/>
          <w:szCs w:val="17"/>
          <w:color w:val="auto"/>
        </w:rPr>
        <w:t>. Unless the Board determines otherwise, to be eligible to be a nominee for election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reelection as a Director, a person must deliver (in accordance with the time periods prescribed for delivery of notice by the Board) to the Secretary at the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agreement, arrangement or understanding with, and has not given any commitment or assurance to, any person or entity as to how such person will act or vote as a Director on any issue or question (a “Voting Commitment”)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Resignation</w:t>
      </w:r>
      <w:r>
        <w:rPr>
          <w:rFonts w:ascii="Arial" w:cs="Arial" w:eastAsia="Arial" w:hAnsi="Arial"/>
          <w:sz w:val="17"/>
          <w:szCs w:val="17"/>
          <w:color w:val="auto"/>
        </w:rPr>
        <w:t>. Any Director may resign at any time by notice given in writing or by electronic transmission to the Corporation.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resignation shall take effect at the date of receipt of such notice or at such later time as is therein specified, and, unless otherwise specified in such resignation, the acceptance of such resignation shall not be necessary to make it effective. If no such specification is made, the resignation shall be deemed effective at the time of delivery of the resignation to the Corporation.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7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u w:val="single" w:color="auto"/>
          <w:color w:val="auto"/>
        </w:rPr>
        <w:t>Compensation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Each Director, in consideration of his or her service as such, shall be entitled to receive from the Corporation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shall preclude any Director from serving the Corporation or its subsidiaries in any other capacity and receiving proper compensation therefor.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9" w:name="page50"/>
    <w:bookmarkEnd w:id="49"/>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Regular Meetings</w:t>
      </w:r>
      <w:r>
        <w:rPr>
          <w:rFonts w:ascii="Arial" w:cs="Arial" w:eastAsia="Arial" w:hAnsi="Arial"/>
          <w:sz w:val="18"/>
          <w:szCs w:val="18"/>
          <w:color w:val="auto"/>
        </w:rPr>
        <w:t>. Regular meetings of the Board may be held without notice at such times and at such places within or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as may be determined from time to time by the Board or its Chairman.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Special meetings of the Board may be held at such times and at such places within or without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may be determined by the Chairman or the Vice Chairman on at least 24 hours’ notice to each Director given by one of the means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other than by mail or on at least three days’ notice if given by mail.</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Telephone Meetings</w:t>
      </w:r>
      <w:r>
        <w:rPr>
          <w:rFonts w:ascii="Arial" w:cs="Arial" w:eastAsia="Arial" w:hAnsi="Arial"/>
          <w:sz w:val="18"/>
          <w:szCs w:val="18"/>
          <w:color w:val="auto"/>
        </w:rPr>
        <w:t>. Board or Board committee meetings may be held by means of telephone conference or other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equipment by means of which all persons participating in such meeting can hear each other. Participation by a Director in a Board or Board committee meeting pursuant to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constitute presence in person at such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Adjourned Meetings</w:t>
      </w:r>
      <w:r>
        <w:rPr>
          <w:rFonts w:ascii="Arial" w:cs="Arial" w:eastAsia="Arial" w:hAnsi="Arial"/>
          <w:sz w:val="18"/>
          <w:szCs w:val="18"/>
          <w:color w:val="auto"/>
        </w:rPr>
        <w:t>. A majority of the Directors present at any meeting of the Board, including an adjourned meeting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whether or not a quorum is present, may adjourn and reconvene such meeting to another time and place. At least 24 hours’ notice of any adjourned meeting of the Board shall be given to each Director whether or not present at the time of the adjournment, if such notice shall be given by one of the means specified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other than by mail or at least three days’ notice if by mail. Any business may be transacted at an adjourned meeting of the Board that might have been transacted at the meeting of the Board as originally called.</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Notice Procedure</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3.8</w:t>
      </w:r>
      <w:r>
        <w:rPr>
          <w:rFonts w:ascii="Arial" w:cs="Arial" w:eastAsia="Arial" w:hAnsi="Arial"/>
          <w:sz w:val="18"/>
          <w:szCs w:val="18"/>
          <w:b w:val="1"/>
          <w:bCs w:val="1"/>
          <w:color w:val="auto"/>
        </w:rPr>
        <w:t xml:space="preserve"> </w:t>
      </w:r>
      <w:r>
        <w:rPr>
          <w:rFonts w:ascii="Arial" w:cs="Arial" w:eastAsia="Arial" w:hAnsi="Arial"/>
          <w:sz w:val="18"/>
          <w:szCs w:val="18"/>
          <w:color w:val="auto"/>
        </w:rPr>
        <w:t>and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3.12</w:t>
      </w:r>
      <w:r>
        <w:rPr>
          <w:rFonts w:ascii="Arial" w:cs="Arial" w:eastAsia="Arial" w:hAnsi="Arial"/>
          <w:sz w:val="18"/>
          <w:szCs w:val="18"/>
          <w:color w:val="auto"/>
        </w:rPr>
        <w:t>, whenever notice is required to be given to any Director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the Certificate of Incorporation or these By-laws, such notice shall be deemed given effectively if given in person or by telephone, mail or electronic mail addressed to such Director at such Director’s address or email address, as applicable, as it appears on the records of the Corporation, facsimile or by other means of electronic transmission.</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3.12 </w:t>
      </w:r>
      <w:r>
        <w:rPr>
          <w:rFonts w:ascii="Arial" w:cs="Arial" w:eastAsia="Arial" w:hAnsi="Arial"/>
          <w:sz w:val="17"/>
          <w:szCs w:val="17"/>
          <w:b w:val="1"/>
          <w:bCs w:val="1"/>
          <w:u w:val="single" w:color="auto"/>
          <w:color w:val="auto"/>
        </w:rPr>
        <w:t>Waiver of Notice</w:t>
      </w:r>
      <w:r>
        <w:rPr>
          <w:rFonts w:ascii="Arial" w:cs="Arial" w:eastAsia="Arial" w:hAnsi="Arial"/>
          <w:sz w:val="17"/>
          <w:szCs w:val="17"/>
          <w:color w:val="auto"/>
        </w:rPr>
        <w:t>. Whenever notice is required to be given to Directors by applicable law,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signed by the Director entitled to the notice, or a waiver by electronic transmission by the Director entitled to notice, whether before or after such notice is required, shall be deemed equivalent to notice. Attendance by a Director at a meeting of the Board shall constitute a waiver of notice of such meeting except when the Director attends a meeting of the Board for the express purpose of objecting, at the beginning of such meeting, to the transaction of any business on the ground that such meeting was not lawfully called or convened. Neither the business to be transacted at, nor the purpose of, any regular or special Board or Board committee meeting need be specified in any waiver of notice.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Organization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At each meeting of the Board, the Chairman, or in the absence of the Chairman, a Vice Chairman, or if a Vice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has not been appointed or is absent, a Director or Officer appointed by the Chairman, shall preside. The Secretary shall act as secretary at each meeting of the Board. If the Secretary is absent from any meeting of the Board, an Assistant Secretary shall perform the duties of secretary at such meeting, and in the absence from any such meeting of the Secretary and all Assistant Secretaries, the person presiding at such meeting may appoint any person to act as secretary of such meeting.</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u w:val="single" w:color="auto"/>
          <w:color w:val="auto"/>
        </w:rPr>
        <w:t>Quorum of Directors</w:t>
      </w:r>
      <w:r>
        <w:rPr>
          <w:rFonts w:ascii="Arial" w:cs="Arial" w:eastAsia="Arial" w:hAnsi="Arial"/>
          <w:sz w:val="18"/>
          <w:szCs w:val="18"/>
          <w:color w:val="auto"/>
        </w:rPr>
        <w:t>. The presence in person of a majority of the total number of Directors of the Board shall be necessary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to constitute a quorum for the transaction of business at any meeting of the Board.</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3.15 </w:t>
      </w:r>
      <w:r>
        <w:rPr>
          <w:rFonts w:ascii="Arial" w:cs="Arial" w:eastAsia="Arial" w:hAnsi="Arial"/>
          <w:sz w:val="17"/>
          <w:szCs w:val="17"/>
          <w:b w:val="1"/>
          <w:bCs w:val="1"/>
          <w:u w:val="single" w:color="auto"/>
          <w:color w:val="auto"/>
        </w:rPr>
        <w:t>Voting</w:t>
      </w:r>
      <w:r>
        <w:rPr>
          <w:rFonts w:ascii="Arial" w:cs="Arial" w:eastAsia="Arial" w:hAnsi="Arial"/>
          <w:sz w:val="17"/>
          <w:szCs w:val="17"/>
          <w:color w:val="auto"/>
        </w:rPr>
        <w:t>. Except as otherwise expressly required by these By-laws or the Certificate of Incorporation, the vote of a majority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present at a meeting of the Board at which a quorum is present shall be the act of the Board; provided that to the extent one or more Directors recuses himself or herself from an act, the act of a majority of the remaining Directors present at such meeting shall be the act of the Board.</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b w:val="1"/>
          <w:bCs w:val="1"/>
          <w:u w:val="single" w:color="auto"/>
          <w:color w:val="auto"/>
        </w:rPr>
        <w:t>Action Without Meeting</w:t>
      </w:r>
      <w:r>
        <w:rPr>
          <w:rFonts w:ascii="Arial" w:cs="Arial" w:eastAsia="Arial" w:hAnsi="Arial"/>
          <w:sz w:val="18"/>
          <w:szCs w:val="18"/>
          <w:color w:val="auto"/>
        </w:rPr>
        <w:t>. Unless otherwise restricted by these By-laws or the Certificate of Incorporation, any action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taken at any meeting of the Board or of any committee thereof may be taken without a meeting of the Board or the committee, if all Directors or members of such committee, as the case may be, consent thereto in writing or by electronic transmission, and, after an action is taken, the consent or consents relating thereto shall be filed with the minutes of proceedings of the Board or committee thereof, in the same paper or electronic form as the minutes are maintained.</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3.17 </w:t>
      </w:r>
      <w:r>
        <w:rPr>
          <w:rFonts w:ascii="Arial" w:cs="Arial" w:eastAsia="Arial" w:hAnsi="Arial"/>
          <w:sz w:val="18"/>
          <w:szCs w:val="18"/>
          <w:b w:val="1"/>
          <w:bCs w:val="1"/>
          <w:u w:val="single" w:color="auto"/>
          <w:color w:val="auto"/>
        </w:rPr>
        <w:t>Chairman, Vice Chairman and Lead Independent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may appoint from its members a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may, in its sole discretion, from time to time appoint one or more Vice Chairman, each of whom in such capacity shall report directly to the Chairperson. The Chairman, if appointed and when present, shall preside at all meetings of Stockholders and the Board. The Chairman shall perform other duties commonly incident to the office and shall also perform such other duties and have such other powers as the Board shall designate from time to time. The Chairman, or if the Chairman is not an independent director, one of the independent directors, may be designated by the Board as lead independent director to serve as such until replaced by the Board (“Lead Independent Director”). The Lead Independent Director will perform such other duties as may be established or delegated by the Board.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w:t>
      </w:r>
    </w:p>
    <w:p>
      <w:pPr>
        <w:spacing w:after="0" w:line="20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Committees of the Board</w:t>
      </w:r>
      <w:r>
        <w:rPr>
          <w:rFonts w:ascii="Arial" w:cs="Arial" w:eastAsia="Arial" w:hAnsi="Arial"/>
          <w:sz w:val="16"/>
          <w:szCs w:val="16"/>
          <w:color w:val="auto"/>
        </w:rPr>
        <w:t>. The Board may, by resolution, designate one or more committees of the Board,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an audit committee, a compensation committee, an investment committee and an executive committee, and each such committee shall consist of one or more of the Directors of the Corporation. The Board may, by resolution, adopt (a) an overall governance policy, which may include a delegation of authority from the Board to any such committee and/or any officer of the Corporation, and/or (b) a charter for any such committee. The Board may designate one or more Directors as alternate members of any committee of the Board, who may replace any absent or disqualified member at any meeting of such committee. If a member of a committee of the Board shall be absent from any meeting of such committee, or disqualified from voting thereat, the remaining member or members present at such meeting and not disqualified from voting, whether or not such member or members constitute a quorum, may, by a unanimous vote, appoint another member of the Board to act at such meeting in the place of any such absent or disqualified member. Any such committee of the Board, to the extent permitted by applicable law, and to the extent provided by resolution of the Board designating such committee, in an overall governance policy and/or the charter for such committee, shall have and may exercise all the powers and authority of the Board in the management of the business and affairs of the Corporation and may authorize the seal of the Corporation to be affixed to all papers that may require it to the extent so authorized by the Board. The Board may remove any Director from any committee of the Board at any time, with or without cause. Unless the Board provides otherwise, at all meetings of a committee of the Board, a majority of the then authorized members of such committee shall constitute a quorum for the transaction of business, and the vote of a majority of the members of such committee present at any meeting of such committee at which there is a quorum shall be the act of such committee. Each committee of the Board shall keep regular minutes of its meetings. Unless the Board provides otherwise, each committee of the Board designated by the Board may make, alter and repeal rules and procedures for the conduct of its business. In the absence of such rules and procedures, each committee of the Board shall conduct its business in the same manner as the Board conducts its business pursuant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ind w:left="51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Positions; Election</w:t>
      </w:r>
      <w:r>
        <w:rPr>
          <w:rFonts w:ascii="Arial" w:cs="Arial" w:eastAsia="Arial" w:hAnsi="Arial"/>
          <w:sz w:val="17"/>
          <w:szCs w:val="17"/>
          <w:color w:val="auto"/>
        </w:rPr>
        <w:t>. The Board may from time to time elect officers of the Corporation, which may include a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 President, a Chief Financial Officer, one or more Vice Presidents, a Secretary, a Treasurer and any other officers as it may deem proper. The Board may delegate to any elected officer of the Corporation the power to appoint and remove any such officers and to prescribe their respective terms of office, authorities and duties. Any number of offices may be held by the same person. Should the Corporation or any of its subsidiaries enter into any management services or similar agreement with another entity (each as may be amended, supplemented, restated or replaced from time to time), the officers of the Corporation may be the officers or employees of such entity to the extent permitted by applicable law.</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Term of Office</w:t>
      </w:r>
      <w:r>
        <w:rPr>
          <w:rFonts w:ascii="Arial" w:cs="Arial" w:eastAsia="Arial" w:hAnsi="Arial"/>
          <w:sz w:val="18"/>
          <w:szCs w:val="18"/>
          <w:color w:val="auto"/>
        </w:rPr>
        <w:t>. Each officer of the Corporation shall hold office for such term as may be determined by the Board or, except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his or her own office, the Chief Executive Officer, or until such officer’s successor is elected and qualified or until such officer’s earlier death, resignation or removal. Any officer of the Corporation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of the Corporation shall be without prejudice to the contract rights of the Corporation, if any. Any officer of the Corporation may be removed at any time with or without cause by the Board or, in the case of appointed officers of the Corporation, by any elected officer of the Corporation upon whom such power of removal shall have been conferred by the Board. Any vacancy occurring in any office of the Corporation may be filled by the Board or, in the case of appointed officers of the Corporation, by any elected officer of the Corporation upon whom such power of appointment shall have been conferred by the Board. The election or appointment of an officer of the Corporation shall not of itself create contract rights.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Chief Executive Officer</w:t>
      </w:r>
      <w:r>
        <w:rPr>
          <w:rFonts w:ascii="Arial" w:cs="Arial" w:eastAsia="Arial" w:hAnsi="Arial"/>
          <w:sz w:val="16"/>
          <w:szCs w:val="16"/>
          <w:color w:val="auto"/>
        </w:rPr>
        <w:t>. The Chief Executive Officer shall have general supervision over, and direction of, the business and affairs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subject, however, to the control of the Board and of any duly authorized committee of the Board. The Chief Executive Officer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Chief Executive Officer shall perform all duties incident to the office of chief executive officer of a corporation and such other duties as may be determined from time to time by the Board. The Board may appoint Co-Chief Executive Officers who shall share the powers, rights and obligations set forth herein or otherwise determined by the Board.</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President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shall have duties incident to the office of president of a corporation and any other duties as may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be assigned to the President by the Chief Executive Officer (if the President and Chief Executive Officer are not the same person) or the Board and subject to the control of the Chief Executive Officer (if the President and Chief Executive Officer are not the same person) and the Board in each case.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Vice Presidents</w:t>
      </w:r>
      <w:r>
        <w:rPr>
          <w:rFonts w:ascii="Arial" w:cs="Arial" w:eastAsia="Arial" w:hAnsi="Arial"/>
          <w:sz w:val="17"/>
          <w:szCs w:val="17"/>
          <w:color w:val="auto"/>
        </w:rPr>
        <w:t>. Each Vice President (including Executive Vice Presidents and Senior Vice Presidents) shall have the duties incident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office of vice president of a corporation and any other duties that may from time to time be assigned to such Vice President by the Chief Executive Officer, the President or the Board.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5.6 </w:t>
      </w:r>
      <w:r>
        <w:rPr>
          <w:rFonts w:ascii="Arial" w:cs="Arial" w:eastAsia="Arial" w:hAnsi="Arial"/>
          <w:sz w:val="17"/>
          <w:szCs w:val="17"/>
          <w:b w:val="1"/>
          <w:bCs w:val="1"/>
          <w:u w:val="single" w:color="auto"/>
          <w:color w:val="auto"/>
        </w:rPr>
        <w:t>Chief Financial Officer</w:t>
      </w:r>
      <w:r>
        <w:rPr>
          <w:rFonts w:ascii="Arial" w:cs="Arial" w:eastAsia="Arial" w:hAnsi="Arial"/>
          <w:sz w:val="17"/>
          <w:szCs w:val="17"/>
          <w:color w:val="auto"/>
        </w:rPr>
        <w:t>. The Chief Financial Officer shall keep or cause to be kept the books of account of the Corporation in a</w:t>
      </w:r>
      <w:r>
        <w:rPr>
          <w:rFonts w:ascii="Arial" w:cs="Arial" w:eastAsia="Arial" w:hAnsi="Arial"/>
          <w:sz w:val="17"/>
          <w:szCs w:val="17"/>
          <w:b w:val="1"/>
          <w:bCs w:val="1"/>
          <w:color w:val="auto"/>
        </w:rPr>
        <w:t xml:space="preserve"> </w:t>
      </w:r>
      <w:r>
        <w:rPr>
          <w:rFonts w:ascii="Arial" w:cs="Arial" w:eastAsia="Arial" w:hAnsi="Arial"/>
          <w:sz w:val="17"/>
          <w:szCs w:val="17"/>
          <w:color w:val="auto"/>
        </w:rPr>
        <w:t>thorough and proper manner and shall render statements of the financial affairs of the Corporation in such form and as often as required by the Board or the Chief Executive Officer, or if no Chief Executive officer is then serving, the President. The Chief Financial Officer, subject to the order of the Board, shall have the custody of all funds and securities of the Corporation. The Chief Financial Officer shall perform other duties commonly incident to the office of chief financial officer of a corporation and shall also perform such other duties and have such other powers as the Board or the Chief Executive Officer, or if no Chief Executive Officer is then serving, the President shall designate from time to time. To the extent that the Chief Financial Officer has been appointed and the Treasurer has not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of the Treasurer and any Assistant Treasurer, and each controller and assistant controller, shall perform other duties commonly incident to the office of chief financial officer of a corporation and shall also perform such other duties and have such other powers as the Board or the Chief Executive Officer, or if no Chief Executive Officer is then serving, the President shall designate from time to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Secretary</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Secretary shall attend all meetings of the Board and of the Stockholders, record all the proceedings of the meetings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and of the Stockholders in a book to be kept for that purpose and perform like duties for committees of the Board, when required. The Secretary shall give, or cause to be given, notice of all special meetings of the Board and of the Stockholders and perform such other duties as may be prescribed by the Board, the Chief Executive Officer or the President. The Secretary shall have custody of the corporate seal of the Corporation and the Secretary or an Assistant Secretary shall have authority to affix the same on any instrument that may require it, and when so affixed, the seal may be attested by the signature of the Secretary or such Assistant Secretary. The Board may give general authority to any other officer of the Corporation to affix the seal of the Corporation and to attest the same by such officer’s signature. The Secretary or an Assistant Secretary may also attest all instruments signed by the Chairman, the Vice Chairman the Chief Executive Officer, the President or any Vice President. The 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the Chief Executive Officer or the President.</w:t>
      </w:r>
    </w:p>
    <w:p>
      <w:pPr>
        <w:spacing w:after="0" w:line="16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5.8 </w:t>
      </w:r>
      <w:r>
        <w:rPr>
          <w:rFonts w:ascii="Arial" w:cs="Arial" w:eastAsia="Arial" w:hAnsi="Arial"/>
          <w:sz w:val="16"/>
          <w:szCs w:val="16"/>
          <w:b w:val="1"/>
          <w:bCs w:val="1"/>
          <w:u w:val="single" w:color="auto"/>
          <w:color w:val="auto"/>
        </w:rPr>
        <w:t>Treasurer</w:t>
      </w:r>
      <w:r>
        <w:rPr>
          <w:rFonts w:ascii="Arial" w:cs="Arial" w:eastAsia="Arial" w:hAnsi="Arial"/>
          <w:sz w:val="16"/>
          <w:szCs w:val="16"/>
          <w:color w:val="auto"/>
        </w:rPr>
        <w:t>. The Treasurer shall have charge and custody of, and be responsible for, all funds, securities and notes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of the Corporation transacting the same, render to the Chief Executive Officer, the President or the Board, whenever the Chief Executive Officer,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the Chief Executive Officer or the President.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right="20" w:firstLine="648"/>
        <w:spacing w:after="0" w:line="312"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Assistant Secretaries and Assistant Treasurers</w:t>
      </w:r>
      <w:r>
        <w:rPr>
          <w:rFonts w:ascii="Arial" w:cs="Arial" w:eastAsia="Arial" w:hAnsi="Arial"/>
          <w:sz w:val="17"/>
          <w:szCs w:val="17"/>
          <w:color w:val="auto"/>
        </w:rPr>
        <w:t>. Each Assistant Secretary and each Assistant Treasurer shall perform such duties as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assigned to it by the Secretary or the Treasurer, respectively, or by the Board, the Chief Executive Officer or the President.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Certificates Representing Shares</w:t>
      </w:r>
      <w:r>
        <w:rPr>
          <w:rFonts w:ascii="Arial" w:cs="Arial" w:eastAsia="Arial" w:hAnsi="Arial"/>
          <w:sz w:val="18"/>
          <w:szCs w:val="18"/>
          <w:color w:val="auto"/>
        </w:rPr>
        <w:t>. The shares of stock of the Corporation may be represented by certificates or be uncertificated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evidenced by a book-entry system maintained by the registrar of such stock, or a combination of both. If shares of stock of the Corporation are represented by certificates, such certificates shall be in the form approved by the Board. The certificates representing shares of stock of the Corporation shall be signed by, or in the name of, the Corporation by the Chief Executive Officer, the President or any Vice President, the Chief Financial Officer and by the Secretary, any Assistant Secretary, the Treasurer or any Assistant Treasurer. Any or all such signatures may be facsimiles. Although any officer, transfer agent or registrar of the Corporation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Transfer and Registry Agents</w:t>
      </w:r>
      <w:r>
        <w:rPr>
          <w:rFonts w:ascii="Arial" w:cs="Arial" w:eastAsia="Arial" w:hAnsi="Arial"/>
          <w:sz w:val="18"/>
          <w:szCs w:val="18"/>
          <w:color w:val="auto"/>
        </w:rPr>
        <w:t>. The Corporation may from time to time maintain one or more transfer offices or agents and registry</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or agents at such place or places as may be determined from time to time by the Board.</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Lost, Stolen or Destroyed Certificates</w:t>
      </w:r>
      <w:r>
        <w:rPr>
          <w:rFonts w:ascii="Arial" w:cs="Arial" w:eastAsia="Arial" w:hAnsi="Arial"/>
          <w:sz w:val="18"/>
          <w:szCs w:val="18"/>
          <w:color w:val="auto"/>
        </w:rPr>
        <w:t>. The Corporation may issue a new certificate of stock or uncertificated shares in the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certificate theretofore issued by it, alleged to have been lost, stolen or destroyed, and the Corporation may require the owner of the allegedly lost, stolen or destroyed certificate or his, her or its legal representative to give the Corporation a bond sufficient to indemnify the Corporation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Form of Records</w:t>
      </w:r>
      <w:r>
        <w:rPr>
          <w:rFonts w:ascii="Arial" w:cs="Arial" w:eastAsia="Arial" w:hAnsi="Arial"/>
          <w:sz w:val="18"/>
          <w:szCs w:val="18"/>
          <w:color w:val="auto"/>
        </w:rPr>
        <w:t>. Any records maintained by the Corporation in the regular course of its business, including its stock ledger, books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and minute books, may be maintained on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6.5 </w:t>
      </w:r>
      <w:r>
        <w:rPr>
          <w:rFonts w:ascii="Arial" w:cs="Arial" w:eastAsia="Arial" w:hAnsi="Arial"/>
          <w:sz w:val="16"/>
          <w:szCs w:val="16"/>
          <w:b w:val="1"/>
          <w:bCs w:val="1"/>
          <w:u w:val="single" w:color="auto"/>
          <w:color w:val="auto"/>
        </w:rPr>
        <w:t>Seal</w:t>
      </w:r>
      <w:r>
        <w:rPr>
          <w:rFonts w:ascii="Arial" w:cs="Arial" w:eastAsia="Arial" w:hAnsi="Arial"/>
          <w:sz w:val="16"/>
          <w:szCs w:val="16"/>
          <w:color w:val="auto"/>
        </w:rPr>
        <w:t>. The corporate seal shall have the name of the Corporation inscribed thereon and shall be in such form as may be approved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by the Board. The seal may be used by causing it or a facsimile thereof to be impressed or affixed or otherwise reproduced.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6.6 </w:t>
      </w:r>
      <w:r>
        <w:rPr>
          <w:rFonts w:ascii="Arial" w:cs="Arial" w:eastAsia="Arial" w:hAnsi="Arial"/>
          <w:sz w:val="16"/>
          <w:szCs w:val="16"/>
          <w:b w:val="1"/>
          <w:bCs w:val="1"/>
          <w:u w:val="single" w:color="auto"/>
          <w:color w:val="auto"/>
        </w:rPr>
        <w:t>Fiscal Year</w:t>
      </w:r>
      <w:r>
        <w:rPr>
          <w:rFonts w:ascii="Arial" w:cs="Arial" w:eastAsia="Arial" w:hAnsi="Arial"/>
          <w:sz w:val="16"/>
          <w:szCs w:val="16"/>
          <w:color w:val="auto"/>
        </w:rPr>
        <w:t>. The fiscal year of the Corporation shall end on December 31 of each year unless otherwise determined by the Board.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These By-laws may be adopted, altered, amended or repealed in accordance with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Corporation Law.</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6.8 </w:t>
      </w:r>
      <w:r>
        <w:rPr>
          <w:rFonts w:ascii="Arial" w:cs="Arial" w:eastAsia="Arial" w:hAnsi="Arial"/>
          <w:sz w:val="18"/>
          <w:szCs w:val="18"/>
          <w:b w:val="1"/>
          <w:bCs w:val="1"/>
          <w:u w:val="single" w:color="auto"/>
          <w:color w:val="auto"/>
        </w:rPr>
        <w:t>Conflict with Applicable Law or Certificate of Incorporation</w:t>
      </w:r>
      <w:r>
        <w:rPr>
          <w:rFonts w:ascii="Arial" w:cs="Arial" w:eastAsia="Arial" w:hAnsi="Arial"/>
          <w:sz w:val="18"/>
          <w:szCs w:val="18"/>
          <w:color w:val="auto"/>
        </w:rPr>
        <w:t>. These By-laws are adopted subject to any applicable law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Whenever these By-laws may conflict with any applicable law or the Certificate of Incorporation, such conflict shall be resolved in favor of such law or the Certificate of Incorporation.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Directors and Executive Officers</w:t>
      </w:r>
      <w:r>
        <w:rPr>
          <w:rFonts w:ascii="Arial" w:cs="Arial" w:eastAsia="Arial" w:hAnsi="Arial"/>
          <w:sz w:val="18"/>
          <w:szCs w:val="18"/>
          <w:color w:val="auto"/>
        </w:rPr>
        <w:t>. The Corporation shall indemnify its Directors and executive officers (for the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“executive officers” shall have the meaning defined in Rule 3b-7 promulgated under the Exchange Act) to the extent not prohibited by the General Corporation Law or any other applicable law; provided, however, that the Corporation may modify the extent of such indemnification by individual contracts with its Directors and executive officers; provided, further, that the Corporation shall not be required to indemnify any Director or executive officer in connection with any proceeding (or part thereof) initiated by such person unless (a) such indemnification is expressly required to be made by applicable law, (b) the proceeding was authorized by the Board, (c) such indemnification is provided by the Corporation, in its sole discretion, pursuant to the powers vested in the Corporation under the General Corporation Law or any other applicable law or (d) such indemnification is required to be made under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u w:val="single" w:color="auto"/>
          <w:color w:val="auto"/>
        </w:rPr>
        <w:t>Other Officers, Employees and Other Agents</w:t>
      </w:r>
      <w:r>
        <w:rPr>
          <w:rFonts w:ascii="Arial" w:cs="Arial" w:eastAsia="Arial" w:hAnsi="Arial"/>
          <w:sz w:val="18"/>
          <w:szCs w:val="18"/>
          <w:color w:val="auto"/>
        </w:rPr>
        <w:t>. The Corporation shall have the power to indemnify its officers (other than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officers who shall be indemnified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employees and other agents as set forth in the General Corporation Law or any other applicable law. The Board shall have the power to delegate the determination of whether indemnification shall be given to any such person (except executive officers) to such officers of the Corporation or other persons as the Board shall determine.</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7.3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The Corporation shall advance to any person who was or is a party or is threatened to be made a party to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pending or completed action, suit or proceeding, whether civil, criminal, administrative or investigative, by reason of the fact that he or she is or was a Director or executive officer of the Corporation or is or was serving at the request of the Corporation as a director or executive officer of another corporation, partnership, joint venture, trust or other enterprise (each, an “indemnitee”) prior to the final disposition of such action, suit or proceeding, promptly following request therefor, all expenses incurred by any indemnitee in connection with such action, suit or proceeding; provided, however, that if the General Corporation Law requires an advancement of expenses incurred by an indemnitee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or otherwise.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7.4 </w:t>
      </w:r>
      <w:r>
        <w:rPr>
          <w:rFonts w:ascii="Arial" w:cs="Arial" w:eastAsia="Arial" w:hAnsi="Arial"/>
          <w:sz w:val="16"/>
          <w:szCs w:val="16"/>
          <w:b w:val="1"/>
          <w:bCs w:val="1"/>
          <w:u w:val="single" w:color="auto"/>
          <w:color w:val="auto"/>
        </w:rPr>
        <w:t>Enforcement</w:t>
      </w:r>
      <w:r>
        <w:rPr>
          <w:rFonts w:ascii="Arial" w:cs="Arial" w:eastAsia="Arial" w:hAnsi="Arial"/>
          <w:sz w:val="16"/>
          <w:szCs w:val="16"/>
          <w:color w:val="auto"/>
        </w:rPr>
        <w:t>. Without the necessity of entering into an express contract, all rights to indemnification and advances to indemnitees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these By-laws shall be deemed to be contractual rights and be effective to the same extent and as if provided for in a contract between the Corporation and such indemnitee. Any right to indemnification or advances granted by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an indemnitee shall be enforceable by or on behalf of the person holding such right in the Court of Chancery of the State of Delaware if (a) the claim for indemnification or advances is denied, in whole or in part, or (b) no disposition of such claim is made within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General Corporation Law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or any other applicable law, nor an actual determination by the Corporation (including its Board, independent legal counsel or its stockholders) that the claimant has not met such applicable standard of conduct, shall be a defense to the action or create a presumption that claimant has not met the applicable standard of conduct. In any suit brought by an indemnitee to enforce a right to indemnification or to an advancement of expenses hereunder, the burden of proving that the indemnitee is not entitled to be indemnified, or to such advancement of expenses,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shall be on the Corporation.</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7.5 </w:t>
      </w:r>
      <w:r>
        <w:rPr>
          <w:rFonts w:ascii="Arial" w:cs="Arial" w:eastAsia="Arial" w:hAnsi="Arial"/>
          <w:sz w:val="17"/>
          <w:szCs w:val="17"/>
          <w:b w:val="1"/>
          <w:bCs w:val="1"/>
          <w:u w:val="single" w:color="auto"/>
          <w:color w:val="auto"/>
        </w:rPr>
        <w:t>Non-Exclusivity of Rights</w:t>
      </w:r>
      <w:r>
        <w:rPr>
          <w:rFonts w:ascii="Arial" w:cs="Arial" w:eastAsia="Arial" w:hAnsi="Arial"/>
          <w:sz w:val="17"/>
          <w:szCs w:val="17"/>
          <w:color w:val="auto"/>
        </w:rPr>
        <w:t>. The rights conferred on any person by these By-laws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these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General Corporation Law or by any other applicable law.</w:t>
      </w:r>
    </w:p>
    <w:p>
      <w:pPr>
        <w:spacing w:after="0" w:line="1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Survival of Rights</w:t>
      </w:r>
      <w:r>
        <w:rPr>
          <w:rFonts w:ascii="Arial" w:cs="Arial" w:eastAsia="Arial" w:hAnsi="Arial"/>
          <w:sz w:val="18"/>
          <w:szCs w:val="18"/>
          <w:color w:val="auto"/>
        </w:rPr>
        <w:t>. The rights conferred on any person by these By-laws shall continue as to a person who has ceased to be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or other agent and shall inure to the benefit of the heirs, executors and administrators of such a person.</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Section 7.7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To the fullest extent permitted by the General Corporation Law or any other applicable law, the Corporation, upon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approval by the Board, may purchase insurance on behalf of any person required or permitted to be indemnified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Any amendment, repeal or modification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only be prospective only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under these By-laws in effect at the time of the alleged occurrence of any action or omission that is the cause of any proceeding against any agent of the Corporation.</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7.9 </w:t>
      </w:r>
      <w:r>
        <w:rPr>
          <w:rFonts w:ascii="Arial" w:cs="Arial" w:eastAsia="Arial" w:hAnsi="Arial"/>
          <w:sz w:val="17"/>
          <w:szCs w:val="17"/>
          <w:b w:val="1"/>
          <w:bCs w:val="1"/>
          <w:u w:val="single" w:color="auto"/>
          <w:color w:val="auto"/>
        </w:rPr>
        <w:t>Saving Clause</w:t>
      </w:r>
      <w:r>
        <w:rPr>
          <w:rFonts w:ascii="Arial" w:cs="Arial" w:eastAsia="Arial" w:hAnsi="Arial"/>
          <w:sz w:val="17"/>
          <w:szCs w:val="17"/>
          <w:color w:val="auto"/>
        </w:rPr>
        <w:t>. If these By-laws or any portion hereof shall be invalidated on any ground by any court of competent jurisdiction, then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Corporation shall nevertheless indemnify each indemnitee to the full extent not prohibited by any applicable portion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that shall not have been invalidated, or by any other applicable law. If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invalid due to the application of the indemnification provisions of another jurisdiction, then the Corporation shall indemnify each indemnitee to the full extent under any other applicable law.</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For the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the following definitions shall apply:</w:t>
      </w:r>
    </w:p>
    <w:p>
      <w:pPr>
        <w:spacing w:after="0" w:line="229" w:lineRule="exact"/>
        <w:rPr>
          <w:sz w:val="20"/>
          <w:szCs w:val="20"/>
          <w:color w:val="auto"/>
        </w:rPr>
      </w:pPr>
    </w:p>
    <w:p>
      <w:pPr>
        <w:jc w:val="both"/>
        <w:ind w:left="660" w:firstLine="644"/>
        <w:spacing w:after="0" w:line="263" w:lineRule="auto"/>
        <w:tabs>
          <w:tab w:leader="none" w:pos="15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color w:val="auto"/>
        </w:rPr>
      </w:pPr>
    </w:p>
    <w:p>
      <w:pPr>
        <w:ind w:left="660" w:right="20" w:firstLine="644"/>
        <w:spacing w:after="0" w:line="342" w:lineRule="auto"/>
        <w:tabs>
          <w:tab w:leader="none" w:pos="157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3" w:lineRule="exact"/>
        <w:rPr>
          <w:rFonts w:ascii="Arial" w:cs="Arial" w:eastAsia="Arial" w:hAnsi="Arial"/>
          <w:sz w:val="16"/>
          <w:szCs w:val="16"/>
          <w:color w:val="auto"/>
        </w:rPr>
      </w:pPr>
    </w:p>
    <w:p>
      <w:pPr>
        <w:jc w:val="both"/>
        <w:ind w:left="660" w:firstLine="644"/>
        <w:spacing w:after="0" w:line="254" w:lineRule="auto"/>
        <w:tabs>
          <w:tab w:leader="none" w:pos="15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with respect to the resulting or surviving Corporation as he or she would have with respect to such constituent Corporation if its separate existence had continued;</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5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 and</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55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(i) references to (A) “other enterprises” shall include employee benefit plans, (B) “fines” shall include any excise taxes assessed on a person with respect to an employee benefit plan and (C)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(ii)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OMNIBUS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1. Purpose of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name of the Plan is the OPAL Fuels, Inc. 2022 Omnibus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purposes of the Plan are to</w:t>
      </w:r>
    </w:p>
    <w:p>
      <w:pPr>
        <w:spacing w:after="0" w:line="35" w:lineRule="exact"/>
        <w:rPr>
          <w:sz w:val="20"/>
          <w:szCs w:val="20"/>
          <w:color w:val="auto"/>
        </w:rPr>
      </w:pPr>
    </w:p>
    <w:p>
      <w:pPr>
        <w:jc w:val="both"/>
        <w:ind w:firstLine="8"/>
        <w:spacing w:after="0" w:line="292" w:lineRule="auto"/>
        <w:tabs>
          <w:tab w:leader="none" w:pos="2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To accomplish these purposes, the Plan provides that the Company may grant Options, Stock Appreciation Rights, Restricted Stock, Restricted Stock Units, Other Stock-Based Awards or any combination of the foregoing.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Section 2. 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if and to the extent the Board does not administer the Plan, the Committee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3 hereof.</w:t>
      </w:r>
    </w:p>
    <w:p>
      <w:pPr>
        <w:spacing w:after="0" w:line="211" w:lineRule="exact"/>
        <w:rPr>
          <w:sz w:val="20"/>
          <w:szCs w:val="20"/>
          <w:color w:val="auto"/>
        </w:rPr>
      </w:pPr>
    </w:p>
    <w:p>
      <w:pPr>
        <w:ind w:firstLine="1304"/>
        <w:spacing w:after="0" w:line="277" w:lineRule="auto"/>
        <w:tabs>
          <w:tab w:leader="none" w:pos="15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 as of any date of determination.</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15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applicable requirements under U.S. federal and state corporate laws, U.S. federal and state securities laws, including the Code, any stock exchange or quotation system on which the Common Stock is listed or quoted and the applicable laws of any other country or jurisdiction where Awards are granted under the Plan, as are in effect from time to time.</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any Option, Stock Appreciation Right, Restricted Stock, Restricted Stock Unit or Other Stock-Based Award granted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Plan.</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5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notice, agreement, contract or other instrument or document evidencing an Award, including through electronic medium, which shall contain such terms and conditions with respect to an Award as the Administrator shall determine, consistent with the Plan.</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xml:space="preserve"> (or any variant thereof) has the meaning defined in Rule 13d-3 under the Exchange Act.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 the bylaws of the Company, as may be amended and/or restated from time to time.</w:t>
      </w:r>
    </w:p>
    <w:p>
      <w:pPr>
        <w:spacing w:after="0" w:line="225" w:lineRule="exact"/>
        <w:rPr>
          <w:rFonts w:ascii="Arial" w:cs="Arial" w:eastAsia="Arial" w:hAnsi="Arial"/>
          <w:sz w:val="18"/>
          <w:szCs w:val="18"/>
          <w:color w:val="auto"/>
        </w:rPr>
      </w:pPr>
    </w:p>
    <w:p>
      <w:pPr>
        <w:jc w:val="both"/>
        <w:ind w:firstLine="1304"/>
        <w:spacing w:after="0" w:line="270" w:lineRule="auto"/>
        <w:tabs>
          <w:tab w:leader="none" w:pos="152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has the meaning assigned to such term in any individual service, employment or severance agreement or Award Agreement with the Participant or, if no such agreement exists or if such agreement does not define “Cause,” then “Cause” means (i) the conviction, guilty plea or plea of “no contest” by the Participant to any felony or a crime involving moral turpitude or the Participant’s commission of any other act or omission involving dishonesty or fraud, (ii) the substantial and repeated failure of the Participant to perform duties of the office held by the Participant, (iii) the Participant’s gross negligence, willful misconduct or breach of fiduciary duty with respect to the Company or any of its Subsidiaries or Affiliates, (iv) any breach by the Participant of any restrictive covenants to which the Participant is subject, and/or (v) the Participant’s engagement in any conduct which is or can reasonably be expected to be materially detrimental or injurious to the business or reputation of the Company or its Affiliates. Any voluntary termination of employment or service by the Participant in anticipation of an involuntary termination of the Participant’s employment or service, as applicable, for Cause shall be deemed to be a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both"/>
        <w:ind w:firstLine="1304"/>
        <w:spacing w:after="0" w:line="257" w:lineRule="auto"/>
        <w:tabs>
          <w:tab w:leader="none" w:pos="15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Capitalization</w:t>
      </w:r>
      <w:r>
        <w:rPr>
          <w:rFonts w:ascii="Arial" w:cs="Arial" w:eastAsia="Arial" w:hAnsi="Arial"/>
          <w:sz w:val="18"/>
          <w:szCs w:val="18"/>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share subdivision or consolidation, (iii) combination or exchange of shares or (iv) other change in corporate structure, which, in any such case, the Administrator determines, in its sole discretion, affects the Shares such that an adjustment pursuant to Section 5 hereof is appropriate.</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first occurrence of an event set forth in any one of the following paragraphs following the 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jc w:val="both"/>
        <w:ind w:firstLine="2060"/>
        <w:spacing w:after="0" w:line="259" w:lineRule="auto"/>
        <w:tabs>
          <w:tab w:leader="none" w:pos="232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(not including in the securities Beneficially Owned by such Person which were acquired directly from the Company or any Affiliate thereof) representing greater than fifty percent (50%) of the combined voting power of the Company’s then outstanding securities, excluding any Person who becomes such a Beneficial Owner in connection with a transaction described in clause (i) of paragraph (3) below; or</w:t>
      </w:r>
    </w:p>
    <w:p>
      <w:pPr>
        <w:spacing w:after="0" w:line="186" w:lineRule="exact"/>
        <w:rPr>
          <w:rFonts w:ascii="Arial" w:cs="Arial" w:eastAsia="Arial" w:hAnsi="Arial"/>
          <w:sz w:val="18"/>
          <w:szCs w:val="18"/>
          <w:color w:val="auto"/>
        </w:rPr>
      </w:pPr>
    </w:p>
    <w:p>
      <w:pPr>
        <w:jc w:val="both"/>
        <w:ind w:firstLine="2060"/>
        <w:spacing w:after="0" w:line="255" w:lineRule="auto"/>
        <w:tabs>
          <w:tab w:leader="none" w:pos="2326"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date on which the individuals who constitute the Board as of the Effective Date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Effective Date or whose appointment, election or nomination for election was previously so approved or recommended cease for any reason to constitute a majority of the number of directors serving on the Board; or</w:t>
      </w:r>
    </w:p>
    <w:p>
      <w:pPr>
        <w:spacing w:after="0" w:line="192" w:lineRule="exact"/>
        <w:rPr>
          <w:rFonts w:ascii="Arial" w:cs="Arial" w:eastAsia="Arial" w:hAnsi="Arial"/>
          <w:sz w:val="18"/>
          <w:szCs w:val="18"/>
          <w:color w:val="auto"/>
        </w:rPr>
      </w:pPr>
    </w:p>
    <w:p>
      <w:pPr>
        <w:jc w:val="both"/>
        <w:ind w:firstLine="2060"/>
        <w:spacing w:after="0" w:line="287" w:lineRule="auto"/>
        <w:tabs>
          <w:tab w:leader="none" w:pos="2339"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fifty percent (50%) or more of the combined voting power of the securities of the Company or such surviving entity or any parent thereof outstanding immediately after such merger or consolidation and (B)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or</w:t>
      </w:r>
    </w:p>
    <w:p>
      <w:pPr>
        <w:spacing w:after="0" w:line="171" w:lineRule="exact"/>
        <w:rPr>
          <w:rFonts w:ascii="Arial" w:cs="Arial" w:eastAsia="Arial" w:hAnsi="Arial"/>
          <w:sz w:val="16"/>
          <w:szCs w:val="16"/>
          <w:color w:val="auto"/>
        </w:rPr>
      </w:pPr>
    </w:p>
    <w:p>
      <w:pPr>
        <w:jc w:val="both"/>
        <w:ind w:firstLine="2060"/>
        <w:spacing w:after="0" w:line="272" w:lineRule="auto"/>
        <w:tabs>
          <w:tab w:leader="none" w:pos="2344"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stockholders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more than fifty percent (50%) of the combined voting power of the voting securities of which are owned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288" w:lineRule="auto"/>
        <w:rPr>
          <w:sz w:val="20"/>
          <w:szCs w:val="20"/>
          <w:color w:val="auto"/>
        </w:rPr>
      </w:pPr>
      <w:r>
        <w:rPr>
          <w:rFonts w:ascii="Arial" w:cs="Arial" w:eastAsia="Arial" w:hAnsi="Arial"/>
          <w:sz w:val="16"/>
          <w:szCs w:val="16"/>
          <w:color w:val="auto"/>
        </w:rPr>
        <w:t>Notwithstanding the foregoing, (i) a Change in Control shall not be deemed to have occurred by virtue of the consummation of any transaction or series of integrated transactions immediately following which the holders of Common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accelerated taxation and/or tax penalties under Section 409A of the Code, a Change in Control shall be deemed to have occurred under the Plan with respect to any Award that constitutes deferred compensation under Section 409A of the Code only if a change in the ownership or effective control of the Company or a change in ownership of a substantial portion of the assets of the Company shall also be deemed to have occurred under Section 409A of the Code. For purposes of this definition of Change in Control, the term “Person” shall not include (i) the Company or any Subsidiary thereof, (ii) a trustee or other fiduciary holding securities under an employee benefit plan of the Company or any Subsidiary thereof, (iii) an underwriter temporarily holding securities pursuant to an offering of such securities, or (iv) a corporation owned, directly or indirectly, by the stockholders of the Company in substantially the same proportions as their ownership of shares of the Company.</w:t>
      </w:r>
    </w:p>
    <w:p>
      <w:pPr>
        <w:spacing w:after="0" w:line="168" w:lineRule="exact"/>
        <w:rPr>
          <w:sz w:val="20"/>
          <w:szCs w:val="20"/>
          <w:color w:val="auto"/>
        </w:rPr>
      </w:pPr>
    </w:p>
    <w:p>
      <w:pPr>
        <w:ind w:left="1520" w:hanging="216"/>
        <w:spacing w:after="0"/>
        <w:tabs>
          <w:tab w:leader="none" w:pos="1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thereto.</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6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any committee or subcommittee the Board (including, but not limited to the Compensation Committee) may appoint to administer the Plan. Subject to the discretion of the Board, the Committee shall be composed entirely of individuals who meet the qualifications of a “non-employee director” within the meaning of Rule 16b-3 under the Exchange Act and any other qualifications required by the applicable stock exchange on which the Common Stock is traded.</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of the Company, par value $0.0001.</w:t>
      </w:r>
    </w:p>
    <w:p>
      <w:pPr>
        <w:spacing w:after="0" w:line="225" w:lineRule="exact"/>
        <w:rPr>
          <w:rFonts w:ascii="Arial" w:cs="Arial" w:eastAsia="Arial" w:hAnsi="Arial"/>
          <w:sz w:val="18"/>
          <w:szCs w:val="18"/>
          <w:color w:val="auto"/>
        </w:rPr>
      </w:pPr>
    </w:p>
    <w:p>
      <w:pPr>
        <w:ind w:firstLine="1304"/>
        <w:spacing w:after="0" w:line="277" w:lineRule="auto"/>
        <w:tabs>
          <w:tab w:leader="none" w:pos="15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OPAL Fuels, Inc., a Delaware corporation (or any successor company, except as the term “Company” is used in the definition of “Change in Control” above).</w:t>
      </w:r>
    </w:p>
    <w:p>
      <w:pPr>
        <w:spacing w:after="0" w:line="170" w:lineRule="exact"/>
        <w:rPr>
          <w:rFonts w:ascii="Arial" w:cs="Arial" w:eastAsia="Arial" w:hAnsi="Arial"/>
          <w:sz w:val="18"/>
          <w:szCs w:val="18"/>
          <w:color w:val="auto"/>
        </w:rPr>
      </w:pPr>
    </w:p>
    <w:p>
      <w:pPr>
        <w:jc w:val="both"/>
        <w:ind w:firstLine="1304"/>
        <w:spacing w:after="0" w:line="272" w:lineRule="auto"/>
        <w:tabs>
          <w:tab w:leader="none" w:pos="1591"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has the meaning assigned to such term in any individual service, employment or severance agreement or Award Agreement with the Participant or, if no such agreement exists or if such agreement does not define “Disability,” then “Disability” means that a Participant, as determined by the Administrator in its sole discretion,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77" w:lineRule="exact"/>
        <w:rPr>
          <w:rFonts w:ascii="Arial" w:cs="Arial" w:eastAsia="Arial" w:hAnsi="Arial"/>
          <w:sz w:val="17"/>
          <w:szCs w:val="17"/>
          <w:color w:val="auto"/>
        </w:rPr>
      </w:pPr>
    </w:p>
    <w:p>
      <w:pPr>
        <w:ind w:left="1560" w:hanging="256"/>
        <w:spacing w:after="0"/>
        <w:tabs>
          <w:tab w:leader="none" w:pos="1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17 hereof.</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Recipient</w:t>
      </w:r>
      <w:r>
        <w:rPr>
          <w:rFonts w:ascii="Arial" w:cs="Arial" w:eastAsia="Arial" w:hAnsi="Arial"/>
          <w:sz w:val="18"/>
          <w:szCs w:val="18"/>
          <w:color w:val="auto"/>
        </w:rPr>
        <w:t xml:space="preserve">” means an employee, director or independent contractor of the Company or any Affiliate of the Company who has been selected as an eligible participant by the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extent required to avoid accelerated taxation and/or tax penalties under Section 409A of the Code, an Eligible Recipient of an Option or a Stock Appreciation Right means an employee, non-employee director or independent contractor of the Company or any Affiliate of the Company with respect to whom the Company is an “eligible issuer of service recipient stock” within the meaning of Section 409A of the Code.</w:t>
      </w:r>
    </w:p>
    <w:p>
      <w:pPr>
        <w:spacing w:after="0" w:line="187" w:lineRule="exact"/>
        <w:rPr>
          <w:rFonts w:ascii="Arial" w:cs="Arial" w:eastAsia="Arial" w:hAnsi="Arial"/>
          <w:sz w:val="18"/>
          <w:szCs w:val="18"/>
          <w:color w:val="auto"/>
        </w:rPr>
      </w:pPr>
    </w:p>
    <w:p>
      <w:pPr>
        <w:ind w:left="1540" w:hanging="236"/>
        <w:spacing w:after="0"/>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Award</w:t>
      </w:r>
      <w:r>
        <w:rPr>
          <w:rFonts w:ascii="Arial" w:cs="Arial" w:eastAsia="Arial" w:hAnsi="Arial"/>
          <w:sz w:val="18"/>
          <w:szCs w:val="18"/>
          <w:color w:val="auto"/>
        </w:rPr>
        <w:t>” shall mean the following:</w:t>
      </w:r>
    </w:p>
    <w:p>
      <w:pPr>
        <w:spacing w:after="0" w:line="225" w:lineRule="exact"/>
        <w:rPr>
          <w:rFonts w:ascii="Arial" w:cs="Arial" w:eastAsia="Arial" w:hAnsi="Arial"/>
          <w:sz w:val="18"/>
          <w:szCs w:val="18"/>
          <w:color w:val="auto"/>
        </w:rPr>
      </w:pPr>
    </w:p>
    <w:p>
      <w:pPr>
        <w:jc w:val="both"/>
        <w:ind w:firstLine="2060"/>
        <w:spacing w:after="0" w:line="259" w:lineRule="auto"/>
        <w:tabs>
          <w:tab w:leader="none" w:pos="2312"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 Award granted in assumption of, or in substitution for, outstanding awards previously granted by a corporation or other entity acquired by the Company or any of its Subsidiaries or with which the Company or any of its Subsidiaries combines by merger or otherwise. The terms and conditions of any such Awards may vary from the terms and conditions set forth in the Plan to the extent the Administrator at the time of grant may deem appropriate, subject to Applicable Laws.</w:t>
      </w:r>
    </w:p>
    <w:p>
      <w:pPr>
        <w:spacing w:after="0" w:line="186" w:lineRule="exact"/>
        <w:rPr>
          <w:rFonts w:ascii="Arial" w:cs="Arial" w:eastAsia="Arial" w:hAnsi="Arial"/>
          <w:sz w:val="18"/>
          <w:szCs w:val="18"/>
          <w:color w:val="auto"/>
        </w:rPr>
      </w:pPr>
    </w:p>
    <w:p>
      <w:pPr>
        <w:ind w:right="20" w:firstLine="2060"/>
        <w:spacing w:after="0" w:line="308" w:lineRule="auto"/>
        <w:tabs>
          <w:tab w:leader="none" w:pos="2317"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 award that an Eligible Recipient purchases at Fair Market Value (including awards that an Eligible Recipient elects to receive in lieu of fully vested compensation that is otherwise due) whether or not the Shares are delivered immediately or on a deferred basis.</w:t>
      </w:r>
    </w:p>
    <w:p>
      <w:pPr>
        <w:spacing w:after="0" w:line="146" w:lineRule="exact"/>
        <w:rPr>
          <w:rFonts w:ascii="Arial" w:cs="Arial" w:eastAsia="Arial" w:hAnsi="Arial"/>
          <w:sz w:val="17"/>
          <w:szCs w:val="17"/>
          <w:color w:val="auto"/>
        </w:rPr>
      </w:pPr>
    </w:p>
    <w:p>
      <w:pPr>
        <w:ind w:right="20" w:firstLine="1304"/>
        <w:spacing w:after="0" w:line="342" w:lineRule="auto"/>
        <w:tabs>
          <w:tab w:leader="none" w:pos="1564"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(i) with respect to any Option, the per share price at which a holder of such Option may purchase Shares issuable upon exercise of such Award, and (ii) with respect to a Stock Appreciation Right, the base price per share of such Stock Appreciation Right.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1304"/>
        <w:spacing w:after="0" w:line="273" w:lineRule="auto"/>
        <w:tabs>
          <w:tab w:leader="none" w:pos="1564" w:val="left"/>
        </w:tabs>
        <w:numPr>
          <w:ilvl w:val="0"/>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of Common Stock or another security as of a particular date shall mean the fair market value as determined by the Administrator in its sole discretion; provided, that,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on such exchange, or (ii) if the Common Stock or other security is then traded in an over-the-counter market, the fair market value on any date shall be the average of the closing prices for such share in such over-the-counter market for the last preceding date on which there was a sale of such share in such market.</w:t>
      </w:r>
    </w:p>
    <w:p>
      <w:pPr>
        <w:spacing w:after="0" w:line="177" w:lineRule="exact"/>
        <w:rPr>
          <w:rFonts w:ascii="Arial" w:cs="Arial" w:eastAsia="Arial" w:hAnsi="Arial"/>
          <w:sz w:val="17"/>
          <w:szCs w:val="17"/>
          <w:color w:val="auto"/>
        </w:rPr>
      </w:pPr>
    </w:p>
    <w:p>
      <w:pPr>
        <w:ind w:left="1600" w:hanging="296"/>
        <w:spacing w:after="0"/>
        <w:tabs>
          <w:tab w:leader="none" w:pos="1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Standing Rights</w:t>
      </w:r>
      <w:r>
        <w:rPr>
          <w:rFonts w:ascii="Arial" w:cs="Arial" w:eastAsia="Arial" w:hAnsi="Arial"/>
          <w:sz w:val="18"/>
          <w:szCs w:val="18"/>
          <w:color w:val="auto"/>
        </w:rPr>
        <w:t>” has the meaning set forth in Section 8.</w:t>
      </w:r>
    </w:p>
    <w:p>
      <w:pPr>
        <w:spacing w:after="0" w:line="225" w:lineRule="exact"/>
        <w:rPr>
          <w:rFonts w:ascii="Arial" w:cs="Arial" w:eastAsia="Arial" w:hAnsi="Arial"/>
          <w:sz w:val="18"/>
          <w:szCs w:val="18"/>
          <w:color w:val="auto"/>
        </w:rPr>
      </w:pPr>
    </w:p>
    <w:p>
      <w:pPr>
        <w:jc w:val="both"/>
        <w:ind w:right="20" w:firstLine="1304"/>
        <w:spacing w:after="0" w:line="263" w:lineRule="auto"/>
        <w:tabs>
          <w:tab w:leader="none" w:pos="15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has the meaning assigned to such term in any individual service, employment or severance agreement or Award Agreement with the Participant or, if no such agreement exists or if such agreement does not define “Good Reason,” “Good Reason” and any provision of this Plan that refers to “Good Reason” shall not be applicable to such Participant.</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means annual cash bonus and any Award.</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ISO</w:t>
      </w:r>
      <w:r>
        <w:rPr>
          <w:rFonts w:ascii="Arial" w:cs="Arial" w:eastAsia="Arial" w:hAnsi="Arial"/>
          <w:sz w:val="16"/>
          <w:szCs w:val="16"/>
          <w:color w:val="auto"/>
        </w:rPr>
        <w:t>” means an Option intended to be and designated as an “incentive stock option” within the meaning of Section 422 of the Code.</w:t>
      </w:r>
    </w:p>
    <w:p>
      <w:pPr>
        <w:spacing w:after="0" w:line="248" w:lineRule="exact"/>
        <w:rPr>
          <w:sz w:val="20"/>
          <w:szCs w:val="20"/>
          <w:color w:val="auto"/>
        </w:rPr>
      </w:pPr>
    </w:p>
    <w:p>
      <w:pPr>
        <w:ind w:left="1620" w:hanging="316"/>
        <w:spacing w:after="0"/>
        <w:tabs>
          <w:tab w:leader="none" w:pos="1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Nonqualified Stock Option</w:t>
      </w:r>
      <w:r>
        <w:rPr>
          <w:rFonts w:ascii="Arial" w:cs="Arial" w:eastAsia="Arial" w:hAnsi="Arial"/>
          <w:sz w:val="17"/>
          <w:szCs w:val="17"/>
          <w:color w:val="auto"/>
        </w:rPr>
        <w:t>” shall mean an Option that is not designated as an ISO.</w:t>
      </w:r>
    </w:p>
    <w:p>
      <w:pPr>
        <w:spacing w:after="0" w:line="236" w:lineRule="exact"/>
        <w:rPr>
          <w:rFonts w:ascii="Arial" w:cs="Arial" w:eastAsia="Arial" w:hAnsi="Arial"/>
          <w:sz w:val="17"/>
          <w:szCs w:val="17"/>
          <w:color w:val="auto"/>
        </w:rPr>
      </w:pPr>
    </w:p>
    <w:p>
      <w:pPr>
        <w:ind w:firstLine="1304"/>
        <w:spacing w:after="0" w:line="277" w:lineRule="auto"/>
        <w:tabs>
          <w:tab w:leader="none" w:pos="16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shares of Common Stock granted pursuant to Section 7 hereof. The term “Option” as used in the Plan includes the terms “Nonqualified Stock Option” and “ISO.”</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6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or other interest granted pursuant to Section 10 hereof that may be denominated or payable in, valued in whole or in part by reference to, or otherwise based on or related to, Common Stock, including, but not limited to, unrestricted Shares, dividend equivalents or performance units, each of which may be subject to the attainment of performance goals or a period of continued provision of service or employment or other terms or conditions as permitted under the Plan.</w:t>
      </w:r>
    </w:p>
    <w:p>
      <w:pPr>
        <w:spacing w:after="0" w:line="186" w:lineRule="exact"/>
        <w:rPr>
          <w:rFonts w:ascii="Arial" w:cs="Arial" w:eastAsia="Arial" w:hAnsi="Arial"/>
          <w:sz w:val="18"/>
          <w:szCs w:val="18"/>
          <w:color w:val="auto"/>
        </w:rPr>
      </w:pPr>
    </w:p>
    <w:p>
      <w:pPr>
        <w:ind w:right="20" w:firstLine="1304"/>
        <w:spacing w:after="0" w:line="342" w:lineRule="auto"/>
        <w:tabs>
          <w:tab w:leader="none" w:pos="1641"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any Eligible Recipient selected by the Administrator, pursuant to the Administrator’s authority provided for in Section 3 below, to receive grants of Awards, and, upon his or her death, his or her successors, heirs, executors and administrators, as the case may be.</w:t>
      </w:r>
    </w:p>
    <w:p>
      <w:pPr>
        <w:spacing w:after="0" w:line="123" w:lineRule="exact"/>
        <w:rPr>
          <w:rFonts w:ascii="Arial" w:cs="Arial" w:eastAsia="Arial" w:hAnsi="Arial"/>
          <w:sz w:val="16"/>
          <w:szCs w:val="16"/>
          <w:color w:val="auto"/>
        </w:rPr>
      </w:pPr>
    </w:p>
    <w:p>
      <w:pPr>
        <w:ind w:left="1640" w:hanging="336"/>
        <w:spacing w:after="0"/>
        <w:tabs>
          <w:tab w:leader="none" w:pos="1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have the meaning given in Section 3(a)(9) of the Exchange Act, as modified and used in Sections 13(d) and 14(d)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left="1580" w:hanging="276"/>
        <w:spacing w:after="0"/>
        <w:tabs>
          <w:tab w:leader="none" w:pos="1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2022 Omnibus Equity Incentive Plan.</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Rights</w:t>
      </w:r>
      <w:r>
        <w:rPr>
          <w:rFonts w:ascii="Arial" w:cs="Arial" w:eastAsia="Arial" w:hAnsi="Arial"/>
          <w:sz w:val="18"/>
          <w:szCs w:val="18"/>
          <w:color w:val="auto"/>
        </w:rPr>
        <w:t>” has the meaning set forth in Section 8.</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has the meaning set forth in Section 9.</w:t>
      </w:r>
    </w:p>
    <w:p>
      <w:pPr>
        <w:spacing w:after="0" w:line="225" w:lineRule="exact"/>
        <w:rPr>
          <w:rFonts w:ascii="Arial" w:cs="Arial" w:eastAsia="Arial" w:hAnsi="Arial"/>
          <w:sz w:val="18"/>
          <w:szCs w:val="18"/>
          <w:color w:val="auto"/>
        </w:rPr>
      </w:pPr>
    </w:p>
    <w:p>
      <w:pPr>
        <w:ind w:firstLine="1304"/>
        <w:spacing w:after="0" w:line="277" w:lineRule="auto"/>
        <w:tabs>
          <w:tab w:leader="none" w:pos="15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a Share granted pursuant to Section 9 below subject to certain restrictions that lapse at the end of a specified period (or periods) of time and/or upon attainment of specified performance objectives.</w:t>
      </w:r>
    </w:p>
    <w:p>
      <w:pPr>
        <w:spacing w:after="0" w:line="170" w:lineRule="exact"/>
        <w:rPr>
          <w:rFonts w:ascii="Arial" w:cs="Arial" w:eastAsia="Arial" w:hAnsi="Arial"/>
          <w:sz w:val="18"/>
          <w:szCs w:val="18"/>
          <w:color w:val="auto"/>
        </w:rPr>
      </w:pPr>
    </w:p>
    <w:p>
      <w:pPr>
        <w:ind w:right="20" w:firstLine="1304"/>
        <w:spacing w:after="0" w:line="277" w:lineRule="auto"/>
        <w:tabs>
          <w:tab w:leader="none" w:pos="15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the right granted pursuant to Section 9 hereof to receive a Share at the end of a specified restricted period (or periods) of time and/or upon attainment of specified performance objectives.</w:t>
      </w:r>
    </w:p>
    <w:p>
      <w:pPr>
        <w:spacing w:after="0" w:line="170" w:lineRule="exact"/>
        <w:rPr>
          <w:rFonts w:ascii="Arial" w:cs="Arial" w:eastAsia="Arial" w:hAnsi="Arial"/>
          <w:sz w:val="18"/>
          <w:szCs w:val="18"/>
          <w:color w:val="auto"/>
        </w:rPr>
      </w:pPr>
    </w:p>
    <w:p>
      <w:pPr>
        <w:ind w:left="1640" w:hanging="336"/>
        <w:spacing w:after="0"/>
        <w:tabs>
          <w:tab w:leader="none" w:pos="1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has the meaning set forth in Section 3.</w:t>
      </w:r>
    </w:p>
    <w:p>
      <w:pPr>
        <w:spacing w:after="0" w:line="225" w:lineRule="exact"/>
        <w:rPr>
          <w:rFonts w:ascii="Arial" w:cs="Arial" w:eastAsia="Arial" w:hAnsi="Arial"/>
          <w:sz w:val="18"/>
          <w:szCs w:val="18"/>
          <w:color w:val="auto"/>
        </w:rPr>
      </w:pPr>
    </w:p>
    <w:p>
      <w:pPr>
        <w:ind w:right="20" w:firstLine="1304"/>
        <w:spacing w:after="0" w:line="342" w:lineRule="auto"/>
        <w:tabs>
          <w:tab w:leader="none" w:pos="1561"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 Officer</w:t>
      </w:r>
      <w:r>
        <w:rPr>
          <w:rFonts w:ascii="Arial" w:cs="Arial" w:eastAsia="Arial" w:hAnsi="Arial"/>
          <w:sz w:val="16"/>
          <w:szCs w:val="16"/>
          <w:color w:val="auto"/>
        </w:rPr>
        <w:t>” means any officer of the Company whom the Board has determined is subject to the reporting requirements of Section 16 of the Exchange Act, whether or not such individual is a Section 16 Officer at the time the determination to recoup compensation is made.</w:t>
      </w:r>
    </w:p>
    <w:p>
      <w:pPr>
        <w:spacing w:after="0" w:line="123" w:lineRule="exact"/>
        <w:rPr>
          <w:rFonts w:ascii="Arial" w:cs="Arial" w:eastAsia="Arial" w:hAnsi="Arial"/>
          <w:sz w:val="16"/>
          <w:szCs w:val="16"/>
          <w:color w:val="auto"/>
        </w:rPr>
      </w:pPr>
    </w:p>
    <w:p>
      <w:pPr>
        <w:ind w:right="20" w:firstLine="1304"/>
        <w:spacing w:after="0" w:line="277" w:lineRule="auto"/>
        <w:tabs>
          <w:tab w:leader="none" w:pos="17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Common Stock reserved for issuance under the Plan, as adjusted pursuant to the Plan, and any successor (pursuant to a merger, consolidation or other reorganization) security.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1640" w:hanging="336"/>
        <w:spacing w:after="0"/>
        <w:tabs>
          <w:tab w:leader="none" w:pos="16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means a right granted pursuant to Section 8 hereof to receive an amount equal to the excess, if any, of</w:t>
      </w:r>
    </w:p>
    <w:p>
      <w:pPr>
        <w:spacing w:after="0" w:line="46" w:lineRule="exact"/>
        <w:rPr>
          <w:rFonts w:ascii="Arial" w:cs="Arial" w:eastAsia="Arial" w:hAnsi="Arial"/>
          <w:sz w:val="16"/>
          <w:szCs w:val="16"/>
          <w:color w:val="auto"/>
        </w:rPr>
      </w:pPr>
    </w:p>
    <w:p>
      <w:pPr>
        <w:ind w:firstLine="8"/>
        <w:spacing w:after="0" w:line="260" w:lineRule="auto"/>
        <w:tabs>
          <w:tab w:leader="none" w:pos="23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aggregate Fair Market Value, as of the date such Award or portion thereof is surrendered, of the Shares covered by such Award or such portion thereof, over (ii) the aggregate Exercise Price of such Award or such portion thereof.</w:t>
      </w:r>
    </w:p>
    <w:p>
      <w:pPr>
        <w:spacing w:after="0" w:line="185" w:lineRule="exact"/>
        <w:rPr>
          <w:rFonts w:ascii="Arial" w:cs="Arial" w:eastAsia="Arial" w:hAnsi="Arial"/>
          <w:sz w:val="18"/>
          <w:szCs w:val="18"/>
          <w:color w:val="auto"/>
        </w:rPr>
      </w:pPr>
    </w:p>
    <w:p>
      <w:pPr>
        <w:jc w:val="both"/>
        <w:ind w:firstLine="1304"/>
        <w:spacing w:after="0" w:line="263" w:lineRule="auto"/>
        <w:tabs>
          <w:tab w:leader="none" w:pos="1641"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83" w:lineRule="exact"/>
        <w:rPr>
          <w:rFonts w:ascii="Arial" w:cs="Arial" w:eastAsia="Arial" w:hAnsi="Arial"/>
          <w:sz w:val="18"/>
          <w:szCs w:val="18"/>
          <w:color w:val="auto"/>
        </w:rPr>
      </w:pPr>
    </w:p>
    <w:p>
      <w:pPr>
        <w:ind w:left="1640" w:hanging="336"/>
        <w:spacing w:after="0"/>
        <w:tabs>
          <w:tab w:leader="none" w:pos="1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has the meaning set forth in Section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3. Administration.</w:t>
      </w:r>
    </w:p>
    <w:p>
      <w:pPr>
        <w:spacing w:after="0" w:line="225" w:lineRule="exact"/>
        <w:rPr>
          <w:sz w:val="20"/>
          <w:szCs w:val="20"/>
          <w:color w:val="auto"/>
        </w:rPr>
      </w:pPr>
    </w:p>
    <w:p>
      <w:pPr>
        <w:ind w:right="20" w:firstLine="1304"/>
        <w:spacing w:after="0" w:line="277" w:lineRule="auto"/>
        <w:tabs>
          <w:tab w:leader="none" w:pos="15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Plan shall be administered by the Administrator and shall be administered, to the extent applicable, in accordance with Rule 16b-3 under the Exchange Act (“</w:t>
      </w:r>
      <w:r>
        <w:rPr>
          <w:rFonts w:ascii="Arial" w:cs="Arial" w:eastAsia="Arial" w:hAnsi="Arial"/>
          <w:sz w:val="18"/>
          <w:szCs w:val="18"/>
          <w:u w:val="single" w:color="auto"/>
          <w:color w:val="auto"/>
        </w:rPr>
        <w:t>Rule 16b-3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304"/>
        <w:spacing w:after="0" w:line="277" w:lineRule="auto"/>
        <w:tabs>
          <w:tab w:leader="none" w:pos="15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Pursuant to the terms of the Plan, the Administrator, subject, in the case of any Committee, to any restrictions on the authority delegated to it by the Board, shall have the power and authority, without limitation:</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select those Eligible Recipients who shall be Participants;</w:t>
      </w:r>
    </w:p>
    <w:p>
      <w:pPr>
        <w:spacing w:after="0" w:line="225" w:lineRule="exact"/>
        <w:rPr>
          <w:rFonts w:ascii="Arial" w:cs="Arial" w:eastAsia="Arial" w:hAnsi="Arial"/>
          <w:sz w:val="18"/>
          <w:szCs w:val="18"/>
          <w:color w:val="auto"/>
        </w:rPr>
      </w:pPr>
    </w:p>
    <w:p>
      <w:pPr>
        <w:ind w:right="20" w:firstLine="1952"/>
        <w:spacing w:after="0" w:line="277" w:lineRule="auto"/>
        <w:tabs>
          <w:tab w:leader="none" w:pos="2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determine whether and to what extent Options, Stock Appreciation Rights, Restricted Stock, Restricted Stock Units, Other Stock-Based Awards or a combination of any of the foregoing, are to be granted hereunder to Participants;</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23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each Award granted hereunder (including, but not limited to, (i) the restrictions applicable to Restricted Stock or Restricted Stock Units and the conditions under which restrictions applicable to such Restricted Stock or Restricted Stock Units shall lapse, (ii) the performance goals and periods applicable to Awards, (iii) the Exercise Price of each Option and each Stock Appreciation Right or the purchase price of any other Award, (iv) the vesting schedule and terms applicable to each Award, (v) the number of Shares or amount of cash or other property subject to each Award and (vi) subject to the requirements of Section 409A of the Code (to the extent applicable) any amendments to the terms and conditions of outstanding Awards, including, but not limited to, extending the exercise period of such Awards and accelerating the payment schedules of such Awards and/or, to the extent specifically permitted under the Plan, accelerating the vesting schedules of such Awards);</w:t>
      </w:r>
    </w:p>
    <w:p>
      <w:pPr>
        <w:spacing w:after="0" w:line="191" w:lineRule="exact"/>
        <w:rPr>
          <w:rFonts w:ascii="Arial" w:cs="Arial" w:eastAsia="Arial" w:hAnsi="Arial"/>
          <w:sz w:val="18"/>
          <w:szCs w:val="18"/>
          <w:color w:val="auto"/>
        </w:rPr>
      </w:pPr>
    </w:p>
    <w:p>
      <w:pPr>
        <w:ind w:left="2220" w:hanging="268"/>
        <w:spacing w:after="0"/>
        <w:tabs>
          <w:tab w:leader="none" w:pos="22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which shall govern all written instruments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evidencing Awards;</w:t>
      </w:r>
    </w:p>
    <w:p>
      <w:pPr>
        <w:spacing w:after="0" w:line="210" w:lineRule="exact"/>
        <w:rPr>
          <w:rFonts w:ascii="Arial" w:cs="Arial" w:eastAsia="Arial" w:hAnsi="Arial"/>
          <w:sz w:val="16"/>
          <w:szCs w:val="16"/>
          <w:color w:val="auto"/>
        </w:rPr>
      </w:pPr>
    </w:p>
    <w:p>
      <w:pPr>
        <w:ind w:left="2200" w:hanging="248"/>
        <w:spacing w:after="0"/>
        <w:tabs>
          <w:tab w:leader="none" w:pos="2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determine the Fair Market Value in accordance with the terms of the Plan;</w:t>
      </w:r>
    </w:p>
    <w:p>
      <w:pPr>
        <w:spacing w:after="0" w:line="225" w:lineRule="exact"/>
        <w:rPr>
          <w:rFonts w:ascii="Arial" w:cs="Arial" w:eastAsia="Arial" w:hAnsi="Arial"/>
          <w:sz w:val="18"/>
          <w:szCs w:val="18"/>
          <w:color w:val="auto"/>
        </w:rPr>
      </w:pPr>
    </w:p>
    <w:p>
      <w:pPr>
        <w:ind w:right="20" w:firstLine="1952"/>
        <w:spacing w:after="0" w:line="277" w:lineRule="auto"/>
        <w:tabs>
          <w:tab w:leader="none" w:pos="222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determine the duration and purpose of leaves of absence which may be granted to a Participant without constituting termination of the Participant’s service or employment for purposes of Awards granted under the Plan;</w:t>
      </w:r>
    </w:p>
    <w:p>
      <w:pPr>
        <w:spacing w:after="0" w:line="170" w:lineRule="exact"/>
        <w:rPr>
          <w:rFonts w:ascii="Arial" w:cs="Arial" w:eastAsia="Arial" w:hAnsi="Arial"/>
          <w:sz w:val="18"/>
          <w:szCs w:val="18"/>
          <w:color w:val="auto"/>
        </w:rPr>
      </w:pPr>
    </w:p>
    <w:p>
      <w:pPr>
        <w:ind w:left="2220" w:hanging="268"/>
        <w:spacing w:after="0"/>
        <w:tabs>
          <w:tab w:leader="none" w:pos="22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to adopt, alter and repeal such administrative rules, regulations, guidelines and practices governing the Plan as it shall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 deem advisable;</w:t>
      </w:r>
    </w:p>
    <w:p>
      <w:pPr>
        <w:spacing w:after="0" w:line="210" w:lineRule="exact"/>
        <w:rPr>
          <w:rFonts w:ascii="Arial" w:cs="Arial" w:eastAsia="Arial" w:hAnsi="Arial"/>
          <w:sz w:val="16"/>
          <w:szCs w:val="16"/>
          <w:color w:val="auto"/>
        </w:rPr>
      </w:pPr>
    </w:p>
    <w:p>
      <w:pPr>
        <w:jc w:val="both"/>
        <w:ind w:firstLine="1952"/>
        <w:spacing w:after="0" w:line="263" w:lineRule="auto"/>
        <w:tabs>
          <w:tab w:leader="none" w:pos="2218"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and supply or correct omissions in,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 and</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328"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sub-plans established for the purpose of satisfying applicable non-United States laws or for qualifying for favorable tax treatment under applicable non-United States laws, which rules and regulations may be set forth in an appendix or appendixes to the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1304"/>
        <w:spacing w:after="0" w:line="263" w:lineRule="auto"/>
        <w:tabs>
          <w:tab w:leader="none" w:pos="15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Section 5, neither the Board nor the Committee shall have the authority to reprice or cancel and regrant any Award at a lower exercise, base or purchase price or cancel any Award with an exercise, base or purchase price in exchange for cash, property or other Awards without first obtaining the approval of the Company’s stockholders.</w:t>
      </w:r>
    </w:p>
    <w:p>
      <w:pPr>
        <w:spacing w:after="0" w:line="183" w:lineRule="exact"/>
        <w:rPr>
          <w:rFonts w:ascii="Arial" w:cs="Arial" w:eastAsia="Arial" w:hAnsi="Arial"/>
          <w:sz w:val="18"/>
          <w:szCs w:val="18"/>
          <w:color w:val="auto"/>
        </w:rPr>
      </w:pPr>
    </w:p>
    <w:p>
      <w:pPr>
        <w:ind w:firstLine="1304"/>
        <w:spacing w:after="0" w:line="277" w:lineRule="auto"/>
        <w:tabs>
          <w:tab w:leader="none" w:pos="15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decisions made by the Administrator pursuant to the provisions of the Plan shall be final, conclusive and binding on all Persons, including the Company and the Participants.</w:t>
      </w:r>
    </w:p>
    <w:p>
      <w:pPr>
        <w:spacing w:after="0" w:line="170" w:lineRule="exact"/>
        <w:rPr>
          <w:rFonts w:ascii="Arial" w:cs="Arial" w:eastAsia="Arial" w:hAnsi="Arial"/>
          <w:sz w:val="18"/>
          <w:szCs w:val="18"/>
          <w:color w:val="auto"/>
        </w:rPr>
      </w:pPr>
    </w:p>
    <w:p>
      <w:pPr>
        <w:ind w:right="20" w:firstLine="1304"/>
        <w:spacing w:after="0" w:line="277" w:lineRule="auto"/>
        <w:tabs>
          <w:tab w:leader="none" w:pos="15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expenses of administering the Plan (which for avoidance of doubt does not include the costs of any Participant) shall be borne by the Company and its Affiliates.</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3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at any time or to any extent the Board shall not administer the Plan, then the functions of the Administrator specified in the Plan shall be exercised by the Committee. Except as otherwise provided in the Articles of Incorporation or Bylaws of the Company, any action of the Committee with respect to the administration of the Plan shall be taken by a majority vote at a meeting at which a quorum is duly constituted or unanimous written consent of the Committee’s members.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4. Shares Reserved for Issuance Under the Plan.</w:t>
      </w:r>
    </w:p>
    <w:p>
      <w:pPr>
        <w:spacing w:after="0" w:line="225" w:lineRule="exact"/>
        <w:rPr>
          <w:sz w:val="20"/>
          <w:szCs w:val="20"/>
          <w:color w:val="auto"/>
        </w:rPr>
      </w:pPr>
    </w:p>
    <w:p>
      <w:pPr>
        <w:jc w:val="both"/>
        <w:ind w:firstLine="1304"/>
        <w:spacing w:after="0" w:line="270" w:lineRule="auto"/>
        <w:tabs>
          <w:tab w:leader="none" w:pos="155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Subject to Section 5 hereof, the number of shares of Common Stock that are reserved and available for issuance pursuant to Awards granted under the Plan shall be equal to the sum of (i) 19,811,726 shares, plus (ii) an annual increase on the first day of each calendar year beginning with the first January 1 following the Effective Date and ending with the last January 1 during the initial ten-year term of the Plan, equal to the lesser of (A) five percent (5%) of the shares of the Company’s Class A Common Stock, Class B Common Stock, Class C Common Stock and Class D Common Stock (collectively,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xml:space="preserve">”) outstanding (on an as-converted basis, which shall include shares of Company Common Stock issuable upon the exercise or conversion of all outstanding securities or rights convertible into or exercisable for shares of Company Common Stock, including without limitation, preferred stock, warrants and employee options to purchase any shares of Company Common Stock) on the final day of the immediately preceding calendar year and (B) such lesser number of Shares as determined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shares of Common Stock issued under the Plan with respect to an Exempt Award shall not count against such share limit.</w:t>
      </w:r>
    </w:p>
    <w:p>
      <w:pPr>
        <w:spacing w:after="0" w:line="180" w:lineRule="exact"/>
        <w:rPr>
          <w:rFonts w:ascii="Arial" w:cs="Arial" w:eastAsia="Arial" w:hAnsi="Arial"/>
          <w:sz w:val="17"/>
          <w:szCs w:val="17"/>
          <w:color w:val="auto"/>
        </w:rPr>
      </w:pPr>
    </w:p>
    <w:p>
      <w:pPr>
        <w:jc w:val="both"/>
        <w:ind w:firstLine="1304"/>
        <w:spacing w:after="0" w:line="268" w:lineRule="auto"/>
        <w:tabs>
          <w:tab w:leader="none" w:pos="1565" w:val="left"/>
        </w:tabs>
        <w:numPr>
          <w:ilvl w:val="0"/>
          <w:numId w:val="77"/>
        </w:numPr>
        <w:rPr>
          <w:rFonts w:ascii="Arial" w:cs="Arial" w:eastAsia="Arial" w:hAnsi="Arial"/>
          <w:sz w:val="17"/>
          <w:szCs w:val="17"/>
          <w:color w:val="auto"/>
        </w:rPr>
      </w:pPr>
      <w:r>
        <w:rPr>
          <w:rFonts w:ascii="Arial" w:cs="Arial" w:eastAsia="Arial" w:hAnsi="Arial"/>
          <w:sz w:val="17"/>
          <w:szCs w:val="17"/>
          <w:color w:val="auto"/>
        </w:rPr>
        <w:t>Shares issued under the Plan may, in whole or in part, be authorized but unissued Shares or Shares that shall have been or may be reacquired by the Company in the open market, in private transactions or otherwise. If an Award entitles the Participant to receive or purchase Shares, the number of Shares covered by such Award or to which such Award relates shall be counted on the date of grant of such Award against the aggregate number of Shares available for granting Awards under the Plan.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granting Awards under the Plan. Notwithstanding the foregoing, (i) any Shares reacquired by the Company on the open market or otherwise using cash proceeds from the exercise of Options; and (ii) Shares surrendered or withheld as payment of either the Exercise Price of an Award (including Shares otherwise underlying a Stock Appreciation Right that are retained by the Company to account for the Exercise Price of such Stock Appreciation Right) and/or withholding taxes in respect of an Award shall no longer be available for grant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 Upon the exercise of any Award granted in tandem with any other Awards, such related Awards shall be cancelled to the extent of the number of Shares as to which the Award is exercised and, notwithstanding the foregoing, such number of Shares shall no longer be available for grant under the Plan.</w:t>
      </w:r>
    </w:p>
    <w:p>
      <w:pPr>
        <w:spacing w:after="0" w:line="181" w:lineRule="exact"/>
        <w:rPr>
          <w:rFonts w:ascii="Arial" w:cs="Arial" w:eastAsia="Arial" w:hAnsi="Arial"/>
          <w:sz w:val="17"/>
          <w:szCs w:val="17"/>
          <w:color w:val="auto"/>
        </w:rPr>
      </w:pPr>
    </w:p>
    <w:p>
      <w:pPr>
        <w:ind w:left="1540" w:hanging="236"/>
        <w:spacing w:after="0"/>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more than 19,811,726 Shares shall be issued pursuant to the exercise of ISOs.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Section 5. Equitable Adjustments.</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In the event of any Change in Capitalization, an equitable substitution or proportionate adjustment shall be made in (i) the aggregate number and kind of securities reserved for issuance under the Plan pursuant to Section 4, (ii) the kind, number of securities subject to, and the Exercise Price subject to outstanding Options and Stock Appreciation Rights granted under the Plan, (iii) the kind, number and purchase price of Shares or other securities or the amount of cash or amount or type of other property subject to outstanding Restricted Stock, Restricted Stock Units or Other Stock-Based Awards granted under the Plan; and/or (iv) the terms and conditions of any outstanding Awards (including, without limitation, any applicable performance targets or criteria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fractional shares resulting from the adjustment shall be eliminated. Such other equitable substitutions or adjustments shall be made as may be determined by the Administrator, in its sole discretion. Without limiting the generality of the foregoing, in connection with a Change in Capitalization, the Administrator may provide, in its sole discretion, but subject in all events to the requirements of Section 409A of the Code, for the cancellation of any outstanding Award granted hereunder in exchange for payment in cash or other property having an aggregate Fair Market Value equal to the Fair Market Value of the Shares, cash or other property covered by such Award, reduced by the aggregate Exercise Price or purchase price thereof,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Exercise Price or purchase price of any outstanding Award is equal to or greater than the Fair Market Value of the shares of Common Stock, cash or other property covered by such Award, the Administrator may cancel such Award without the payment of any consideration to the Participant. Further, without limiting the generality of the foregoing, with respect to Awards subject to foreign laws, adjustments made hereunder shall be made in compliance with applicable requirements. Except to the extent determined by the Administrator, any adjustments to ISOs under this Section 5 shall be made only to the extent not constituting a “modification” within the meaning of Section 424(h)(3) of the Code. The Administrator’s determinations pursuant to this Section 5 shall be final, binding and conclusive.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Section 6. Eligibility and Award Limits.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Participants in the Plan shall be selected from time to time by the Administrator, in its sole discretion, from those individuals that qualify as Eligible Recipients.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7. Options.</w:t>
      </w:r>
    </w:p>
    <w:p>
      <w:pPr>
        <w:spacing w:after="0" w:line="225" w:lineRule="exact"/>
        <w:rPr>
          <w:sz w:val="20"/>
          <w:szCs w:val="20"/>
          <w:color w:val="auto"/>
        </w:rPr>
      </w:pPr>
    </w:p>
    <w:p>
      <w:pPr>
        <w:jc w:val="both"/>
        <w:ind w:firstLine="1304"/>
        <w:spacing w:after="0" w:line="271" w:lineRule="auto"/>
        <w:tabs>
          <w:tab w:leader="none" w:pos="1540"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Options granted under the Plan shall be designated as Nonqualified Stock Options or ISOs. Each Participant who is granted an Option shall enter into an Award Agreement with the Company, containing such terms and conditions as the Administrator shall determine, in its sole discretion, including,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578"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Shares purchasable under an Option shall be determined by the Administrator in its sole discretion at the time of grant, but in no event shall the exercise price of an Option be less than one hundred percent (100%) of the Fair Market Value of a share of Common Stock on the date of grant.</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maximum term of each Option shall be fixed by the Administrator, but no Option shall be exercisable more than ten</w:t>
      </w:r>
    </w:p>
    <w:p>
      <w:pPr>
        <w:spacing w:after="0" w:line="46" w:lineRule="exact"/>
        <w:rPr>
          <w:rFonts w:ascii="Arial" w:cs="Arial" w:eastAsia="Arial" w:hAnsi="Arial"/>
          <w:sz w:val="16"/>
          <w:szCs w:val="16"/>
          <w:color w:val="auto"/>
        </w:rPr>
      </w:pPr>
    </w:p>
    <w:p>
      <w:pPr>
        <w:jc w:val="both"/>
        <w:ind w:firstLine="8"/>
        <w:spacing w:after="0" w:line="302" w:lineRule="auto"/>
        <w:tabs>
          <w:tab w:leader="none" w:pos="348" w:val="left"/>
        </w:tabs>
        <w:numPr>
          <w:ilvl w:val="0"/>
          <w:numId w:val="79"/>
        </w:numPr>
        <w:rPr>
          <w:rFonts w:ascii="Arial" w:cs="Arial" w:eastAsia="Arial" w:hAnsi="Arial"/>
          <w:sz w:val="16"/>
          <w:szCs w:val="16"/>
          <w:color w:val="auto"/>
        </w:rPr>
      </w:pPr>
      <w:r>
        <w:rPr>
          <w:rFonts w:ascii="Arial" w:cs="Arial" w:eastAsia="Arial" w:hAnsi="Arial"/>
          <w:sz w:val="16"/>
          <w:szCs w:val="16"/>
          <w:color w:val="auto"/>
        </w:rPr>
        <w:t>years after the date such Option is granted. Each Option’s term is subject to earlier expiration pursuant to the applicable provisions in the Plan and the Award Agreement. Notwithstanding the foregoing, subject to Section 4(d) of the Plan, the Administrator shall have the authority to accelerate the exercisability of any outstanding Option at such time and under such circumstances as the Administrator, in its sole discretion, deems appropriate.</w:t>
      </w:r>
    </w:p>
    <w:p>
      <w:pPr>
        <w:spacing w:after="0" w:line="155" w:lineRule="exact"/>
        <w:rPr>
          <w:rFonts w:ascii="Arial" w:cs="Arial" w:eastAsia="Arial" w:hAnsi="Arial"/>
          <w:sz w:val="16"/>
          <w:szCs w:val="16"/>
          <w:color w:val="auto"/>
        </w:rPr>
      </w:pPr>
    </w:p>
    <w:p>
      <w:pPr>
        <w:jc w:val="both"/>
        <w:ind w:firstLine="1304"/>
        <w:spacing w:after="0" w:line="259" w:lineRule="auto"/>
        <w:tabs>
          <w:tab w:leader="none" w:pos="1551"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Each Option shall be subject to vesting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1304"/>
        <w:spacing w:after="0" w:line="291" w:lineRule="auto"/>
        <w:tabs>
          <w:tab w:leader="none" w:pos="154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Laws or (iv) any combination of the foregoing.</w:t>
      </w:r>
    </w:p>
    <w:p>
      <w:pPr>
        <w:spacing w:after="0" w:line="166" w:lineRule="exact"/>
        <w:rPr>
          <w:rFonts w:ascii="Arial" w:cs="Arial" w:eastAsia="Arial" w:hAnsi="Arial"/>
          <w:sz w:val="16"/>
          <w:szCs w:val="16"/>
          <w:color w:val="auto"/>
        </w:rPr>
      </w:pPr>
    </w:p>
    <w:p>
      <w:pPr>
        <w:jc w:val="both"/>
        <w:ind w:firstLine="1304"/>
        <w:spacing w:after="0" w:line="259" w:lineRule="auto"/>
        <w:tabs>
          <w:tab w:leader="none" w:pos="152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ISOs</w:t>
      </w:r>
      <w:r>
        <w:rPr>
          <w:rFonts w:ascii="Arial" w:cs="Arial" w:eastAsia="Arial" w:hAnsi="Arial"/>
          <w:sz w:val="18"/>
          <w:szCs w:val="18"/>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w:t>
      </w:r>
    </w:p>
    <w:p>
      <w:pPr>
        <w:spacing w:after="0" w:line="186" w:lineRule="exact"/>
        <w:rPr>
          <w:rFonts w:ascii="Arial" w:cs="Arial" w:eastAsia="Arial" w:hAnsi="Arial"/>
          <w:sz w:val="18"/>
          <w:szCs w:val="18"/>
          <w:color w:val="auto"/>
        </w:rPr>
      </w:pPr>
    </w:p>
    <w:p>
      <w:pPr>
        <w:jc w:val="both"/>
        <w:ind w:firstLine="1952"/>
        <w:spacing w:after="0" w:line="257" w:lineRule="auto"/>
        <w:tabs>
          <w:tab w:leader="none" w:pos="2199"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ISO Grants to 10% Stockholders</w:t>
      </w:r>
      <w:r>
        <w:rPr>
          <w:rFonts w:ascii="Arial" w:cs="Arial" w:eastAsia="Arial" w:hAnsi="Arial"/>
          <w:sz w:val="18"/>
          <w:szCs w:val="18"/>
          <w:color w:val="auto"/>
        </w:rPr>
        <w:t>. Notwithstanding anything to the contrary in the Plan, if an ISO is granted to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who owns shares representing more than ten percent (10%) of the voting power of all classes of shares of the Company at the time of grant,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187" w:lineRule="exact"/>
        <w:rPr>
          <w:rFonts w:ascii="Arial" w:cs="Arial" w:eastAsia="Arial" w:hAnsi="Arial"/>
          <w:sz w:val="18"/>
          <w:szCs w:val="18"/>
          <w:color w:val="auto"/>
        </w:rPr>
      </w:pPr>
    </w:p>
    <w:p>
      <w:pPr>
        <w:jc w:val="both"/>
        <w:ind w:firstLine="1952"/>
        <w:spacing w:after="0" w:line="263" w:lineRule="auto"/>
        <w:tabs>
          <w:tab w:leader="none" w:pos="2199"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$100,000 Per Year Limitation For ISOs</w:t>
      </w:r>
      <w:r>
        <w:rPr>
          <w:rFonts w:ascii="Arial" w:cs="Arial" w:eastAsia="Arial" w:hAnsi="Arial"/>
          <w:sz w:val="18"/>
          <w:szCs w:val="18"/>
          <w:color w:val="auto"/>
        </w:rPr>
        <w:t>. To the extent the aggregate Fair Market Value (determined on the date of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for which ISOs are exercisable for the first time by any Participant during any calendar year (under all plans of the Company) exceeds $100,000, such excess ISOs shall be treated as Nonqualified Stock Options.</w:t>
      </w:r>
    </w:p>
    <w:p>
      <w:pPr>
        <w:spacing w:after="0" w:line="183" w:lineRule="exact"/>
        <w:rPr>
          <w:rFonts w:ascii="Arial" w:cs="Arial" w:eastAsia="Arial" w:hAnsi="Arial"/>
          <w:sz w:val="18"/>
          <w:szCs w:val="18"/>
          <w:color w:val="auto"/>
        </w:rPr>
      </w:pPr>
    </w:p>
    <w:p>
      <w:pPr>
        <w:jc w:val="both"/>
        <w:ind w:firstLine="1952"/>
        <w:spacing w:after="0" w:line="293" w:lineRule="auto"/>
        <w:tabs>
          <w:tab w:leader="none" w:pos="2253"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Disqualifying Dispositions</w:t>
      </w:r>
      <w:r>
        <w:rPr>
          <w:rFonts w:ascii="Arial" w:cs="Arial" w:eastAsia="Arial" w:hAnsi="Arial"/>
          <w:sz w:val="16"/>
          <w:szCs w:val="16"/>
          <w:color w:val="auto"/>
        </w:rPr>
        <w:t>. Each Participant awarded an ISO under the Plan shall notify the Company in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164" w:lineRule="exact"/>
        <w:rPr>
          <w:rFonts w:ascii="Arial" w:cs="Arial" w:eastAsia="Arial" w:hAnsi="Arial"/>
          <w:sz w:val="16"/>
          <w:szCs w:val="16"/>
          <w:color w:val="auto"/>
        </w:rPr>
      </w:pPr>
    </w:p>
    <w:p>
      <w:pPr>
        <w:jc w:val="both"/>
        <w:ind w:firstLine="1304"/>
        <w:spacing w:after="0" w:line="263" w:lineRule="auto"/>
        <w:tabs>
          <w:tab w:leader="none" w:pos="155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A Participant shall have no rights to dividends, dividend equivalents or distributions or any other rights of a stockholder with respect to the Shares subject to an Option until the Participant has given written notice of the exercise thereof, and has paid in full for such Shares and has satisfied the requirements of Section 15 hereof.</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1564"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or Service</w:t>
      </w:r>
      <w:r>
        <w:rPr>
          <w:rFonts w:ascii="Arial" w:cs="Arial" w:eastAsia="Arial" w:hAnsi="Arial"/>
          <w:sz w:val="17"/>
          <w:szCs w:val="17"/>
          <w:color w:val="auto"/>
        </w:rPr>
        <w:t>. In the event of a Participant’s termination for any reason other than death, Disability or Cause, the portion of such Participant’s Options that is not vested and exercisable as of the termination date shall not continue to vest and shall be immediately terminated and cancelled, and the portion of such Options that is vested and exercisable as of the termination date shall terminate and be cancelled on the earlier of (i) the expiration of the term of such Options (as provided in the applicable Award Agreement); and (ii) ninety (90) days after such termination date. In the event of a Participant’s termination due to death or Disability, the portion of such Participant’s Options that is not vested and exercisable as of the termination date shall not continue to vest and shall be immediately cancelled and terminated, and the portion of such Options that is vested and exercisable as of the termination date shall terminate and be cancelled on the earlier of (x) the expiration of the term of such Options (as provided in the applicable Award Agreement); and (y) the date that is twelve (12) months after the termination date. In the event of a Participant’s termination for Cause, or if after such termination, the Administrator determines that Cause existed before such termination, such Participant’s Options shall not continue to vest, shall be cancelled and terminated as of the termination date, and shall no longer be exercisable as to any Shares, whether or not previously vested.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right="20" w:firstLine="1304"/>
        <w:spacing w:after="0" w:line="263" w:lineRule="auto"/>
        <w:tabs>
          <w:tab w:leader="none" w:pos="151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Other Change in Employment or Service Status</w:t>
      </w:r>
      <w:r>
        <w:rPr>
          <w:rFonts w:ascii="Arial" w:cs="Arial" w:eastAsia="Arial" w:hAnsi="Arial"/>
          <w:sz w:val="18"/>
          <w:szCs w:val="18"/>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8. Stock Appreciation Rights.</w:t>
      </w:r>
    </w:p>
    <w:p>
      <w:pPr>
        <w:spacing w:after="0" w:line="225" w:lineRule="exact"/>
        <w:rPr>
          <w:sz w:val="20"/>
          <w:szCs w:val="20"/>
          <w:color w:val="auto"/>
        </w:rPr>
      </w:pPr>
    </w:p>
    <w:p>
      <w:pPr>
        <w:jc w:val="both"/>
        <w:ind w:firstLine="1304"/>
        <w:spacing w:after="0" w:line="289" w:lineRule="auto"/>
        <w:tabs>
          <w:tab w:leader="none" w:pos="1554"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Stock Appreciation Rights may be granted either alone (“</w:t>
      </w:r>
      <w:r>
        <w:rPr>
          <w:rFonts w:ascii="Arial" w:cs="Arial" w:eastAsia="Arial" w:hAnsi="Arial"/>
          <w:sz w:val="16"/>
          <w:szCs w:val="16"/>
          <w:u w:val="single" w:color="auto"/>
          <w:color w:val="auto"/>
        </w:rPr>
        <w:t>Free Standing Rights</w:t>
      </w:r>
      <w:r>
        <w:rPr>
          <w:rFonts w:ascii="Arial" w:cs="Arial" w:eastAsia="Arial" w:hAnsi="Arial"/>
          <w:sz w:val="16"/>
          <w:szCs w:val="16"/>
          <w:color w:val="auto"/>
        </w:rPr>
        <w:t>”) or in conjunction with all or part of any Option granted under the Plan (“</w:t>
      </w:r>
      <w:r>
        <w:rPr>
          <w:rFonts w:ascii="Arial" w:cs="Arial" w:eastAsia="Arial" w:hAnsi="Arial"/>
          <w:sz w:val="16"/>
          <w:szCs w:val="16"/>
          <w:u w:val="single" w:color="auto"/>
          <w:color w:val="auto"/>
        </w:rPr>
        <w:t>Related Rights</w:t>
      </w:r>
      <w:r>
        <w:rPr>
          <w:rFonts w:ascii="Arial" w:cs="Arial" w:eastAsia="Arial" w:hAnsi="Arial"/>
          <w:sz w:val="16"/>
          <w:szCs w:val="16"/>
          <w:color w:val="auto"/>
        </w:rPr>
        <w:t>”). Related Rights may be granted either at or after the time of the grant of such Option. The Administrator shall determine the Eligible Recipients to whom, and the time or times at which, grants of Stock Appreciation Rights shall be made. Each Participant who is granted a Stock Appreciation Right shall enter into an Award Agreement with the Company, containing such terms and conditions as the Administrator shall determine, in its sole discretion, including, among other things, the number of Shares to be awarded, the Exercise Price per Share, and all other conditions of Stock Appreciation Rights. Notwithstanding the foregoing, no Related Right may be granted for more Shares than are subject to the Option to which it relates. The provisions of Stock Appreciation Rights need not be the same with respect to each Participant. 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5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Awards; Rights as Stockholder</w:t>
      </w:r>
      <w:r>
        <w:rPr>
          <w:rFonts w:ascii="Arial" w:cs="Arial" w:eastAsia="Arial" w:hAnsi="Arial"/>
          <w:sz w:val="18"/>
          <w:szCs w:val="18"/>
          <w:color w:val="auto"/>
        </w:rPr>
        <w:t>. A Participant shall have no rights to dividends or any other rights of a stockholder with respect to the shares of Common Stock, if any, subject to a Stock Appreciation Right until the Participant has given written notice of the exercise thereof and has satisfied the requirements of Section 15 hereof.</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Shares purchasable under a Stock Appreciation Right shall be determined by the Administrator in its sole discretion at the time of grant, but in no event shall the exercise price of a Stock Appreciation Right be less than one hundred percent (100%) of the Fair Market Value of a share of Common Stock on the date of grant.</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77" w:lineRule="auto"/>
        <w:tabs>
          <w:tab w:leader="none" w:pos="2205" w:val="left"/>
        </w:tabs>
        <w:numPr>
          <w:ilvl w:val="1"/>
          <w:numId w:val="82"/>
        </w:numPr>
        <w:rPr>
          <w:rFonts w:ascii="Arial" w:cs="Arial" w:eastAsia="Arial" w:hAnsi="Arial"/>
          <w:sz w:val="18"/>
          <w:szCs w:val="18"/>
          <w:color w:val="auto"/>
        </w:rPr>
      </w:pPr>
      <w:r>
        <w:rPr>
          <w:rFonts w:ascii="Arial" w:cs="Arial" w:eastAsia="Arial" w:hAnsi="Arial"/>
          <w:sz w:val="18"/>
          <w:szCs w:val="18"/>
          <w:color w:val="auto"/>
        </w:rPr>
        <w:t>Stock Appreciation Rights that are Free Standing Rights shall be exercisable at such time or times and subject to such terms and conditions as shall be determined by the Administrator in the applicable Award Agreement.</w:t>
      </w:r>
    </w:p>
    <w:p>
      <w:pPr>
        <w:spacing w:after="0" w:line="170" w:lineRule="exact"/>
        <w:rPr>
          <w:rFonts w:ascii="Arial" w:cs="Arial" w:eastAsia="Arial" w:hAnsi="Arial"/>
          <w:sz w:val="18"/>
          <w:szCs w:val="18"/>
          <w:color w:val="auto"/>
        </w:rPr>
      </w:pPr>
    </w:p>
    <w:p>
      <w:pPr>
        <w:ind w:firstLine="1952"/>
        <w:spacing w:after="0" w:line="308" w:lineRule="auto"/>
        <w:tabs>
          <w:tab w:leader="none" w:pos="2210" w:val="left"/>
        </w:tabs>
        <w:numPr>
          <w:ilvl w:val="1"/>
          <w:numId w:val="82"/>
        </w:numPr>
        <w:rPr>
          <w:rFonts w:ascii="Arial" w:cs="Arial" w:eastAsia="Arial" w:hAnsi="Arial"/>
          <w:sz w:val="17"/>
          <w:szCs w:val="17"/>
          <w:color w:val="auto"/>
        </w:rPr>
      </w:pPr>
      <w:r>
        <w:rPr>
          <w:rFonts w:ascii="Arial" w:cs="Arial" w:eastAsia="Arial" w:hAnsi="Arial"/>
          <w:sz w:val="17"/>
          <w:szCs w:val="17"/>
          <w:color w:val="auto"/>
        </w:rPr>
        <w:t>Stock Appreciation Rights that are Related Rights shall be exercisable only at such time or times and to the extent that the Options to which they relate shall be exercisable in accordance with the provisions of Section 7 hereof and this Section 8 of the Plan.</w:t>
      </w:r>
    </w:p>
    <w:p>
      <w:pPr>
        <w:spacing w:after="0" w:line="146" w:lineRule="exact"/>
        <w:rPr>
          <w:rFonts w:ascii="Arial" w:cs="Arial" w:eastAsia="Arial" w:hAnsi="Arial"/>
          <w:sz w:val="17"/>
          <w:szCs w:val="17"/>
          <w:color w:val="auto"/>
        </w:rPr>
      </w:pPr>
    </w:p>
    <w:p>
      <w:pPr>
        <w:ind w:left="1540" w:hanging="236"/>
        <w:spacing w:after="0"/>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Payment Upon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204" w:val="left"/>
        </w:tabs>
        <w:numPr>
          <w:ilvl w:val="1"/>
          <w:numId w:val="82"/>
        </w:numPr>
        <w:rPr>
          <w:rFonts w:ascii="Arial" w:cs="Arial" w:eastAsia="Arial" w:hAnsi="Arial"/>
          <w:sz w:val="18"/>
          <w:szCs w:val="18"/>
          <w:color w:val="auto"/>
        </w:rPr>
      </w:pPr>
      <w:r>
        <w:rPr>
          <w:rFonts w:ascii="Arial" w:cs="Arial" w:eastAsia="Arial" w:hAnsi="Arial"/>
          <w:sz w:val="18"/>
          <w:szCs w:val="18"/>
          <w:color w:val="auto"/>
        </w:rPr>
        <w:t>Upon the exercise of a Free Standing Right, the Participant shall be entitled to receive up to, but not more than, that number of Shares equal in value to the excess of the Fair Market Value as of the date of exercise over the Exercise Price per share specified in the Free Standing Right multiplied by the number of Shares in respect of which the Free Standing Right is being exercised.</w:t>
      </w:r>
    </w:p>
    <w:p>
      <w:pPr>
        <w:spacing w:after="0" w:line="183" w:lineRule="exact"/>
        <w:rPr>
          <w:rFonts w:ascii="Arial" w:cs="Arial" w:eastAsia="Arial" w:hAnsi="Arial"/>
          <w:sz w:val="18"/>
          <w:szCs w:val="18"/>
          <w:color w:val="auto"/>
        </w:rPr>
      </w:pPr>
    </w:p>
    <w:p>
      <w:pPr>
        <w:jc w:val="both"/>
        <w:ind w:firstLine="1952"/>
        <w:spacing w:after="0" w:line="257" w:lineRule="auto"/>
        <w:tabs>
          <w:tab w:leader="none" w:pos="220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Related Right may be exercised by a Participant by surrendering the applicable portion of the related Option. Upon such exercise and surrender, the Participant shall be entitled to receive up to, but not more than, that number of Shares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spacing w:after="0" w:line="187" w:lineRule="exact"/>
        <w:rPr>
          <w:rFonts w:ascii="Arial" w:cs="Arial" w:eastAsia="Arial" w:hAnsi="Arial"/>
          <w:sz w:val="18"/>
          <w:szCs w:val="18"/>
          <w:color w:val="auto"/>
        </w:rPr>
      </w:pPr>
    </w:p>
    <w:p>
      <w:pPr>
        <w:ind w:right="20" w:firstLine="1952"/>
        <w:spacing w:after="0" w:line="277" w:lineRule="auto"/>
        <w:tabs>
          <w:tab w:leader="none" w:pos="2203"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Notwithstanding the foregoing, the Administrator may determine to settle the exercise of a Stock Appreciation Right in cash (or in any combination of Shares and cash).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1304"/>
        <w:spacing w:after="0" w:line="287" w:lineRule="auto"/>
        <w:tabs>
          <w:tab w:leader="none" w:pos="152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In the event of a Participant’s termination for any reason other than death, Disability or Cause, the portion of such Participant’s Stock Appreciation Rights that is not vested and exercisable as of the termination date shall not continue to vest and shall be immediately terminated and cancelled, and the portion of such Stock Appreciation Rights that is vested and exercisable as of the termination date shall terminate and be cancelled on the earlier of (i) the expiration of the term of such Stock Appreciation Rights (as provided in the applicable Award Agreement); and (ii) ninety (90) days after such termination date. In the event of a Participant’s termination due to death or Disability, the portion of such Participant’s Stock Appreciation Rights that is not vested and exercisable as of the termination date shall not continue to vest and shall be immediately cancelled and terminated, and the portion of such Stock Appreciation Rights that is vested and exercisable as of the termination date shall terminate and be cancelled on the earlier of (x) the expiration of the term of such Stock Appreciation Rights (as provided in the applicable Award Agreement); and (y) the date that is twelve (12) months after the termination date. In the event of a Participant’s termination for Cause, or if after such termination, the Administrator determines that Cause existed before such termination, such Participant’s Stock Appreciation Rights shall not continue to vest, shall be cancelled and terminated as of the termination date, and shall no longer be exercisable as to any Shares, whether or not previously vested.</w:t>
      </w:r>
    </w:p>
    <w:p>
      <w:pPr>
        <w:spacing w:after="0" w:line="171" w:lineRule="exact"/>
        <w:rPr>
          <w:rFonts w:ascii="Arial" w:cs="Arial" w:eastAsia="Arial" w:hAnsi="Arial"/>
          <w:sz w:val="16"/>
          <w:szCs w:val="16"/>
          <w:color w:val="auto"/>
        </w:rPr>
      </w:pPr>
    </w:p>
    <w:p>
      <w:pPr>
        <w:ind w:left="1560" w:hanging="256"/>
        <w:spacing w:after="0"/>
        <w:tabs>
          <w:tab w:leader="none" w:pos="15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77" w:lineRule="auto"/>
        <w:tabs>
          <w:tab w:leader="none" w:pos="2212"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term of each Free Standing Right shall be fixed by the Administrator, but no Free Standing Right shall be exercisable more than ten (10) years after the date such right is granted.</w:t>
      </w:r>
    </w:p>
    <w:p>
      <w:pPr>
        <w:spacing w:after="0" w:line="170" w:lineRule="exact"/>
        <w:rPr>
          <w:rFonts w:ascii="Arial" w:cs="Arial" w:eastAsia="Arial" w:hAnsi="Arial"/>
          <w:sz w:val="18"/>
          <w:szCs w:val="18"/>
          <w:color w:val="auto"/>
        </w:rPr>
      </w:pPr>
    </w:p>
    <w:p>
      <w:pPr>
        <w:ind w:right="20" w:firstLine="1952"/>
        <w:spacing w:after="0" w:line="277" w:lineRule="auto"/>
        <w:tabs>
          <w:tab w:leader="none" w:pos="22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term of each Related Right shall be the term of the Option to which it relates, but no Related Right shall be exercisable more than ten (10) years after the date such right is granted.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Other Change in Employment or Service Status</w:t>
      </w:r>
      <w:r>
        <w:rPr>
          <w:rFonts w:ascii="Arial" w:cs="Arial" w:eastAsia="Arial" w:hAnsi="Arial"/>
          <w:sz w:val="18"/>
          <w:szCs w:val="18"/>
          <w:color w:val="auto"/>
        </w:rPr>
        <w:t>. Stock Appreciation Rights shall be affected, both with regard to vesting schedule and termination, by leaves of absence, including unpaid and un-protected leaves of absence, changes from full-time to part-time employment, partial Disability or other changes in the employment or service status of a Participant, in the discretion of the Administrator.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9. Restricted Stock and Restricted Stock Units.</w:t>
      </w:r>
    </w:p>
    <w:p>
      <w:pPr>
        <w:spacing w:after="0" w:line="225" w:lineRule="exact"/>
        <w:rPr>
          <w:sz w:val="20"/>
          <w:szCs w:val="20"/>
          <w:color w:val="auto"/>
        </w:rPr>
      </w:pPr>
    </w:p>
    <w:p>
      <w:pPr>
        <w:jc w:val="both"/>
        <w:ind w:firstLine="1304"/>
        <w:spacing w:after="0" w:line="253" w:lineRule="auto"/>
        <w:tabs>
          <w:tab w:leader="none" w:pos="155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Restricted Stock or Restricted Stock Units may be issued under the Plan. The Administrator shall determine the Eligible Recipients to whom, and the time or times at which, Restricted Stock or Restricted Stock Units shall be made. Each Participant who is granted Restricted Stock or Restricted Stock Units shall enter into an Award Agreement with the Company, containing such terms and conditions as the Administrator shall determine, in its sole discretion, including, among other things, the number of Shares to be awarded; the price, if any, to be paid by the Participant for the acquisition of Restricted Stock or Restricted Stock Units; the period of time restrictions, performance goals or other conditions that apply to Transferability, delivery or vesting of such Awards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and all other conditions applicable to the Restricted Stock and Restricted Stock Units. If the restrictions, performance goals or conditions established by the Administrator are not attained, a Participant shall forfeit his or her Restricted Stock or Restricted Stock Units, in accordance with the terms of the grant. The provisions of the Restricted Stock or Restricted Stock Units need not be the same with respect to each Participant.</w:t>
      </w:r>
    </w:p>
    <w:p>
      <w:pPr>
        <w:spacing w:after="0" w:line="196" w:lineRule="exact"/>
        <w:rPr>
          <w:rFonts w:ascii="Arial" w:cs="Arial" w:eastAsia="Arial" w:hAnsi="Arial"/>
          <w:sz w:val="18"/>
          <w:szCs w:val="18"/>
          <w:color w:val="auto"/>
        </w:rPr>
      </w:pPr>
    </w:p>
    <w:p>
      <w:pPr>
        <w:jc w:val="both"/>
        <w:ind w:firstLine="1304"/>
        <w:spacing w:after="0" w:line="268" w:lineRule="auto"/>
        <w:tabs>
          <w:tab w:leader="none" w:pos="1578"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Awards and Certificates</w:t>
      </w:r>
      <w:r>
        <w:rPr>
          <w:rFonts w:ascii="Arial" w:cs="Arial" w:eastAsia="Arial" w:hAnsi="Arial"/>
          <w:sz w:val="17"/>
          <w:szCs w:val="17"/>
          <w:color w:val="auto"/>
        </w:rPr>
        <w:t>. Except as otherwise provided below in Section 9(c), (i) each Participant who is granted an Award of Restricted Stock may, in the Company’s sole discretion, be issued a share certificate in respect of such Restricted Stock; and (ii) any such certificate so issued shall be registered in the name of the Participant, and shall bear an appropriate legend referring to the terms, conditions and restrictions applicable to any such Award. The Company may require that the share certificates, if any, evidencing Restricted Stock granted hereunder be held in the custody of the Company until the restrictions thereon shall have lapsed, and that, as a condition of any Award of Restricted Stock, the Participant shall have delivered a share transfer form, endorsed in blank, relating to the Shares covered by such Award. Certificates for shares of unrestricted Common Stock may, in the Company’s sole discretion, be delivered to the Participant only after the Restricted Period has expired without forfeiture in such Restricted Stock Award. With respect to Restricted Stock Units to be settled in Shares, at the expiration of the Restricted Period, share certificates in respect of the shares of Common Stock underlying such Restricted Stock Units may, in the Company’s sole discretion, be delivered to the Participant, or his or her legal representative, in a number equal to the number of shares of Common Stock underlying the Restricted Stock Units Award. Notwithstanding anything in the Plan to the contrary, any Restricted Stock or Restricted Stock Units to be settled in Shares (at the expiration of the Restricted Period, and whether before or after any vesting conditions have been satisfied) may, in the Company’s sole discretion, be issued in uncertificated form. Further, notwithstanding anything in the Plan to the contrary, with respect to Restricted Stock Units, at the expiration of the Restricted Period, Shares, or cash, as applicable, shall promptly be issued (either in certificated or uncertificated form) to the Participant, unless otherwise deferred in accordance with procedures established by the Company in accordance with Section 409A of the Code, and such issuance or payment shall in any event be made within such period as is required to avoid the imposition of a tax under Section 409A of the Code.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1304"/>
        <w:spacing w:after="0" w:line="263" w:lineRule="auto"/>
        <w:tabs>
          <w:tab w:leader="none" w:pos="15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Restricted Stock or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183" w:lineRule="exact"/>
        <w:rPr>
          <w:rFonts w:ascii="Arial" w:cs="Arial" w:eastAsia="Arial" w:hAnsi="Arial"/>
          <w:sz w:val="18"/>
          <w:szCs w:val="18"/>
          <w:color w:val="auto"/>
        </w:rPr>
      </w:pPr>
    </w:p>
    <w:p>
      <w:pPr>
        <w:jc w:val="both"/>
        <w:ind w:firstLine="1952"/>
        <w:spacing w:after="0" w:line="257" w:lineRule="auto"/>
        <w:tabs>
          <w:tab w:leader="none" w:pos="219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with the Company or any Affiliate thereof, or the Participant’s death or Disability. Notwithstanding the foregoing, upon a Change in Control, the outstanding Awards shall be subject to Section 11 hereof.</w:t>
      </w:r>
    </w:p>
    <w:p>
      <w:pPr>
        <w:spacing w:after="0" w:line="187" w:lineRule="exact"/>
        <w:rPr>
          <w:rFonts w:ascii="Arial" w:cs="Arial" w:eastAsia="Arial" w:hAnsi="Arial"/>
          <w:sz w:val="18"/>
          <w:szCs w:val="18"/>
          <w:color w:val="auto"/>
        </w:rPr>
      </w:pPr>
    </w:p>
    <w:p>
      <w:pPr>
        <w:jc w:val="both"/>
        <w:ind w:firstLine="1952"/>
        <w:spacing w:after="0" w:line="289" w:lineRule="auto"/>
        <w:tabs>
          <w:tab w:leader="none" w:pos="2201"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Except as provided in the applicable Award Agreement, the Participant shall generally have the rights of a stockholder of the Company with respect to Restricted Stock during the Restricted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dividends declared during the Restricted Period with respect to an Award, shall only become payable if (and to the extent) the underlying Restricted Stock vests. Except as provided in the applicable Award Agreement, the Participant shall generally not have the rights of a stockholder with respect to Shares subject to Restricted Stock Units during the Restricted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Section 409A of the Code, an amount equal to dividends declared during the Restricted Period with respect to the number of Shares covered by Restricted Stock Units shall, unless otherwise set forth in an Award Agreement, be paid to the Participant at the time (and to the extent) Shares in respect of the related Restricted Stock Units are delivered to the Participant. Certificates for Shares of unrestricted Common Stock may, in the Company’s sole discretion, be delivered to the Participant only after the Restricted Period has expired without forfeiture in respect of such Restricted Stock or Restricted Stock Units, except as the Administrator, in its sole discretion, shall otherwise determine.</w:t>
      </w:r>
    </w:p>
    <w:p>
      <w:pPr>
        <w:spacing w:after="0" w:line="166" w:lineRule="exact"/>
        <w:rPr>
          <w:rFonts w:ascii="Arial" w:cs="Arial" w:eastAsia="Arial" w:hAnsi="Arial"/>
          <w:sz w:val="16"/>
          <w:szCs w:val="16"/>
          <w:color w:val="auto"/>
        </w:rPr>
      </w:pPr>
    </w:p>
    <w:p>
      <w:pPr>
        <w:jc w:val="both"/>
        <w:ind w:firstLine="1952"/>
        <w:spacing w:after="0" w:line="263" w:lineRule="auto"/>
        <w:tabs>
          <w:tab w:leader="none" w:pos="2201"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rights of Participants granted Restricted Stock or Restricted Stock Units upon termination of employment or service as a director or independent contractor to the Company or to any Affiliate thereof terminates for any reason during the Restricted Period shall be set forth in the Award Agreement.</w:t>
      </w:r>
    </w:p>
    <w:p>
      <w:pPr>
        <w:spacing w:after="0" w:line="183" w:lineRule="exact"/>
        <w:rPr>
          <w:rFonts w:ascii="Arial" w:cs="Arial" w:eastAsia="Arial" w:hAnsi="Arial"/>
          <w:sz w:val="18"/>
          <w:szCs w:val="18"/>
          <w:color w:val="auto"/>
        </w:rPr>
      </w:pPr>
    </w:p>
    <w:p>
      <w:pPr>
        <w:ind w:right="20" w:firstLine="1304"/>
        <w:spacing w:after="0" w:line="342" w:lineRule="auto"/>
        <w:tabs>
          <w:tab w:leader="none" w:pos="1551"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Form of Settlement</w:t>
      </w:r>
      <w:r>
        <w:rPr>
          <w:rFonts w:ascii="Arial" w:cs="Arial" w:eastAsia="Arial" w:hAnsi="Arial"/>
          <w:sz w:val="16"/>
          <w:szCs w:val="16"/>
          <w:color w:val="auto"/>
        </w:rPr>
        <w:t>. The Administrator reserves the right in its sole discretion to provide (either at or after the grant thereof) that any Restricted Stock Unit represents the right to receive the amount of cash per unit that is determined by the Administrator in connection with the Award.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10. Other Stock-Based Awards.</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Other Stock-Based Awards may be issued under the Plan. Subject to the provisions of the Plan, the Administrator shall have sole and complete authority to determine the individuals to whom and the time or times at which such Other Stock-Based Awards shall be granted. Each Participant who is granted an Other Stock-Based Award shall enter into an Award Agreement with the Company, containing such terms and conditions as the Administrator shall determine, in its sole discretion, including, among other things, the number of shares of Common Stock to be granted pursuant to such Other Stock-Based Awards, or the manner in which such Other Stock-Based Awards shall be settled (e.g., in shares of Common Stock, cash or other property), or the conditions to the vesting and/or payment or settlement of such Other Stock-Based Awards (which may include, but not be limited to, achievement of performance criteria) and all other terms and conditions of such Other Stock-Based Awards.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that the Administrator grants a bonus in the form of Shares, the Shares constituting such bonus shall, as determined by the Administrator, be evidenced in uncertificated form or by a book entry record or a certificate issued in the name of the Participant to whom such grant was made and delivered to such Participant as soon as practicable after the date on which such bonus is payable. Notwithstanding anything set forth in the Plan to the contrary, any dividend or dividend equivalent Award issued hereunder shall be subject to the same restrictions, conditions and risks of forfeiture as apply to the underlying Award.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Section 11. Change in Control.</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Unless otherwise determined by the Administrator and evidenced in an Award Agreement, in the event that (a) a Change in Control occurs, and (b) the Participant is employed by the Company or any of its Affiliates immediately prior to the consummation of such Change in Control then upon the consummation of such Change in Control, the Administrator, in its sole and absolute discretion, may:</w:t>
      </w:r>
    </w:p>
    <w:p>
      <w:pPr>
        <w:spacing w:after="0" w:line="184" w:lineRule="exact"/>
        <w:rPr>
          <w:sz w:val="20"/>
          <w:szCs w:val="20"/>
          <w:color w:val="auto"/>
        </w:rPr>
      </w:pPr>
    </w:p>
    <w:p>
      <w:pPr>
        <w:jc w:val="both"/>
        <w:ind w:firstLine="1304"/>
        <w:spacing w:after="0" w:line="273" w:lineRule="auto"/>
        <w:tabs>
          <w:tab w:leader="none" w:pos="15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provide that Awards, whether or not then vested, shall be continued, be assumed, or have new rights substituted therefor, as determined by the Administrator in a manner consistent with the requirements of Section 409A of the Code, and restrictions to which Awards granted prior to the Change in Control are subject shall not lapse upon a Change in Control and the Award shall, where appropriate in the sole discretion of the Administrator, receive the same distribution as other Shares on such terms as determined by the Administrator;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Administrator may decide to award additional Awards in lieu of any cash distribution. Notwithstanding anything to the contrary herein, for purposes of ISOs, any assumed or substituted Option shall comply with the requirements of Treasury Regulation Section 1.424-1 (and any amendment thereto);</w:t>
      </w:r>
    </w:p>
    <w:p>
      <w:pPr>
        <w:spacing w:after="0" w:line="177" w:lineRule="exact"/>
        <w:rPr>
          <w:rFonts w:ascii="Arial" w:cs="Arial" w:eastAsia="Arial" w:hAnsi="Arial"/>
          <w:sz w:val="17"/>
          <w:szCs w:val="17"/>
          <w:color w:val="auto"/>
        </w:rPr>
      </w:pPr>
    </w:p>
    <w:p>
      <w:pPr>
        <w:ind w:left="1560" w:hanging="256"/>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provide that any unvested or unexercisable portion of any Award carrying a right to exercise become fully vested and exercisable;</w:t>
      </w:r>
    </w:p>
    <w:p>
      <w:pPr>
        <w:spacing w:after="0" w:line="248" w:lineRule="exact"/>
        <w:rPr>
          <w:rFonts w:ascii="Arial" w:cs="Arial" w:eastAsia="Arial" w:hAnsi="Arial"/>
          <w:sz w:val="16"/>
          <w:szCs w:val="16"/>
          <w:color w:val="auto"/>
        </w:rPr>
      </w:pPr>
    </w:p>
    <w:p>
      <w:pPr>
        <w:jc w:val="both"/>
        <w:ind w:firstLine="1304"/>
        <w:spacing w:after="0" w:line="263" w:lineRule="auto"/>
        <w:tabs>
          <w:tab w:leader="none" w:pos="1541"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cause the restrictions, deferral limitations, payment conditions and forfeiture conditions applicable to an Award granted under the Plan to lapse and such Awards shall be deemed fully vested and any performance conditions imposed with respect to such Awards shall be deemed to be fully achieved at target performance levels; and/or</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562"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provide for the purchase of any Awards by the Company for an amount of cash equal to the excess (if any) of the highest price per Share paid in such Change in Control (the “</w:t>
      </w:r>
      <w:r>
        <w:rPr>
          <w:rFonts w:ascii="Arial" w:cs="Arial" w:eastAsia="Arial" w:hAnsi="Arial"/>
          <w:sz w:val="16"/>
          <w:szCs w:val="16"/>
          <w:u w:val="single" w:color="auto"/>
          <w:color w:val="auto"/>
        </w:rPr>
        <w:t>Change in Control Price”)</w:t>
      </w:r>
      <w:r>
        <w:rPr>
          <w:rFonts w:ascii="Arial" w:cs="Arial" w:eastAsia="Arial" w:hAnsi="Arial"/>
          <w:sz w:val="16"/>
          <w:szCs w:val="16"/>
          <w:color w:val="auto"/>
        </w:rPr>
        <w:t xml:space="preserve">, over the aggregate exercise price of such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exercise price of an Option or Stock Appreciation Right exceeds the Change in Control Price, such Award may be cancelled for no consideration.</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If the Administrator determines in its discretion pursuant to Section 3(b)(4) hereof to accelerate the vesting of Options and/or Share Appreciation Rights in connection with a Change in Control, the Administrator shall also have discretion in connection with such action to provide that all Options and/or Stock Appreciation Rights outstanding immediately prior to such Change in Control shall expire on the effective date of such Change in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12. Amendment and Termination.</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Board may amend, alter or terminate the Plan at any time, but no amendment, alteration or termination shall be made that would impair the rights of a Participant under any Award theretofore granted without such Participant’s consent. The Board shall obtain approval of the Company’s stockholders for any amendment that would require such approval in order to satisfy the requirements of any rules of the stock exchange on which the Common Stock is traded or other Applicable Law. Subject to Section 3(c), the Administrator may amend the terms of any Award theretofore granted, prospectively or retroactively, but, subject to Section 5 of the Plan and the immediately preceding sentence, no such amendment shall materially impair the rights of any Participant without his or her consent.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13. Unfunded Status of Plan.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Section 14. Withholding Taxes.</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Each Participant shall, no later than the date as of which the value of an Award first becomes includible in the gross income of such Participant for purposes of applicable taxes, pay to the Company, or make arrangements satisfactory to the Administrator regarding payment of an amount up to the maximum statutory tax rates in the Participant’s applicable jurisdiction with respect to the Award, as determined by the Company. The obligations of the Company under the Plan shall be conditional on the making of such payments or arrangements, and the Company shall, to the extent permitted by Applicable Laws,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Whenever Shares or property other than cash are to be delivered pursuant to an Award, the Company shall have the right to require the Participant to remit to the Company in cash an amount sufficient to satisfy any related taxes to be withheld and applied to the tax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with the approval of the Administrator, a Participant may satisfy the foregoing requirement by either (i) electing to have the Company withhold from delivery of Shares or other property, as applicable, or (ii) delivering already owned unrestricted shares of Common Stock, in each case, having a value not exceeding the applicable taxes to be withheld and applied to the tax obligations. Such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Applicable Laws, to satisfy its withholding obligation with respect to any Award.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Section 15. Transfer of Awards.</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or other property underlying such Award. Unless otherwise determined by the Administrator in accordance with the provisions of the immediately preceding sentence, an Option or a Stock Appreciation Right may be exercised, during the lifetime of the Participant, only by the Participant or, during any period during which the Participant is under a legal Disability, by the Participant’s guardian or legal representative.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16. Continued Employment or Service.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Neither the adoption of the Plan nor the grant of an Award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17. Effective Date.</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Plan was approved by the Board on December 1, 2021 and shall be adopted and become effective on the date that it is approved by the Company’s stockholders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18. Electronic Signature.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Participant’s electronic signature of an Award Agreement shall have the same validity and effect as a signature affixed by hand.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Section 19. Term of Plan.</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 Award shall be granted pursuant to the Plan on or after the tenth anniversary of the Effective Date, but Awards theretofore granted may extend beyond that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Section 20. Securities Matters and Regulations.</w:t>
      </w:r>
    </w:p>
    <w:p>
      <w:pPr>
        <w:spacing w:after="0" w:line="225" w:lineRule="exact"/>
        <w:rPr>
          <w:sz w:val="20"/>
          <w:szCs w:val="20"/>
          <w:color w:val="auto"/>
        </w:rPr>
      </w:pPr>
    </w:p>
    <w:p>
      <w:pPr>
        <w:jc w:val="both"/>
        <w:ind w:firstLine="1304"/>
        <w:spacing w:after="0" w:line="255" w:lineRule="auto"/>
        <w:tabs>
          <w:tab w:leader="none" w:pos="1554"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obligation of the Company to sell or deliver Shares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Administrator. The Administrator may require, as a condition of the issuance and delivery of certificates evidencing shares of Common Stock pursuant to the terms hereof, that the recipient of such shares make such agreements and representations, and that such certificates bear such legends, as the Administrator, in its sole discretion, deems necessary or advisable.</w:t>
      </w:r>
    </w:p>
    <w:p>
      <w:pPr>
        <w:spacing w:after="0" w:line="192" w:lineRule="exact"/>
        <w:rPr>
          <w:rFonts w:ascii="Arial" w:cs="Arial" w:eastAsia="Arial" w:hAnsi="Arial"/>
          <w:sz w:val="18"/>
          <w:szCs w:val="18"/>
          <w:color w:val="auto"/>
        </w:rPr>
      </w:pPr>
    </w:p>
    <w:p>
      <w:pPr>
        <w:jc w:val="both"/>
        <w:ind w:firstLine="1304"/>
        <w:spacing w:after="0" w:line="257" w:lineRule="auto"/>
        <w:tabs>
          <w:tab w:leader="none" w:pos="15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Award is subject to the requirement that, if at any time the Administrator determines that the listing, registration or qualification of Shares is required by any securities exchange or under any state or federal law, or the consent or approval of any governmental regulatory body is necessary or desirable as a condition of, or in connection with, the grant of an Award or the issuance of Shares, no such Award shall be granted or payment made or Shares issued, in whole or in part, unless listing, registration, qualification, consent or approval has been effected or obtained free of any conditions not acceptable to the Administrator.</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5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21. Section 409A of the Code.</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Section 22. Notification of Election Under Section 83(b) of the Code.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23. No Fractional Shares.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Section 24. Beneficiary.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25. Paperless Administration.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26. Severability.</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27. Clawback.</w:t>
      </w:r>
    </w:p>
    <w:p>
      <w:pPr>
        <w:spacing w:after="0" w:line="225" w:lineRule="exact"/>
        <w:rPr>
          <w:sz w:val="20"/>
          <w:szCs w:val="20"/>
          <w:color w:val="auto"/>
        </w:rPr>
      </w:pPr>
    </w:p>
    <w:p>
      <w:pPr>
        <w:jc w:val="both"/>
        <w:ind w:firstLine="1304"/>
        <w:spacing w:after="0" w:line="287" w:lineRule="auto"/>
        <w:tabs>
          <w:tab w:leader="none" w:pos="1548"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Company is required to prepare a financial restatement due to the material non-compliance of the Company with any financial reporting requirement, then the Committee may require any Section 16 Officer to repay or forfeit to the Company, and each Section 16 Officer agrees to so repay or forfeit, that part of the Incentive Compensation received by that Section 16 Officer during the three-year period preceding the publication of the restated financial statement that the Committee determines was in excess of the amount that such Section 16 Officer would have received had such Incentive Compensation been calculated based on the financial results reported in the restated financial statement. The Committee may take into account any factors it deems reasonable in determining whether to seek recoupment of previously paid Incentive Compensation and how much Incentive Compensation to recoup from each Section 16 Officer (which need not be the same amount or proportion for each Section 16 Officer), including any determination by the Committee that a Section 16 Officer engaged in fraud, willful misconduct or committed grossly negligent acts or omissions which materially contributed to the events that led to the financial restatement. The amount and form of the Incentive Compensation to be recouped shall be determined by the Committee in its sole and absolute discretion, and recoupment of Incentive Compensation may be made, in the Committee’s sole and absolute discretion, through the cancellation of vested or unvested Awards, cash repayment or both.</w:t>
      </w:r>
    </w:p>
    <w:p>
      <w:pPr>
        <w:spacing w:after="0" w:line="171" w:lineRule="exact"/>
        <w:rPr>
          <w:rFonts w:ascii="Arial" w:cs="Arial" w:eastAsia="Arial" w:hAnsi="Arial"/>
          <w:sz w:val="16"/>
          <w:szCs w:val="16"/>
          <w:color w:val="auto"/>
        </w:rPr>
      </w:pPr>
    </w:p>
    <w:p>
      <w:pPr>
        <w:jc w:val="both"/>
        <w:ind w:firstLine="1304"/>
        <w:spacing w:after="0" w:line="259" w:lineRule="auto"/>
        <w:tabs>
          <w:tab w:leader="none" w:pos="15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Notwithstanding any other provisions in this Plan, any Award which is subject to recovery under any Applicable Laws, government regulation or stock exchange listing requirement, will be subject to such deductions and clawback as may be required to be made pursuant to such Applicable Law, government regulation or stock exchange listing requirement (or any policy adopted by the Company pursuant to any such law, government regulation or stock exchange listing requirement).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28. Governing Law.</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Plan shall be governed by, and construed in accordance with, the laws of the State of Delaware, without giving effect to principles of conflicts of law of such 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29. Indemnification.</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To the extent allowable pursuant to applicable law, each member of the Board and the Administrator and any officer or other employee to whom authority to administer any component of the Plan is designated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however,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individuals may be entitled pursuant to the Company’s Articles of Incorporation or Bylaws, as a matter of law, or otherwise, or any power that the Company may have to indemnify them or hold them harmless.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Section 30. Titles and Headings, References to Sections of the Code or Exchange Act.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31. Successors.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32. Relationship to other Benefits.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PERSONS NAMED HEREIN</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July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8640" w:type="dxa"/>
            <w:vAlign w:val="bottom"/>
          </w:tcPr>
          <w:p>
            <w:pPr>
              <w:ind w:left="30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160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1.1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Definitions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148"/>
        </w:trPr>
        <w:tc>
          <w:tcPr>
            <w:tcW w:w="102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DETERMINATION OF CERTAIN REALIZED TAX BENEFIT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Basis Adjustment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2.2</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Benefit Schedule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Procedures, Amendments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148"/>
        </w:trPr>
        <w:tc>
          <w:tcPr>
            <w:tcW w:w="102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TAX BENEFIT PAYMENTS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3.2</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Duplicative Payments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Coordination of Benefits With Other Tax Receivable Agreements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3.4</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Sufficient Funds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3.5</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Overpayments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3.6</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Schedule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148"/>
        </w:trPr>
        <w:tc>
          <w:tcPr>
            <w:tcW w:w="102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TERMINATION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4.1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Early Termination and Breach of Agreement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4.2</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Early Termination Notice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4.3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Upon Early Termination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148"/>
        </w:trPr>
        <w:tc>
          <w:tcPr>
            <w:tcW w:w="102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SUBORDINATION AND LATE PAYMENTS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5.1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5.2</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 Payments by the Corporate Taxpayer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148"/>
        </w:trPr>
        <w:tc>
          <w:tcPr>
            <w:tcW w:w="102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NO DISPUTES; CONSISTENCY; COOPERATION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Participation in the Corporate Taxpayer’s and OpCo’s Tax Matters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6.2</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Consistency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Cooperation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148"/>
        </w:trPr>
        <w:tc>
          <w:tcPr>
            <w:tcW w:w="102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MISCELLANEOUS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7.2</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Counterparts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Entire Agreement; Third Party Beneficiaries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7.4</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Governing Law</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7.5</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Severability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7.6</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Successors; Assignment; Amendments; Waivers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148"/>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7.7</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Titles and Subtitles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7.8</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Waiver of Jury Trial, Jurisdiction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149"/>
        </w:trPr>
        <w:tc>
          <w:tcPr>
            <w:tcW w:w="1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7.9</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Reconciliation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1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7.10</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Withholding</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7.11</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Admission of the Corporate Taxpayer into a Consolidated Group; Transfers of Corporate Assets</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7.12</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Confidentiality</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7.13</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Law</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w:t>
            </w:r>
          </w:p>
        </w:tc>
      </w:tr>
      <w:tr>
        <w:trPr>
          <w:trHeight w:val="216"/>
        </w:trPr>
        <w:tc>
          <w:tcPr>
            <w:tcW w:w="16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7.14</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Nature of TRA Parties’ Rights and Obligations</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w:t>
            </w:r>
          </w:p>
        </w:tc>
      </w:tr>
      <w:tr>
        <w:trPr>
          <w:trHeight w:val="216"/>
        </w:trPr>
        <w:tc>
          <w:tcPr>
            <w:tcW w:w="16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7.15</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 Party Representative</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TAX RECEIVABLE AGREEMENT (this “</w:t>
      </w:r>
      <w:r>
        <w:rPr>
          <w:rFonts w:ascii="Arial" w:cs="Arial" w:eastAsia="Arial" w:hAnsi="Arial"/>
          <w:sz w:val="18"/>
          <w:szCs w:val="18"/>
          <w:u w:val="single" w:color="auto"/>
          <w:color w:val="auto"/>
        </w:rPr>
        <w:t>Agreemen</w:t>
      </w:r>
      <w:r>
        <w:rPr>
          <w:rFonts w:ascii="Arial" w:cs="Arial" w:eastAsia="Arial" w:hAnsi="Arial"/>
          <w:sz w:val="18"/>
          <w:szCs w:val="18"/>
          <w:color w:val="auto"/>
        </w:rPr>
        <w:t>t”), dated as of July 21, 2022, is made and entered into by and among OPAL Fuels Inc., a Delaware corporation (the “</w:t>
      </w:r>
      <w:r>
        <w:rPr>
          <w:rFonts w:ascii="Arial" w:cs="Arial" w:eastAsia="Arial" w:hAnsi="Arial"/>
          <w:sz w:val="18"/>
          <w:szCs w:val="18"/>
          <w:u w:val="single" w:color="auto"/>
          <w:color w:val="auto"/>
        </w:rPr>
        <w:t>Corporate Taxpayer</w:t>
      </w:r>
      <w:r>
        <w:rPr>
          <w:rFonts w:ascii="Arial" w:cs="Arial" w:eastAsia="Arial" w:hAnsi="Arial"/>
          <w:sz w:val="18"/>
          <w:szCs w:val="18"/>
          <w:color w:val="auto"/>
        </w:rPr>
        <w:t>”), the TRA Party Representative (as defined below) and each of the other Persons (as defined below) party hereto from time to time (each, a “</w:t>
      </w:r>
      <w:r>
        <w:rPr>
          <w:rFonts w:ascii="Arial" w:cs="Arial" w:eastAsia="Arial" w:hAnsi="Arial"/>
          <w:sz w:val="18"/>
          <w:szCs w:val="18"/>
          <w:u w:val="single" w:color="auto"/>
          <w:color w:val="auto"/>
        </w:rPr>
        <w:t>TRA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TRA Parties</w:t>
      </w:r>
      <w:r>
        <w:rPr>
          <w:rFonts w:ascii="Arial" w:cs="Arial" w:eastAsia="Arial" w:hAnsi="Arial"/>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TRA Parties directly or indirectly hold limited liability company units (the “</w:t>
      </w:r>
      <w:r>
        <w:rPr>
          <w:rFonts w:ascii="Arial" w:cs="Arial" w:eastAsia="Arial" w:hAnsi="Arial"/>
          <w:sz w:val="18"/>
          <w:szCs w:val="18"/>
          <w:u w:val="single" w:color="auto"/>
          <w:color w:val="auto"/>
        </w:rPr>
        <w:t>Units</w:t>
      </w:r>
      <w:r>
        <w:rPr>
          <w:rFonts w:ascii="Arial" w:cs="Arial" w:eastAsia="Arial" w:hAnsi="Arial"/>
          <w:sz w:val="18"/>
          <w:szCs w:val="18"/>
          <w:color w:val="auto"/>
        </w:rPr>
        <w:t>”) in Opal Fuels LLC, a Delaware limited liability company (“</w:t>
      </w:r>
      <w:r>
        <w:rPr>
          <w:rFonts w:ascii="Arial" w:cs="Arial" w:eastAsia="Arial" w:hAnsi="Arial"/>
          <w:sz w:val="18"/>
          <w:szCs w:val="18"/>
          <w:u w:val="single" w:color="auto"/>
          <w:color w:val="auto"/>
        </w:rPr>
        <w:t>OpCo</w:t>
      </w:r>
      <w:r>
        <w:rPr>
          <w:rFonts w:ascii="Arial" w:cs="Arial" w:eastAsia="Arial" w:hAnsi="Arial"/>
          <w:sz w:val="18"/>
          <w:szCs w:val="18"/>
          <w:color w:val="auto"/>
        </w:rPr>
        <w:t>”), which is classified as a partnership for United States federal income tax purposes;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Corporate Taxpayer and OpCo entered into that certain Business Combination Agreement, dated December 2, 2021 (as further amended or modified in whole or in part from time to time in accordance with such Agreement, the “</w:t>
      </w:r>
      <w:r>
        <w:rPr>
          <w:rFonts w:ascii="Arial" w:cs="Arial" w:eastAsia="Arial" w:hAnsi="Arial"/>
          <w:sz w:val="18"/>
          <w:szCs w:val="18"/>
          <w:u w:val="single" w:color="auto"/>
          <w:color w:val="auto"/>
        </w:rPr>
        <w:t>BCA</w:t>
      </w:r>
      <w:r>
        <w:rPr>
          <w:rFonts w:ascii="Arial" w:cs="Arial" w:eastAsia="Arial" w:hAnsi="Arial"/>
          <w:sz w:val="18"/>
          <w:szCs w:val="18"/>
          <w:color w:val="auto"/>
        </w:rPr>
        <w:t>”), pursuant to which, among other things, the Corporate Taxpayer (i) acquired certain Units in exchange for a cash contribution to OpCo and (ii) became the managing member of OpCo, and from and after the date of this Agreement, holds and will hold, directly and/or indirectly, Units;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WHEREAS, following the transactions contemplated by the BCA, the Units held by the TRA Parties, (i) together with Class B common stock of the Corporate Taxpayer, may be exchanged or redeemed for Class A common stock of the Corporate Taxpayer (the “</w:t>
      </w:r>
      <w:r>
        <w:rPr>
          <w:rFonts w:ascii="Arial" w:cs="Arial" w:eastAsia="Arial" w:hAnsi="Arial"/>
          <w:sz w:val="17"/>
          <w:szCs w:val="17"/>
          <w:u w:val="single" w:color="auto"/>
          <w:color w:val="auto"/>
        </w:rPr>
        <w:t>Class A Shares</w:t>
      </w:r>
      <w:r>
        <w:rPr>
          <w:rFonts w:ascii="Arial" w:cs="Arial" w:eastAsia="Arial" w:hAnsi="Arial"/>
          <w:sz w:val="17"/>
          <w:szCs w:val="17"/>
          <w:color w:val="auto"/>
        </w:rPr>
        <w:t>”) or (ii) together with Class D common stock of the Corporate Taxpayer, may be exchanged or redeemed for Class C common stock of the Corporate Taxpayer (the “</w:t>
      </w:r>
      <w:r>
        <w:rPr>
          <w:rFonts w:ascii="Arial" w:cs="Arial" w:eastAsia="Arial" w:hAnsi="Arial"/>
          <w:sz w:val="17"/>
          <w:szCs w:val="17"/>
          <w:u w:val="single" w:color="auto"/>
          <w:color w:val="auto"/>
        </w:rPr>
        <w:t>Class C</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in each case, constituting the Stock Exchange Payment or, alternatively, at the election of the Corporate Taxpayer, the Cash Exchange Payment (an “</w:t>
      </w:r>
      <w:r>
        <w:rPr>
          <w:rFonts w:ascii="Arial" w:cs="Arial" w:eastAsia="Arial" w:hAnsi="Arial"/>
          <w:sz w:val="17"/>
          <w:szCs w:val="17"/>
          <w:u w:val="single" w:color="auto"/>
          <w:color w:val="auto"/>
        </w:rPr>
        <w:t>Exchange</w:t>
      </w:r>
      <w:r>
        <w:rPr>
          <w:rFonts w:ascii="Arial" w:cs="Arial" w:eastAsia="Arial" w:hAnsi="Arial"/>
          <w:sz w:val="17"/>
          <w:szCs w:val="17"/>
          <w:color w:val="auto"/>
        </w:rPr>
        <w:t>”), pursuant to the provisions of the LLC Agreement (as defined below);</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WHEREAS, OpCo and each of its direct and indirect Subsidiaries (as defined below) treated as a partnership for United States federal income tax purposes currently have and will have in effect an election under Section 754 of the Code for the Taxable Year (as defined below) that includes the Closing Date and each subsequent Taxable Year in which a taxable acquisition (including a deemed taxable acquisition under Section 707(a) of the Code) of Units, together with Class B common stock or Class D common stock, as applicable, of the Corporate Taxpayer by the Corporate Taxpayer from the TRA Parties for Class A Shares or Class C Shares, as applicable, or other consideration occurs;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as a result of the Exchanges, the income, gain, loss, expense and other Tax (as defined below) items of the Corporate Taxpayer may be affected by the Basis Adjustments (as defined below) and deductions attributable to any payment (including amounts attributable to Imputed Interest (as defined below)) made under this Agreement (collectively, the “</w:t>
      </w:r>
      <w:r>
        <w:rPr>
          <w:rFonts w:ascii="Arial" w:cs="Arial" w:eastAsia="Arial" w:hAnsi="Arial"/>
          <w:sz w:val="18"/>
          <w:szCs w:val="18"/>
          <w:u w:val="single" w:color="auto"/>
          <w:color w:val="auto"/>
        </w:rPr>
        <w:t>Tax Attributes</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Tax Attributes on the liability for Taxes of the Corporate Taxpayer.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51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terms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the following meanings (such meanings to be equally applicable to both the singular and plural forms of the terms defined):</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 Tax Liability</w:t>
      </w:r>
      <w:r>
        <w:rPr>
          <w:rFonts w:ascii="Arial" w:cs="Arial" w:eastAsia="Arial" w:hAnsi="Arial"/>
          <w:sz w:val="16"/>
          <w:szCs w:val="16"/>
          <w:color w:val="auto"/>
        </w:rPr>
        <w:t xml:space="preserve">” means, with respect to any Taxable Year, an amount, not less than zero, equal to the sum of (i) the actual liability for U.S. federal income Taxes of the Corporate Taxpayer for such Taxable Year and without duplication, the portion of any actual “imputed underpayment” imposed directly on OpCo (and any of OpCo’s Subsidiaries treated as a partnership for U.S. federal income tax purposes) under Section 6225 of the Code that is allocable to the Corporate Taxpayer in accordance with the LLC Agreement and the Code, and (ii) the product of (A) the actual amount of taxable income for U.S. federal income Tax purposes (taking into account any adjustments pursuant to Section 6225 of the Code) of the Corporate Taxpayer for such Taxable Year (determined without taking into account any U.S. federal income tax benefit of any applicable state or local tax deduction), and (B) the Blended Rate for such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if applicable, such amounts shall be determined in accordance with a Determination (including interest imposed in respect thereof under applicable law). For the avoidance of doubt, the calculation of the amount described in clause (i) shall take into account any U.S. federal income tax benefit realized by the Corporate Taxpayer with respect to state and local jurisdiction income taxes (with such benefit determined by taking into account an assumed deduction based on the amount computed under clause (ii), and disregarding the actual deduction for state and local jurisdiction income taxes reflected on the Corporate Taxpayer’s income tax return).</w:t>
      </w:r>
    </w:p>
    <w:p>
      <w:pPr>
        <w:spacing w:after="0" w:line="17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have the meaning set forth in the recitals hereto. “</w:t>
      </w:r>
      <w:r>
        <w:rPr>
          <w:rFonts w:ascii="Arial" w:cs="Arial" w:eastAsia="Arial" w:hAnsi="Arial"/>
          <w:sz w:val="17"/>
          <w:szCs w:val="17"/>
          <w:u w:val="single" w:color="auto"/>
          <w:color w:val="auto"/>
        </w:rPr>
        <w:t>Amended Schedule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2.3(b)</w:t>
      </w:r>
      <w:r>
        <w:rPr>
          <w:rFonts w:ascii="Arial" w:cs="Arial" w:eastAsia="Arial" w:hAnsi="Arial"/>
          <w:sz w:val="18"/>
          <w:szCs w:val="18"/>
          <w:color w:val="auto"/>
        </w:rPr>
        <w: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w:t>
      </w:r>
      <w:r>
        <w:rPr>
          <w:rFonts w:ascii="Arial" w:cs="Arial" w:eastAsia="Arial" w:hAnsi="Arial"/>
          <w:sz w:val="18"/>
          <w:szCs w:val="18"/>
          <w:color w:val="auto"/>
        </w:rPr>
        <w:t>” means the portion of any Tax Attribute of the Corporate Taxpayer, Opco and/or their respective Subsidiaries that is attributable to a TRA Party and shall be determined by reference to the Tax Attributes, under the following principles:</w:t>
      </w:r>
    </w:p>
    <w:p>
      <w:pPr>
        <w:spacing w:after="0" w:line="170" w:lineRule="exact"/>
        <w:rPr>
          <w:sz w:val="20"/>
          <w:szCs w:val="20"/>
          <w:color w:val="auto"/>
        </w:rPr>
      </w:pPr>
    </w:p>
    <w:p>
      <w:pPr>
        <w:ind w:firstLine="1952"/>
        <w:spacing w:after="0" w:line="277" w:lineRule="auto"/>
        <w:tabs>
          <w:tab w:leader="none" w:pos="216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Basis Adjustments shall be determined separately with respect to each TRA Party and the portion that is Attributable to a TRA Party shall be an amount equal to the total Basis Adjustments relating to the Units Exchanged by such TRA Party;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952"/>
        <w:spacing w:after="0" w:line="286" w:lineRule="auto"/>
        <w:tabs>
          <w:tab w:leader="none" w:pos="2219"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deduction to the Corporate Taxpayer or its Subsidiaries, as applicable, with respect to a Taxable Year in respect of any payment (including amounts attributable to Imputed Interest) made under this Agreement is Attributable to the Person that is required to include the Imputed Interest or other payment in income (without regard to whether such Person is actually subject to Tax thereon).</w:t>
      </w:r>
    </w:p>
    <w:p>
      <w:pPr>
        <w:spacing w:after="0" w:line="16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Basis Adjustmen</w:t>
      </w:r>
      <w:r>
        <w:rPr>
          <w:rFonts w:ascii="Arial" w:cs="Arial" w:eastAsia="Arial" w:hAnsi="Arial"/>
          <w:sz w:val="17"/>
          <w:szCs w:val="17"/>
          <w:color w:val="auto"/>
        </w:rPr>
        <w:t>t” means the adjustment to the Tax basis of a Reference Asset under Sections 732, 734(b) and/or 1012 of the Code (in situations where, as a result of one or more Exchanges, OpCo becomes an entity that is disregarded as separate from its owner for United States federal income Tax purposes) or under Sections 734(b), 743(b), 754 and/or 755 of the Code (in situations where, following an Exchange, OpCo remains in existence as an entity treated as a partnership for United States federal income Tax purposes) and, in each case, comparable sections of state and local Tax laws, as a result of an Exchange and the payments made pursuant to this Agreement. The amount of any Basis Adjustment shall be determined using the Market Value with respect to such Exchange, except, for the avoidance of doubt, as otherwise required by a Determination. For the avoidance of doubt, payments under this Agreement shall not be treated as resulting in a Basis Adjustment to the extent such payments are treated as Imputed Interest, and the amount of any Basis Adjustment resulting from an Exchange of one or more Units shall be determined without regard to any Pre-Exchange Transfer of such Units and as if any such Pre- Exchange Transfer had not occurred.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Beneficial Owner</w:t>
      </w:r>
      <w:r>
        <w:rPr>
          <w:rFonts w:ascii="Arial" w:cs="Arial" w:eastAsia="Arial" w:hAnsi="Arial"/>
          <w:sz w:val="18"/>
          <w:szCs w:val="18"/>
          <w:color w:val="auto"/>
        </w:rPr>
        <w:t>” of a security means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correlative meanings.</w:t>
      </w:r>
    </w:p>
    <w:p>
      <w:pPr>
        <w:spacing w:after="0" w:line="18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Blended Rate</w:t>
      </w:r>
      <w:r>
        <w:rPr>
          <w:rFonts w:ascii="Arial" w:cs="Arial" w:eastAsia="Arial" w:hAnsi="Arial"/>
          <w:sz w:val="17"/>
          <w:szCs w:val="17"/>
          <w:color w:val="auto"/>
        </w:rPr>
        <w:t>” means, with respect to any Taxable Year, the sum of the apportionment-weighted effective rates of Tax imposed on the aggregate net income of the Corporate Taxpayer in each U.S. state or local jurisdiction in which the Corporate Taxpayer files Tax Returns for such Taxable Year, with the maximum effective rate in any state or local jurisdiction being equal to the product of (i) the apportionment factor on the income or franchise Corporate Taxpayer Return in such jurisdiction for such Taxable Year and (ii) the maximum applicable corporate income Tax rate in effect in such jurisdiction in such Taxable Year. As an illustration of the calculation of Blended Rate for a Taxable Year, if the Corporate Taxpayer solely files Tax Returns in State 1 and State 2 in a Taxable Year, the maximum applicable corporate income Tax rates in effect in such states in such Taxable Year are 6.5% and 5.5%, respectively, and the apportionment factors for such states in such Taxable Year are 55% and 45%, respectively, then the Blended Rate for such Taxable Year is equal to 6.05% (i.e., 6.5% multiplied by 55%, plus 5.5% multiplied by 45%).</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Corporate Taxpayer.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or Wilmington, Delaware are authorized or required by Law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Exchange Paymen</w:t>
      </w:r>
      <w:r>
        <w:rPr>
          <w:rFonts w:ascii="Arial" w:cs="Arial" w:eastAsia="Arial" w:hAnsi="Arial"/>
          <w:sz w:val="16"/>
          <w:szCs w:val="16"/>
          <w:color w:val="auto"/>
        </w:rPr>
        <w:t>t” has the meaning set forth in the LLC Agreement.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 events:</w:t>
      </w:r>
    </w:p>
    <w:p>
      <w:pPr>
        <w:spacing w:after="0" w:line="211" w:lineRule="exact"/>
        <w:rPr>
          <w:sz w:val="20"/>
          <w:szCs w:val="20"/>
          <w:color w:val="auto"/>
        </w:rPr>
      </w:pPr>
    </w:p>
    <w:p>
      <w:pPr>
        <w:jc w:val="both"/>
        <w:ind w:firstLine="1952"/>
        <w:spacing w:after="0" w:line="273" w:lineRule="auto"/>
        <w:tabs>
          <w:tab w:leader="none" w:pos="2173"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Permitted Investors or Affiliates of Permitted Investors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w:t>
      </w:r>
    </w:p>
    <w:p>
      <w:pPr>
        <w:spacing w:after="0" w:line="177" w:lineRule="exact"/>
        <w:rPr>
          <w:rFonts w:ascii="Arial" w:cs="Arial" w:eastAsia="Arial" w:hAnsi="Arial"/>
          <w:sz w:val="17"/>
          <w:szCs w:val="17"/>
          <w:color w:val="auto"/>
        </w:rPr>
      </w:pPr>
    </w:p>
    <w:p>
      <w:pPr>
        <w:jc w:val="both"/>
        <w:ind w:firstLine="1952"/>
        <w:spacing w:after="0" w:line="293" w:lineRule="auto"/>
        <w:tabs>
          <w:tab w:leader="none" w:pos="221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of the Corporate Taxpayer then serving: individuals who, on the Closing Date, constitute the Board and any new director (other than a director whose initial assumption of office is in connection with an actual or threatened election contest, including but not limited to a consent solicitation, relating to the election of directors of the Corporate Taxpayer) whose appointment or election by the Board or nomination for election by the Corporate Taxpayer’s shareholders was approved or recommended by a vote of at least two-thirds of the directors then still in office who either were directors on the Closing Date or whose appointment, election or nomination for election was previously so approved or recommended by the directors referred to in this clause (ii);</w:t>
      </w:r>
    </w:p>
    <w:p>
      <w:pPr>
        <w:spacing w:after="0" w:line="164" w:lineRule="exact"/>
        <w:rPr>
          <w:rFonts w:ascii="Arial" w:cs="Arial" w:eastAsia="Arial" w:hAnsi="Arial"/>
          <w:sz w:val="16"/>
          <w:szCs w:val="16"/>
          <w:color w:val="auto"/>
        </w:rPr>
      </w:pPr>
    </w:p>
    <w:p>
      <w:pPr>
        <w:jc w:val="both"/>
        <w:ind w:firstLine="1952"/>
        <w:spacing w:after="0" w:line="293" w:lineRule="auto"/>
        <w:tabs>
          <w:tab w:leader="none" w:pos="2268"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Corporate Taxpayer with any other corporation or other entity, and, immediately after the consummation of such merger or consolidation, either (A) the Board immediately prior to the merger or consolidation does not constitute at least a majority of the board of directors of the company surviving the merger or, if the surviving company is a Subsidiary of the Corporate Taxpayer, the ultimate parent thereof or (B)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of the Corporate Taxpayer, the ultimate parent thereof; or</w:t>
      </w:r>
    </w:p>
    <w:p>
      <w:pPr>
        <w:spacing w:after="0" w:line="164" w:lineRule="exact"/>
        <w:rPr>
          <w:rFonts w:ascii="Arial" w:cs="Arial" w:eastAsia="Arial" w:hAnsi="Arial"/>
          <w:sz w:val="16"/>
          <w:szCs w:val="16"/>
          <w:color w:val="auto"/>
        </w:rPr>
      </w:pPr>
    </w:p>
    <w:p>
      <w:pPr>
        <w:jc w:val="both"/>
        <w:ind w:firstLine="1952"/>
        <w:spacing w:after="0" w:line="273" w:lineRule="auto"/>
        <w:tabs>
          <w:tab w:leader="none" w:pos="2253"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1296"/>
        <w:spacing w:after="0" w:line="257" w:lineRule="auto"/>
        <w:rPr>
          <w:sz w:val="20"/>
          <w:szCs w:val="20"/>
          <w:color w:val="auto"/>
        </w:rPr>
      </w:pPr>
      <w:r>
        <w:rPr>
          <w:rFonts w:ascii="Arial" w:cs="Arial" w:eastAsia="Arial" w:hAnsi="Arial"/>
          <w:sz w:val="18"/>
          <w:szCs w:val="18"/>
          <w:color w:val="auto"/>
        </w:rPr>
        <w:t>Notwithstanding the foregoing, except with respect to clause (ii) and clause (iii)(A)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own substantially all of the shares of, an entity which owns all or substantially all of the assets of the Corporate Taxpayer immediately following such transaction or series of transactions.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Shares</w:t>
      </w:r>
      <w:r>
        <w:rPr>
          <w:rFonts w:ascii="Arial" w:cs="Arial" w:eastAsia="Arial" w:hAnsi="Arial"/>
          <w:sz w:val="16"/>
          <w:szCs w:val="16"/>
          <w:color w:val="auto"/>
        </w:rPr>
        <w:t>” shall have the meaning set forth in the recitals hereto. “</w:t>
      </w:r>
      <w:r>
        <w:rPr>
          <w:rFonts w:ascii="Arial" w:cs="Arial" w:eastAsia="Arial" w:hAnsi="Arial"/>
          <w:sz w:val="16"/>
          <w:szCs w:val="16"/>
          <w:u w:val="single" w:color="auto"/>
          <w:color w:val="auto"/>
        </w:rPr>
        <w:t>Class C Shares</w:t>
      </w:r>
      <w:r>
        <w:rPr>
          <w:rFonts w:ascii="Arial" w:cs="Arial" w:eastAsia="Arial" w:hAnsi="Arial"/>
          <w:sz w:val="16"/>
          <w:szCs w:val="16"/>
          <w:color w:val="auto"/>
        </w:rPr>
        <w:t>” shall have the meaning set forth in the recitals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consummation of the transactions contemplated by the BCA.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Taxpayer</w:t>
      </w:r>
      <w:r>
        <w:rPr>
          <w:rFonts w:ascii="Arial" w:cs="Arial" w:eastAsia="Arial" w:hAnsi="Arial"/>
          <w:sz w:val="17"/>
          <w:szCs w:val="17"/>
          <w:color w:val="auto"/>
        </w:rPr>
        <w:t>” shall have the meaning set forth in the preamble hereto. “</w:t>
      </w:r>
      <w:r>
        <w:rPr>
          <w:rFonts w:ascii="Arial" w:cs="Arial" w:eastAsia="Arial" w:hAnsi="Arial"/>
          <w:sz w:val="17"/>
          <w:szCs w:val="17"/>
          <w:u w:val="single" w:color="auto"/>
          <w:color w:val="auto"/>
        </w:rPr>
        <w:t>Corporate Taxpayer Return</w:t>
      </w:r>
      <w:r>
        <w:rPr>
          <w:rFonts w:ascii="Arial" w:cs="Arial" w:eastAsia="Arial" w:hAnsi="Arial"/>
          <w:sz w:val="17"/>
          <w:szCs w:val="17"/>
          <w:color w:val="auto"/>
        </w:rPr>
        <w:t>” means the United States federal, state and/or local Tax Return, as applicable, of the Corporate Taxpayer filed with respect to Taxes of any Taxable Year.</w:t>
      </w:r>
    </w:p>
    <w:p>
      <w:pPr>
        <w:spacing w:after="0" w:line="14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Cumulative Net Realized Tax Benefit</w:t>
      </w:r>
      <w:r>
        <w:rPr>
          <w:rFonts w:ascii="Arial" w:cs="Arial" w:eastAsia="Arial" w:hAnsi="Arial"/>
          <w:sz w:val="16"/>
          <w:szCs w:val="16"/>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 provided, that the computation of the Cumulative Net Realized Tax Benefit shall be adjusted to reflect any applicable Determination with respect to any Realized Tax Benefits and/or Realized Tax Detriments.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the LIBOR plus 500 basis points.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shall have the meaning ascribed to such term in Section 1313(a) of the Code or similar provision of state or local tax law, as applicable, or any other event (including the execution of IRS Form 870-AD) that finally and conclusively establishes the amount of any liability for Tax.</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Termination Date</w:t>
      </w:r>
      <w:r>
        <w:rPr>
          <w:rFonts w:ascii="Arial" w:cs="Arial" w:eastAsia="Arial" w:hAnsi="Arial"/>
          <w:sz w:val="16"/>
          <w:szCs w:val="16"/>
          <w:color w:val="auto"/>
        </w:rPr>
        <w:t>” means the date of an Early Termination Notice for purposes of determining the Early Termination Payment.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Effective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LIBOR plus 200 basis points.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Notice</w:t>
      </w:r>
      <w:r>
        <w:rPr>
          <w:rFonts w:ascii="Arial" w:cs="Arial" w:eastAsia="Arial" w:hAnsi="Arial"/>
          <w:sz w:val="18"/>
          <w:szCs w:val="18"/>
          <w:color w:val="auto"/>
        </w:rPr>
        <w:t>” shall have the meaning set forth in the LLC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Hypothetical Tax Liability</w:t>
      </w:r>
      <w:r>
        <w:rPr>
          <w:rFonts w:ascii="Arial" w:cs="Arial" w:eastAsia="Arial" w:hAnsi="Arial"/>
          <w:sz w:val="16"/>
          <w:szCs w:val="16"/>
          <w:color w:val="auto"/>
        </w:rPr>
        <w:t>” means, with respect to any Taxable Year, an amount, not less than zero, equal to the sum of (i) the hypothetical liability for U.S. federal income Taxes of the Corporate Taxpayer for such Taxable Year and without duplication, the portion of any hypothetical “imputed underpayment” imposed directly on OpCo (and any of OpCo’s Subsidiaries treated as a partnership for U.S. federal income tax purposes) under Section 6225 of the Code that is allocable to the Corporate Taxpayer in accordance with the LLC Agreement and the Code, and (ii) the product of (X) the hypothetical amount of taxable income for U.S. federal income Tax purposes (taking into account adjustments pursuant to Section 6225 of the Code) of the Corporate Taxpayer for such Taxable Year (determined without taking into account any U.S. federal income tax benefit of any applicable state or local tax deduction) , and (Y) the Blended Rate for such Taxable Year, in each case, determined using the same methods, elections, conventions and similar practices used in computing the Actual Tax Liability, but, in each case, (A) calculating depreciation, amortization or similar deductions and income, gain or loss using the Non-Stepped Up Tax Basis as reflected on the Basis Schedule including amendments thereto for the Taxable Year and (B) excluding any deduction attributable to any payment (including amounts attributable to Imputed Interest) made under this Agreement for the Taxable Year. For the avoidance of doubt, Hypothetical Tax Liability shall be determined without taking into account the carryover or carryback of any Tax item (or portions thereof) that is attributable to a Tax Attribute. For the avoidance of doubt, the calculation of the amount described in clause (i) shall take into account any U.S. federal income tax benefit that would be realized by the Corporate Taxpayer with respect to state and local jurisdiction income taxes (with such benefit determined by taking into account an assumed deduction based on the amount computed under clause (ii), and disregarding the hypothetical deduction for state and local jurisdiction income taxes that would otherwise result under clause (i)).</w:t>
      </w:r>
    </w:p>
    <w:p>
      <w:pPr>
        <w:spacing w:after="0" w:line="16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w:t>
      </w:r>
      <w:r>
        <w:rPr>
          <w:rFonts w:ascii="Arial" w:cs="Arial" w:eastAsia="Arial" w:hAnsi="Arial"/>
          <w:sz w:val="18"/>
          <w:szCs w:val="18"/>
          <w:color w:val="auto"/>
        </w:rPr>
        <w:t>t” in respect of a TRA Party means any interest imputed under Section 1272, 1274 or 483 or other provision of the Code and any similar provision of state and local Tax law with respect to the Corporate Taxpayer’s payment obligations in respect of such TRA Party under this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Amount</w:t>
      </w:r>
      <w:r>
        <w:rPr>
          <w:rFonts w:ascii="Arial" w:cs="Arial" w:eastAsia="Arial" w:hAnsi="Arial"/>
          <w:sz w:val="17"/>
          <w:szCs w:val="17"/>
          <w:color w:val="auto"/>
        </w:rPr>
        <w:t>” shall have the meaning set forth in Section 3.1(b). “</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Requirement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7.6(a)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means, during any period, an interest rate per annum equal to the one- 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 period. Notwithstanding the foregoing sentence: (i) if the Corporate Taxpayer reasonably determines, in good faith consultation with the TRA Party Representative,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consultation with the TRA Party Representative,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consultation with the TRA Party Representative, after consulting an investment bank of national standing in the United States and other reasonable sources, any relevant methodology for calculating such substitute or successor rate, including any adjustment factor it reasonably determines, in good faith consultation with the TRA Party, is needed to make such substitute or successor rate comparable to the relevant London interbank offered rate for U.S. dollar deposits, in a manner that is consistent with industry-accepted practices for such substitute or successor rate. In the event that the TRA Party Representative disagrees with any determination by the Corporate Taxpayer set forth in this definition, and such disagreement is not resolved within 30 days of submission by the TRA Party Representative of notice of such disagreement to the Corporate Taxpayer, such disagreement shall be deemed a “Reconciliation Dispute,” and shall be subject to the Reconciliation Procedures set forth in </w:t>
      </w:r>
      <w:r>
        <w:rPr>
          <w:rFonts w:ascii="Arial" w:cs="Arial" w:eastAsia="Arial" w:hAnsi="Arial"/>
          <w:sz w:val="16"/>
          <w:szCs w:val="16"/>
          <w:u w:val="single" w:color="auto"/>
          <w:color w:val="auto"/>
        </w:rPr>
        <w:t>Section 7.9</w:t>
      </w:r>
      <w:r>
        <w:rPr>
          <w:rFonts w:ascii="Arial" w:cs="Arial" w:eastAsia="Arial" w:hAnsi="Arial"/>
          <w:sz w:val="16"/>
          <w:szCs w:val="16"/>
          <w:color w:val="auto"/>
        </w:rPr>
        <w: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Exceptions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w:t>
      </w:r>
      <w:r>
        <w:rPr>
          <w:rFonts w:ascii="Arial" w:cs="Arial" w:eastAsia="Arial" w:hAnsi="Arial"/>
          <w:sz w:val="18"/>
          <w:szCs w:val="18"/>
          <w:color w:val="auto"/>
        </w:rPr>
        <w:t>t” means, with respect to OpCo, that certain Second Amended and Restated Limited Liability Company Agreement of OpCo, dated on or about the date hereof, as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Assignment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7.6(c)</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079" w:gutter="0" w:footer="0" w:header="0"/>
        </w:sectPr>
      </w:pPr>
    </w:p>
    <w:bookmarkStart w:id="83" w:name="page84"/>
    <w:bookmarkEnd w:id="83"/>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means, on any date, (i) if the Class A Shares trade on a national securities exchange or automated or electronic quotation system, the arithmetic average of the high trading and the low trading price on such date (or if such date is not a trading day, the immediately preceding trading day) or (ii) if the Class A Shares are not then traded on a national securities exchange or automated or electronic quotation system, as applicable, the “Appraiser FMV” (as defined in the LLC Agreement) on such date of one Class A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Objection Notice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w:t>
      </w:r>
      <w:r>
        <w:rPr>
          <w:rFonts w:ascii="Arial" w:cs="Arial" w:eastAsia="Arial" w:hAnsi="Arial"/>
          <w:sz w:val="16"/>
          <w:szCs w:val="16"/>
          <w:u w:val="single" w:color="auto"/>
          <w:color w:val="auto"/>
        </w:rPr>
        <w:t>Net Tax Benefit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3.1(b)</w:t>
      </w:r>
      <w:r>
        <w:rPr>
          <w:rFonts w:ascii="Arial" w:cs="Arial" w:eastAsia="Arial" w:hAnsi="Arial"/>
          <w:sz w:val="18"/>
          <w:szCs w:val="18"/>
          <w:color w:val="auto"/>
        </w:rPr>
        <w: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Non-Stepped Up Tax Basis</w:t>
      </w:r>
      <w:r>
        <w:rPr>
          <w:rFonts w:ascii="Arial" w:cs="Arial" w:eastAsia="Arial" w:hAnsi="Arial"/>
          <w:sz w:val="18"/>
          <w:szCs w:val="18"/>
          <w:color w:val="auto"/>
        </w:rPr>
        <w:t>” means, with respect to any Reference Asset at any time, the Tax basis that such Referenced Asset would have had at such time if no Basis Adjustments had been made.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Objection Notice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 “</w:t>
      </w:r>
      <w:r>
        <w:rPr>
          <w:rFonts w:ascii="Arial" w:cs="Arial" w:eastAsia="Arial" w:hAnsi="Arial"/>
          <w:sz w:val="17"/>
          <w:szCs w:val="17"/>
          <w:u w:val="single" w:color="auto"/>
          <w:color w:val="auto"/>
        </w:rPr>
        <w:t>OpCo</w:t>
      </w:r>
      <w:r>
        <w:rPr>
          <w:rFonts w:ascii="Arial" w:cs="Arial" w:eastAsia="Arial" w:hAnsi="Arial"/>
          <w:sz w:val="17"/>
          <w:szCs w:val="17"/>
          <w:color w:val="auto"/>
        </w:rPr>
        <w:t>” shall have the meaning set forth in the recitals hereto.</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 Receivable 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Schedule</w:t>
      </w:r>
      <w:r>
        <w:rPr>
          <w:rFonts w:ascii="Arial" w:cs="Arial" w:eastAsia="Arial" w:hAnsi="Arial"/>
          <w:sz w:val="18"/>
          <w:szCs w:val="18"/>
          <w:color w:val="auto"/>
        </w:rPr>
        <w:t>” means the schedule setting forth each TRA Party’s share of any payments hereunder.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Pre-Exchange Transfer</w:t>
      </w:r>
      <w:r>
        <w:rPr>
          <w:rFonts w:ascii="Arial" w:cs="Arial" w:eastAsia="Arial" w:hAnsi="Arial"/>
          <w:sz w:val="18"/>
          <w:szCs w:val="18"/>
          <w:color w:val="auto"/>
        </w:rPr>
        <w:t>” means any transfer (including upon the death of a member of Opco) or distribution in respect of one or more Units (i) that occurs prior to an Exchange of such Units and (ii) to which Section 743(b) or 734(b) of the Code applies.</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Realized Tax Benefit</w:t>
      </w:r>
      <w:r>
        <w:rPr>
          <w:rFonts w:ascii="Arial" w:cs="Arial" w:eastAsia="Arial" w:hAnsi="Arial"/>
          <w:sz w:val="17"/>
          <w:szCs w:val="17"/>
          <w:color w:val="auto"/>
        </w:rPr>
        <w:t>” means, with respect to any Taxable Year, the excess, if any, of the Hypothetical Tax Liability over the Actual Tax Liability.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16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Realized Tax Detriment</w:t>
      </w:r>
      <w:r>
        <w:rPr>
          <w:rFonts w:ascii="Arial" w:cs="Arial" w:eastAsia="Arial" w:hAnsi="Arial"/>
          <w:sz w:val="16"/>
          <w:szCs w:val="16"/>
          <w:color w:val="auto"/>
        </w:rPr>
        <w:t>” means, with respect to any Taxable Year, the excess, if any, of the Actual Tax Liability over the Hypothetical Tax Liability.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Asset</w:t>
      </w:r>
      <w:r>
        <w:rPr>
          <w:rFonts w:ascii="Arial" w:cs="Arial" w:eastAsia="Arial" w:hAnsi="Arial"/>
          <w:sz w:val="16"/>
          <w:szCs w:val="16"/>
          <w:color w:val="auto"/>
        </w:rPr>
        <w:t>” means an asset that is held by OpCo, or by any of its direct or indirect Subsidiaries treated as a partnership or disregarded entity (but only if such indirect Subsidiaries are held only through Subsidiaries treated as partnerships or disregarded entities) for purposes of the applicable Tax, at the time of an Exchange.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w:t>
      </w:r>
      <w:r>
        <w:rPr>
          <w:rFonts w:ascii="Arial" w:cs="Arial" w:eastAsia="Arial" w:hAnsi="Arial"/>
          <w:sz w:val="17"/>
          <w:szCs w:val="17"/>
          <w:color w:val="auto"/>
        </w:rPr>
        <w:t>” means any of the following: (i) a Basis Schedule, (ii) a Tax Benefit Schedule or (iii) the Early Termination Schedule.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w:t>
      </w:r>
      <w:r>
        <w:rPr>
          <w:rFonts w:ascii="Arial" w:cs="Arial" w:eastAsia="Arial" w:hAnsi="Arial"/>
          <w:sz w:val="17"/>
          <w:szCs w:val="17"/>
          <w:u w:val="single" w:color="auto"/>
          <w:color w:val="auto"/>
        </w:rPr>
        <w:t>Senior Obligations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Certificate of Designations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7.6(a)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has the meaning set forth in the Series A Preferred Certificate of Designations.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 Payment</w:t>
      </w:r>
      <w:r>
        <w:rPr>
          <w:rFonts w:ascii="Arial" w:cs="Arial" w:eastAsia="Arial" w:hAnsi="Arial"/>
          <w:sz w:val="18"/>
          <w:szCs w:val="18"/>
          <w:color w:val="auto"/>
        </w:rPr>
        <w:t>” shall have the meaning set forth in LLC Agreement.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Stock</w:t>
      </w:r>
      <w:r>
        <w:rPr>
          <w:rFonts w:ascii="Arial" w:cs="Arial" w:eastAsia="Arial" w:hAnsi="Arial"/>
          <w:sz w:val="18"/>
          <w:szCs w:val="18"/>
          <w:color w:val="auto"/>
        </w:rPr>
        <w:t>” means any stock or other equity interest in any subsidiary entity of OpCo that is treated as a C corporation for United States federal income tax purposes.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Attributes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of the Corporate Taxpayer as defined in Section 441(b) of the Code or comparable section of state or local Tax law, as applicable (and, therefore, for the avoidance of doubt, may include a period of less than 12 months for which a Tax Return is made), ending on or after the Closing Date.</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United States federal, state and local taxes, assessments or similar charges that are based on or measured with respect to net income or profits, whether as an exclusive or an alternative basis, and including franchise taxes that are based on or measured with respect to net income or profits, and any interest, penalties, or additions related to such amounts or imposed in respect thereof under applicable law.</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Disinterested Majority</w:t>
      </w:r>
      <w:r>
        <w:rPr>
          <w:rFonts w:ascii="Arial" w:cs="Arial" w:eastAsia="Arial" w:hAnsi="Arial"/>
          <w:sz w:val="18"/>
          <w:szCs w:val="18"/>
          <w:color w:val="auto"/>
        </w:rPr>
        <w:t xml:space="preserve">” means a majority of the directors of the Board who are disinterested as determined by the Board in accordance with the Delaware General Corporation Law with respect to the matter being considered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 matter being considered by the Board is required to be considered by disinterested directors under the rules of the National Securities Exchange on which the Class A Shares is then listed, the Securities Act or the Exchange Act, such rules with respect to the definition of disinterested director shall apply solely with respect to such matter.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Party</w:t>
      </w:r>
      <w:r>
        <w:rPr>
          <w:rFonts w:ascii="Arial" w:cs="Arial" w:eastAsia="Arial" w:hAnsi="Arial"/>
          <w:sz w:val="18"/>
          <w:szCs w:val="18"/>
          <w:color w:val="auto"/>
        </w:rPr>
        <w:t>” and “</w:t>
      </w:r>
      <w:r>
        <w:rPr>
          <w:rFonts w:ascii="Arial" w:cs="Arial" w:eastAsia="Arial" w:hAnsi="Arial"/>
          <w:sz w:val="18"/>
          <w:szCs w:val="18"/>
          <w:u w:val="single" w:color="auto"/>
          <w:color w:val="auto"/>
        </w:rPr>
        <w:t>TRA Parties</w:t>
      </w:r>
      <w:r>
        <w:rPr>
          <w:rFonts w:ascii="Arial" w:cs="Arial" w:eastAsia="Arial" w:hAnsi="Arial"/>
          <w:sz w:val="18"/>
          <w:szCs w:val="18"/>
          <w:color w:val="auto"/>
        </w:rPr>
        <w:t>” shall have the meaning set forth in the preamble hereto.</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Party Representative</w:t>
      </w:r>
      <w:r>
        <w:rPr>
          <w:rFonts w:ascii="Arial" w:cs="Arial" w:eastAsia="Arial" w:hAnsi="Arial"/>
          <w:sz w:val="18"/>
          <w:szCs w:val="18"/>
          <w:color w:val="auto"/>
        </w:rPr>
        <w:t>” means, initially, Opal HoldCo LLC, or, if Opal HoldCo LLC becomes unable to perform the TRA Party Representative’s responsibilities hereunder or resigns from such position, either (i) a replacement TRA Party Representative selected by Opal HoldCo LLC or (ii) if Opal HoldCo LLC has not selected a replacement TRA Party Representative at or prior to the time of such inability or resignation, that TRA Party or committee of TRA Parties determined by a plurality vote of the TRA Parties ratably in accordance with their right to receive Early Termination Payments hereunder if all TRA Parties had fully Exchanged their Units, together with Class B common stock or Class D common stock, as applicable, of the Corporate Taxpayer, for Class A Shares or Class C Shares, as applicable, or other consideration and the Corporate Taxpayer had exercised its right of early termination on the date of the most recent Exchange.</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Assumptions</w:t>
      </w:r>
      <w:r>
        <w:rPr>
          <w:rFonts w:ascii="Arial" w:cs="Arial" w:eastAsia="Arial" w:hAnsi="Arial"/>
          <w:sz w:val="16"/>
          <w:szCs w:val="16"/>
          <w:color w:val="auto"/>
        </w:rPr>
        <w:t xml:space="preserve">” means, as of an Early Termination Date, the assumptions that in each Taxable Year ending on or after such Early Termination Date, (i) the Corporate Taxpayer will have taxable income sufficient to fully utilize deductions arising from the Tax Attributes (other than any items addressed in clause (ii) below) during such Taxable Year or future Taxable Years (including, for the avoidance of doubt, deductions and other Tax items arising from Tax Attributes that would result from future Tax Benefit Payments that would be paid in accordance with the Valuation Assumptions, further assuming that such applicable future payments would be paid on the due date (including extensions) for filing the Corporate Taxpayer Return for the applicable Taxable Year) in which such deductions would become available (ii) any loss carryovers generated by deductions arising from Tax Attributes that are available as of the date of such Early Termination Date will be used by the Corporate Taxpayer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from the Early Termination Date through the scheduled expiration date thereof or, if there is no such scheduled expiration date, the tenth anniversary of the Early Termination Date, (iii) the United States federal income tax rate that will be in effect for each such Taxable Year will be those specified for each such Taxable Year by the Code and other law as in effect on the Early Termination Date and the Blended Rate will be calculated based on such rates and the apportionment factors applicable in the most recently ended Taxable Year, except to the extent any change to such Tax rates for such Taxable Year has already been enacted into law as of the Early Termination Date, (iv) any non-amortizable, non-depreciable Reference Assets (other than any Subsidiary</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 will be disposed of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Exchange which gave rise to the applicable Basis Adjustment and any short-term investments will be disposed of 12 months following the Early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 Change of Control, such non-amortizable, non-depreciable</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Reference Assets shall be deemed disposed of at the time of sale of such Reference Asset (if earlier than such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(v) any Subsidiary Stock will never be disposed of and (vi) if, at the Early Termination Date, there are Units that have not been Exchanged, then each such Unit is Exchanged, together with Class B common stock or Class D common stock, as applicable, of the Corporate Taxpayer, in a fully taxable transaction for the Market Value of the Class A Shares or Class C Shares, as applicable, that would be transferred if the Exchange occurred on the Early Termination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CERTAIN REALIZED TAX BENEFIT</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Basis Adjustmen</w:t>
      </w:r>
      <w:r>
        <w:rPr>
          <w:rFonts w:ascii="Arial" w:cs="Arial" w:eastAsia="Arial" w:hAnsi="Arial"/>
          <w:sz w:val="17"/>
          <w:szCs w:val="17"/>
          <w:color w:val="auto"/>
        </w:rPr>
        <w:t>t. Within 120 calendar days after the filing of the United States federal income tax return of the Corporate Taxpayer for the Taxable Year that includes the Closing Date and each Taxable Year in which an Exchange has been effected, the Corporate Taxpayer shall deliver to the TRA Party Representative, in respect of each TRA Party who received (or is deemed to receive) cash or Class A Shares or Class C Shares, as applicable, in such Taxable Year pursuant to an Exchange, a schedule (the “</w:t>
      </w:r>
      <w:r>
        <w:rPr>
          <w:rFonts w:ascii="Arial" w:cs="Arial" w:eastAsia="Arial" w:hAnsi="Arial"/>
          <w:sz w:val="17"/>
          <w:szCs w:val="17"/>
          <w:u w:val="single" w:color="auto"/>
          <w:color w:val="auto"/>
        </w:rPr>
        <w:t>Basis Schedule</w:t>
      </w:r>
      <w:r>
        <w:rPr>
          <w:rFonts w:ascii="Arial" w:cs="Arial" w:eastAsia="Arial" w:hAnsi="Arial"/>
          <w:sz w:val="17"/>
          <w:szCs w:val="17"/>
          <w:color w:val="auto"/>
        </w:rPr>
        <w:t xml:space="preserve">”) that shows, in reasonable detail necessary to perform the calculations required by this Agreement, (a) the actual Tax basis and the Non-Stepped Up Tax Basis of the Reference Assets as of each applicable Exchange Date, (b) the Basis Adjustment with respect to the Reference Assets Attributable to each such TRA Party as a result of the Exchanges effected in such Taxable Year and prior Taxable Years by each such TRA Party, calculated in the aggregate, (c) the period (or periods) over which the Reference Assets are amortizable and/or depreciable and (d) the period (or periods) over which each Basis Adjustment in respect of such TRA Party is amortizable and/or depreciable. Each Basis Schedule will become final as provided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may be amended as provided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(subject to the procedures set forth in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3" w:lineRule="auto"/>
        <w:tabs>
          <w:tab w:leader="none" w:pos="1567"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Tax Benefit Schedule</w:t>
      </w:r>
      <w:r>
        <w:rPr>
          <w:rFonts w:ascii="Arial" w:cs="Arial" w:eastAsia="Arial" w:hAnsi="Arial"/>
          <w:sz w:val="17"/>
          <w:szCs w:val="17"/>
          <w:color w:val="auto"/>
        </w:rPr>
        <w:t>. Within 120 calendar days after the filing of the United States federal income tax return of the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Taxpayer for each Taxable Year, the Corporate Taxpayer shall provide to the TRA Party Representative, in respect of each TRA Party who has received (or is deemed to receive) cash or Class A Shares or Class C Shares, as applicable, pursuant to an Exchange, a schedule showing, in reasonable detail, the calculation of the Tax Benefit Payment, if any, any Realized Tax Benefit and any Realized Tax Detriment, as applicable, Attributable to each such TRA Party for such Taxable Year (a “</w:t>
      </w:r>
      <w:r>
        <w:rPr>
          <w:rFonts w:ascii="Arial" w:cs="Arial" w:eastAsia="Arial" w:hAnsi="Arial"/>
          <w:sz w:val="17"/>
          <w:szCs w:val="17"/>
          <w:u w:val="single" w:color="auto"/>
          <w:color w:val="auto"/>
        </w:rPr>
        <w:t>Tax Benefit Schedule</w:t>
      </w:r>
      <w:r>
        <w:rPr>
          <w:rFonts w:ascii="Arial" w:cs="Arial" w:eastAsia="Arial" w:hAnsi="Arial"/>
          <w:sz w:val="17"/>
          <w:szCs w:val="17"/>
          <w:color w:val="auto"/>
        </w:rPr>
        <w:t xml:space="preserve">”). Each Tax Benefit Schedule will become final as provided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may be amended as provided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(subject to the procedures set forth in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560" w:hanging="256"/>
        <w:spacing w:after="0"/>
        <w:tabs>
          <w:tab w:leader="none" w:pos="15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Applicable Principles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68"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3.3(a)</w:t>
      </w:r>
      <w:r>
        <w:rPr>
          <w:rFonts w:ascii="Arial" w:cs="Arial" w:eastAsia="Arial" w:hAnsi="Arial"/>
          <w:sz w:val="18"/>
          <w:szCs w:val="18"/>
          <w:color w:val="auto"/>
        </w:rPr>
        <w:t>, the Realized Tax Benefit or Realized Tax Detriment for each Taxable Year is intended to measure the decrease or increase in the Actual Tax Liability for such Taxable Year attributable to the Tax Attributes, determined using a “with and without” methodology (assuming that such Tax Attributes are the last items utilized in any Taxable Year). For the avoidance of doubt, the Actual Tax Liability will take into account the deduction of the portion of the Tax Benefit Payment that must be accounted for as interest under the Code based upon the characterization of Tax Benefit Payments as additional consideration payable by the Corporate Taxpayer for the Units acquired in the Exchange. Carryovers or carrybacks of any Tax item attributable to the Tax Attributes shall be considered to be subject to the rules of the Code and the Treasury Regulations or the appropriate provisions of U.S. state and local income and franchise Tax law, as applicable, governing the use, limitation and expiration of carryovers or carrybacks of the relevant type.</w:t>
      </w:r>
    </w:p>
    <w:p>
      <w:pPr>
        <w:spacing w:after="0" w:line="191" w:lineRule="exact"/>
        <w:rPr>
          <w:rFonts w:ascii="Arial" w:cs="Arial" w:eastAsia="Arial" w:hAnsi="Arial"/>
          <w:sz w:val="18"/>
          <w:szCs w:val="18"/>
          <w:color w:val="auto"/>
        </w:rPr>
      </w:pPr>
    </w:p>
    <w:p>
      <w:pPr>
        <w:jc w:val="both"/>
        <w:ind w:firstLine="1952"/>
        <w:spacing w:after="0" w:line="268" w:lineRule="auto"/>
        <w:tabs>
          <w:tab w:leader="none" w:pos="2222"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If a carryover or carryback of any Tax item includes a portion that is attributable to any Tax Attribute and another portion that is not, such portions shall be considered to be used in accordance with the “with and without” methodology. Except as otherwise required by applicable law, the parties hereto agree that (A) all Tax Benefit Payments in respect of an Exchange are intended to be treated and shall be reported for Tax purposes as additional contingent consideration to the applicable TRA Party for such Exchange that has the effect of creating Basis Adjustments, in each case, to Reference Assets for the Corporate Taxpayer in the year of payment, (B) as a result, such additional Basis Adjustments will be incorporated into the calculation for the Taxable Year of the applicable payment and into the calculations for subsequent Taxable Years, as appropriate, (C) the Actual Tax Liability shall take into account the deduction of the portion of the Tax Benefit Payment that must be accounted for as Imputed Interest under applicable law and (D) the liability for U.S. federal income Taxes of the Corporate Taxpayer and the amount of taxable income of the Corporate Taxpayer for U.S. federal income Tax purposes as determined for purposes of calculating the Actual Tax Liability and the Hypothetical Tax Liability shall include, without duplication, such liability for Taxes and such taxable income that is economically borne by or allocated to the Corporate Taxpayer as a result of the provisions of </w:t>
      </w:r>
      <w:r>
        <w:rPr>
          <w:rFonts w:ascii="Arial" w:cs="Arial" w:eastAsia="Arial" w:hAnsi="Arial"/>
          <w:sz w:val="17"/>
          <w:szCs w:val="17"/>
          <w:u w:val="single" w:color="auto"/>
          <w:color w:val="auto"/>
        </w:rPr>
        <w:t>Section 5.07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of the LLC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liability for Taxes and such taxable income shall be included in the Hypothetical Tax Liability and the Actual Tax Liability subject to the adjustments and assumptions set forth in the definitions thereof and, to the extent any such amount is taken into account on an Amended Schedule, such amount shall adjust a Tax Benefit Payment, as applicable, in accordance with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7" w:lineRule="auto"/>
        <w:tabs>
          <w:tab w:leader="none" w:pos="1581" w:val="left"/>
        </w:tabs>
        <w:numPr>
          <w:ilvl w:val="1"/>
          <w:numId w:val="93"/>
        </w:numPr>
        <w:rPr>
          <w:rFonts w:ascii="Arial" w:cs="Arial" w:eastAsia="Arial" w:hAnsi="Arial"/>
          <w:sz w:val="17"/>
          <w:szCs w:val="17"/>
          <w:color w:val="auto"/>
        </w:rPr>
      </w:pPr>
      <w:r>
        <w:rPr>
          <w:rFonts w:ascii="Arial" w:cs="Arial" w:eastAsia="Arial" w:hAnsi="Arial"/>
          <w:sz w:val="17"/>
          <w:szCs w:val="17"/>
          <w:i w:val="1"/>
          <w:iCs w:val="1"/>
          <w:color w:val="auto"/>
        </w:rPr>
        <w:t>Procedure</w:t>
      </w:r>
      <w:r>
        <w:rPr>
          <w:rFonts w:ascii="Arial" w:cs="Arial" w:eastAsia="Arial" w:hAnsi="Arial"/>
          <w:sz w:val="17"/>
          <w:szCs w:val="17"/>
          <w:color w:val="auto"/>
        </w:rPr>
        <w:t>. Every time the Corporate Taxpayer delivers to the TRA Party Representative an applicable Schedule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including any Amended Schedule delivered pursuant to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the Corporate Taxpayer shall also (i) deliver to the TRA Party Representative supporting schedules, valuation reports, if any, and work papers, as determined by the Corporate Taxpayer or requested by the TRA Party Representative, providing reasonable detail regarding data and calculations that were relevant for the preparation of the Schedule, (ii) indicate which accounting firm, if any, assisted with the preparation of the Schedule and (iii) allow the TRA Party Representative and its advisors reasonable access to the appropriate representatives at the Corporate Taxpayer and (at the cost and expense of OpCo) at the relevant accounting firm that prepared the applicable Schedule, if applicable, in connection with the review of such Schedule. Without limiting the generality of the preceding sentence, the Corporate Taxpayer shall ensure that each Tax Benefit Schedule or Early Termination Schedule delivered to the TRA Party Representative, together with any supporting schedules and work papers, provides a reasonably detailed presentation of the calculation of the Actual Tax Liability (the “with” calculation), the Hypothetical Tax Liability (the “without” calculation) and identifies any material assumptions or operating procedures or principles that were used for purposes of such calculations. An applicable Schedule or amendment thereto shall become final and binding on all parties 30 calendar days from the date on which all relevant TRA Parties are treated as having received the applicable Schedule or amendment thereto under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unless the TRA Party Representative (A) within 30 calendar days from such date provides the Corporate Taxpayer with notice of an objection to such Schedule (“</w:t>
      </w:r>
      <w:r>
        <w:rPr>
          <w:rFonts w:ascii="Arial" w:cs="Arial" w:eastAsia="Arial" w:hAnsi="Arial"/>
          <w:sz w:val="17"/>
          <w:szCs w:val="17"/>
          <w:u w:val="single" w:color="auto"/>
          <w:color w:val="auto"/>
        </w:rPr>
        <w:t>Objection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or (B) provides a written waiver of such right of any Objection Notice within the period described in clause (A) above, in which case such Schedule or amendment thereto shall become binding on the date such waiver is received by the Corporate Taxpayer. If the Corporate Taxpayer and the TRA Party Representative, for any reason, are unable to successfully resolve the issues raised in the Objection Notice within 30 calendar days after receipt by the Corporate Taxpayer of an Objection Notice, the Corporate Taxpayer and the TRA Party Representative shall employ the reconciliation procedures as described in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Reconciliation Procedures</w:t>
      </w:r>
      <w:r>
        <w:rPr>
          <w:rFonts w:ascii="Arial" w:cs="Arial" w:eastAsia="Arial" w:hAnsi="Arial"/>
          <w:sz w:val="17"/>
          <w:szCs w:val="17"/>
          <w:color w:val="auto"/>
        </w:rPr>
        <w:t>”).</w:t>
      </w:r>
    </w:p>
    <w:p>
      <w:pPr>
        <w:spacing w:after="0" w:line="189" w:lineRule="exact"/>
        <w:rPr>
          <w:rFonts w:ascii="Arial" w:cs="Arial" w:eastAsia="Arial" w:hAnsi="Arial"/>
          <w:sz w:val="17"/>
          <w:szCs w:val="17"/>
          <w:color w:val="auto"/>
        </w:rPr>
      </w:pPr>
    </w:p>
    <w:p>
      <w:pPr>
        <w:jc w:val="both"/>
        <w:ind w:firstLine="1304"/>
        <w:spacing w:after="0" w:line="284" w:lineRule="auto"/>
        <w:tabs>
          <w:tab w:leader="none" w:pos="1551" w:val="left"/>
        </w:tabs>
        <w:numPr>
          <w:ilvl w:val="1"/>
          <w:numId w:val="93"/>
        </w:numPr>
        <w:rPr>
          <w:rFonts w:ascii="Arial" w:cs="Arial" w:eastAsia="Arial" w:hAnsi="Arial"/>
          <w:sz w:val="16"/>
          <w:szCs w:val="16"/>
          <w:color w:val="auto"/>
        </w:rPr>
      </w:pPr>
      <w:r>
        <w:rPr>
          <w:rFonts w:ascii="Arial" w:cs="Arial" w:eastAsia="Arial" w:hAnsi="Arial"/>
          <w:sz w:val="16"/>
          <w:szCs w:val="16"/>
          <w:i w:val="1"/>
          <w:iCs w:val="1"/>
          <w:color w:val="auto"/>
        </w:rPr>
        <w:t>Amended Schedule</w:t>
      </w:r>
      <w:r>
        <w:rPr>
          <w:rFonts w:ascii="Arial" w:cs="Arial" w:eastAsia="Arial" w:hAnsi="Arial"/>
          <w:sz w:val="16"/>
          <w:szCs w:val="16"/>
          <w:color w:val="auto"/>
        </w:rPr>
        <w:t>. The applicable Schedule for any Taxable Year may be amended from time to time by the Corporate Taxpayer (i)</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a Determination affecting such Schedule, (ii) to correct inaccuracies in such Schedule, including those identified as a result of the receipt of additional factual information relating to a Taxable Year after the date such Schedule was provided to the TRA Party Representative,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Basis Schedule to take into account payments made pursuant to this Agreement (any such Schedule, an “</w:t>
      </w:r>
      <w:r>
        <w:rPr>
          <w:rFonts w:ascii="Arial" w:cs="Arial" w:eastAsia="Arial" w:hAnsi="Arial"/>
          <w:sz w:val="16"/>
          <w:szCs w:val="16"/>
          <w:u w:val="single" w:color="auto"/>
          <w:color w:val="auto"/>
        </w:rPr>
        <w:t>Amended Schedule</w:t>
      </w:r>
      <w:r>
        <w:rPr>
          <w:rFonts w:ascii="Arial" w:cs="Arial" w:eastAsia="Arial" w:hAnsi="Arial"/>
          <w:sz w:val="16"/>
          <w:szCs w:val="16"/>
          <w:color w:val="auto"/>
        </w:rPr>
        <w:t>”) The Corporate Taxpayer shall provide an Amended Schedule to the TRA Party Representative within 30 calendar days of the occurrence of an event referenced in clauses</w:t>
      </w: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through (vi) above.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647" w:gutter="0" w:footer="0" w:header="0"/>
        </w:sectPr>
      </w:pPr>
    </w:p>
    <w:bookmarkStart w:id="87" w:name="page88"/>
    <w:bookmarkEnd w:id="87"/>
    <w:p>
      <w:pPr>
        <w:jc w:val="both"/>
        <w:spacing w:after="0" w:line="255" w:lineRule="auto"/>
        <w:rPr>
          <w:sz w:val="20"/>
          <w:szCs w:val="20"/>
          <w:color w:val="auto"/>
        </w:rPr>
      </w:pPr>
      <w:r>
        <w:rPr>
          <w:rFonts w:ascii="Arial" w:cs="Arial" w:eastAsia="Arial" w:hAnsi="Arial"/>
          <w:sz w:val="18"/>
          <w:szCs w:val="18"/>
          <w:color w:val="auto"/>
        </w:rPr>
        <w:t xml:space="preserve">In the event a Schedule is amended after such Schedule becomes final pursuant to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or, if applicable, </w:t>
      </w:r>
      <w:r>
        <w:rPr>
          <w:rFonts w:ascii="Arial" w:cs="Arial" w:eastAsia="Arial" w:hAnsi="Arial"/>
          <w:sz w:val="18"/>
          <w:szCs w:val="18"/>
          <w:u w:val="single" w:color="auto"/>
          <w:color w:val="auto"/>
        </w:rPr>
        <w:t>Section 7.9</w:t>
      </w:r>
      <w:r>
        <w:rPr>
          <w:rFonts w:ascii="Arial" w:cs="Arial" w:eastAsia="Arial" w:hAnsi="Arial"/>
          <w:sz w:val="18"/>
          <w:szCs w:val="18"/>
          <w:color w:val="auto"/>
        </w:rPr>
        <w:t>,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the United States federal income tax return of the Corporate Taxpayer for the Taxable Year in which the amendment actually occurs.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 PAYMENTS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6" w:lineRule="auto"/>
        <w:tabs>
          <w:tab w:leader="none" w:pos="1554"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Payments</w:t>
      </w:r>
      <w:r>
        <w:rPr>
          <w:rFonts w:ascii="Arial" w:cs="Arial" w:eastAsia="Arial" w:hAnsi="Arial"/>
          <w:sz w:val="16"/>
          <w:szCs w:val="16"/>
          <w:color w:val="auto"/>
        </w:rPr>
        <w:t>. Within three Business Days after a Tax Benefit Schedule delivered to the TRA Party Representative becomes final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if applicable,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the Corporate Taxpayer shall pay to the TRA Parties in cash (by wire transfer of immediately available funds to the bank account previously designated by such TRA Party), in accordance with their respective share of such payment as set forth on the Payment Schedule, the Tax Benefit Payment determined pursuant to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for such Taxable Year that is Attributable to each such TRA Party. Each such Tax Benefit Payment shall be made in cash by wire transfer of immediately available funds to the bank account previously designated by such TRA Party to the Corporate Taxpayer or as otherwise agreed by the Corporate Taxpayer and such TRA Party. The payments provided for pursuant to the above sentence shall be computed separately for each TRA Party. For the avoidance of doubt, no Tax Benefit Payment shall be made in respect of estimated tax payments, including federal estimated income tax payments. Notwithstanding anything herein to the contrary, at the election of a TRA Party (specified in the Exchange Notice with respect to an applicable Exchange or by providing written notice to the Corporate Taxpayer at the Closing with respect to the purchase), the aggregate Tax Benefit Payments in respect of such Exchange (other than amounts accounted for as interest under the Code) shall not exceed, as specified by a TRA Party, 50% of the fair market value of the Class A Shares or cash received in the relevant Exchange. Without limiting the Corporate Taxpayer’s ability to make offsets against Tax Benefit Payments to the extent permitted by </w:t>
      </w:r>
      <w:r>
        <w:rPr>
          <w:rFonts w:ascii="Arial" w:cs="Arial" w:eastAsia="Arial" w:hAnsi="Arial"/>
          <w:sz w:val="16"/>
          <w:szCs w:val="16"/>
          <w:u w:val="single" w:color="auto"/>
          <w:color w:val="auto"/>
        </w:rPr>
        <w:t>Section 3.5</w:t>
      </w:r>
      <w:r>
        <w:rPr>
          <w:rFonts w:ascii="Arial" w:cs="Arial" w:eastAsia="Arial" w:hAnsi="Arial"/>
          <w:sz w:val="16"/>
          <w:szCs w:val="16"/>
          <w:color w:val="auto"/>
        </w:rPr>
        <w:t>, no TRA Party shall be required under any circumstances to make a payment or return a payment to the Corporate Taxpayer in respect of any portion of any Tax Benefit Payment previously paid by the Corporate Taxpayer to such TRA Party (including any portion of any Early Termination Payment).</w:t>
      </w:r>
    </w:p>
    <w:p>
      <w:pPr>
        <w:spacing w:after="0" w:line="170" w:lineRule="exact"/>
        <w:rPr>
          <w:rFonts w:ascii="Arial" w:cs="Arial" w:eastAsia="Arial" w:hAnsi="Arial"/>
          <w:sz w:val="16"/>
          <w:szCs w:val="16"/>
          <w:color w:val="auto"/>
        </w:rPr>
      </w:pPr>
    </w:p>
    <w:p>
      <w:pPr>
        <w:jc w:val="both"/>
        <w:ind w:firstLine="1304"/>
        <w:spacing w:after="0" w:line="268" w:lineRule="auto"/>
        <w:tabs>
          <w:tab w:leader="none" w:pos="1558"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Tax Benefit Payment</w:t>
      </w:r>
      <w:r>
        <w:rPr>
          <w:rFonts w:ascii="Arial" w:cs="Arial" w:eastAsia="Arial" w:hAnsi="Arial"/>
          <w:sz w:val="17"/>
          <w:szCs w:val="17"/>
          <w:color w:val="auto"/>
        </w:rPr>
        <w:t xml:space="preserve">”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(to the extent permitted by applicable law and other than amounts accounted for as Imputed Interest), but instead shall be treated as additional consideration for the acquisition of Units in the applicable Exchange, unless otherwise required by law. Subject to </w:t>
      </w:r>
      <w:r>
        <w:rPr>
          <w:rFonts w:ascii="Arial" w:cs="Arial" w:eastAsia="Arial" w:hAnsi="Arial"/>
          <w:sz w:val="17"/>
          <w:szCs w:val="17"/>
          <w:u w:val="single" w:color="auto"/>
          <w:color w:val="auto"/>
        </w:rPr>
        <w:t>Section 3.3(a)</w:t>
      </w:r>
      <w:r>
        <w:rPr>
          <w:rFonts w:ascii="Arial" w:cs="Arial" w:eastAsia="Arial" w:hAnsi="Arial"/>
          <w:sz w:val="17"/>
          <w:szCs w:val="17"/>
          <w:color w:val="auto"/>
        </w:rPr>
        <w:t>, the “</w:t>
      </w:r>
      <w:r>
        <w:rPr>
          <w:rFonts w:ascii="Arial" w:cs="Arial" w:eastAsia="Arial" w:hAnsi="Arial"/>
          <w:sz w:val="17"/>
          <w:szCs w:val="17"/>
          <w:u w:val="single" w:color="auto"/>
          <w:color w:val="auto"/>
        </w:rPr>
        <w:t>Net Tax Benefit</w:t>
      </w:r>
      <w:r>
        <w:rPr>
          <w:rFonts w:ascii="Arial" w:cs="Arial" w:eastAsia="Arial" w:hAnsi="Arial"/>
          <w:sz w:val="17"/>
          <w:szCs w:val="17"/>
          <w:color w:val="auto"/>
        </w:rPr>
        <w:t xml:space="preserve">” for a Taxable Year means an amount equal to the excess, if any, of 85% of the Cumulative Net Realized Tax Benefit as of the end of such Taxable Year over the total amount of payments previously made under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(excluding payments attributable to Interest Amounts);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there is no such excess (or a deficit exists), no TRA Party shall be required to make payment (or return a payment) to the Corporate Taxpayer in respect of any portion of any previously made Tax Benefit Payment. The “</w:t>
      </w:r>
      <w:r>
        <w:rPr>
          <w:rFonts w:ascii="Arial" w:cs="Arial" w:eastAsia="Arial" w:hAnsi="Arial"/>
          <w:sz w:val="17"/>
          <w:szCs w:val="17"/>
          <w:u w:val="single" w:color="auto"/>
          <w:color w:val="auto"/>
        </w:rPr>
        <w:t>Interest Amount</w:t>
      </w:r>
      <w:r>
        <w:rPr>
          <w:rFonts w:ascii="Arial" w:cs="Arial" w:eastAsia="Arial" w:hAnsi="Arial"/>
          <w:sz w:val="17"/>
          <w:szCs w:val="17"/>
          <w:color w:val="auto"/>
        </w:rPr>
        <w:t xml:space="preserve">” means an amount equal to the interest on the Net Tax Benefit calculated at the Agreed Rate from the due date (without extensions) for filing the Corporate Taxpayer Return with respect to Taxes for such Taxable Year until the payment date under </w:t>
      </w:r>
      <w:r>
        <w:rPr>
          <w:rFonts w:ascii="Arial" w:cs="Arial" w:eastAsia="Arial" w:hAnsi="Arial"/>
          <w:sz w:val="17"/>
          <w:szCs w:val="17"/>
          <w:u w:val="single" w:color="auto"/>
          <w:color w:val="auto"/>
        </w:rPr>
        <w:t>Section 3.1(a)</w:t>
      </w:r>
      <w:r>
        <w:rPr>
          <w:rFonts w:ascii="Arial" w:cs="Arial" w:eastAsia="Arial" w:hAnsi="Arial"/>
          <w:sz w:val="17"/>
          <w:szCs w:val="17"/>
          <w:color w:val="auto"/>
        </w:rPr>
        <w:t>. The Net Tax Benefit and the Interest Amount shall be determined separately with respect to each Exchange, on a Unit by Unit basis by reference to the resulting Basis Adjustment to the Corporate Taxpayer. Notwithstanding the foregoing, for each Taxable Year ending on or after the date of a Change of Control that occurs after the Closing Date, all Tax Benefit Payments, whether paid with respect to the Units that were Exchanged (i) prior to the date of such Change of Control or (ii) on or after the date of such Change of Control, shall be calculated by utilizing the assumptions (i), (iii) and (iv) set forth in the definition of Valuation Assumptions, substituting, in each case, the terms “the closing date of a Change of Control” for an “Early Termination Date.”</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 Duplicative Payments</w:t>
      </w:r>
      <w:r>
        <w:rPr>
          <w:rFonts w:ascii="Arial" w:cs="Arial" w:eastAsia="Arial" w:hAnsi="Arial"/>
          <w:sz w:val="18"/>
          <w:szCs w:val="18"/>
          <w:color w:val="auto"/>
        </w:rPr>
        <w:t xml:space="preserve">. It is intended that the provisions of this Agreement will result in the payments specified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being made to the TRA Parties and will not result in duplicative payment of any amount (including interest) required under this Agreement. The provisions of this Agreement shall be construed in the appropriate manner to ensure such intentions are realized.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3.3 Payments; Coordination of Benefits With Other Tax Receivable Agreements.</w:t>
      </w:r>
    </w:p>
    <w:p>
      <w:pPr>
        <w:spacing w:after="0" w:line="225" w:lineRule="exact"/>
        <w:rPr>
          <w:sz w:val="20"/>
          <w:szCs w:val="20"/>
          <w:color w:val="auto"/>
        </w:rPr>
      </w:pPr>
    </w:p>
    <w:p>
      <w:pPr>
        <w:jc w:val="both"/>
        <w:ind w:firstLine="1304"/>
        <w:spacing w:after="0" w:line="257" w:lineRule="auto"/>
        <w:tabs>
          <w:tab w:leader="none" w:pos="1551"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to the extent that the aggregate Tax benefit of the Corporate Taxpayer with respect to the Basis Adjustments or Imputed Interest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allocated to each such TRA Party if the Corporate Taxpayer had sufficient taxable income so that there were no such limitation.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1304"/>
        <w:spacing w:after="0" w:line="259" w:lineRule="auto"/>
        <w:tabs>
          <w:tab w:leader="none" w:pos="1557"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If for any reason (including as contemplated by </w:t>
      </w:r>
      <w:r>
        <w:rPr>
          <w:rFonts w:ascii="Arial" w:cs="Arial" w:eastAsia="Arial" w:hAnsi="Arial"/>
          <w:sz w:val="18"/>
          <w:szCs w:val="18"/>
          <w:u w:val="single" w:color="auto"/>
          <w:color w:val="auto"/>
        </w:rPr>
        <w:t>Section 3.3(a)</w:t>
      </w:r>
      <w:r>
        <w:rPr>
          <w:rFonts w:ascii="Arial" w:cs="Arial" w:eastAsia="Arial" w:hAnsi="Arial"/>
          <w:sz w:val="18"/>
          <w:szCs w:val="18"/>
          <w:color w:val="auto"/>
        </w:rPr>
        <w:t>)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186" w:lineRule="exact"/>
        <w:rPr>
          <w:rFonts w:ascii="Arial" w:cs="Arial" w:eastAsia="Arial" w:hAnsi="Arial"/>
          <w:sz w:val="18"/>
          <w:szCs w:val="18"/>
          <w:color w:val="auto"/>
        </w:rPr>
      </w:pPr>
    </w:p>
    <w:p>
      <w:pPr>
        <w:ind w:firstLine="1304"/>
        <w:spacing w:after="0" w:line="277" w:lineRule="auto"/>
        <w:tabs>
          <w:tab w:leader="none" w:pos="15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 of any other similar tax receivable agreement entered into after the date of this Agreement (“</w:t>
      </w:r>
      <w:r>
        <w:rPr>
          <w:rFonts w:ascii="Arial" w:cs="Arial" w:eastAsia="Arial" w:hAnsi="Arial"/>
          <w:sz w:val="18"/>
          <w:szCs w:val="18"/>
          <w:u w:val="single" w:color="auto"/>
          <w:color w:val="auto"/>
        </w:rPr>
        <w:t>Other Tax Receivable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shall not be taken into account in respect of any calculations made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Sufficient Funds</w:t>
      </w:r>
      <w:r>
        <w:rPr>
          <w:rFonts w:ascii="Arial" w:cs="Arial" w:eastAsia="Arial" w:hAnsi="Arial"/>
          <w:sz w:val="16"/>
          <w:szCs w:val="16"/>
          <w:color w:val="auto"/>
        </w:rPr>
        <w:t>. The Corporate Taxpayer shall use commercially reasonable efforts to ensure that it has sufficient available funds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make all payments due under this Agreement, including using commercially reasonable efforts to cause OpCo to make distributions to the Corporate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Taxpayer to make such payments so long as such distributions do not violate (a) a prohibition, restriction or covenant under any prohibition, restriction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covenant under any credit agreement, loan agreement, note, indenture or other agreement governing indebtedness of the Corporate Taxpayer or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Subsidiaries (including any Senior Obligation)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 restrictions under applicable law.</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Overpayments</w:t>
      </w:r>
      <w:r>
        <w:rPr>
          <w:rFonts w:ascii="Arial" w:cs="Arial" w:eastAsia="Arial" w:hAnsi="Arial"/>
          <w:sz w:val="18"/>
          <w:szCs w:val="18"/>
          <w:color w:val="auto"/>
        </w:rPr>
        <w:t xml:space="preserve">. To the extent the Corporate Taxpayer makes a payment to a TRA Party in respect of a particular Taxable Year under Section 3.1(a) in an amount in excess of the amount of such payment that should have been made to such TRA Party in respect of such Taxable Year (taking into account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under the terms of this Agreement, then such TRA Party shall not receive further payments under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until such TRA Party has foregone an amount of payments equal to such excess.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Payment Schedule</w:t>
      </w:r>
      <w:r>
        <w:rPr>
          <w:rFonts w:ascii="Arial" w:cs="Arial" w:eastAsia="Arial" w:hAnsi="Arial"/>
          <w:sz w:val="17"/>
          <w:szCs w:val="17"/>
          <w:color w:val="auto"/>
        </w:rPr>
        <w:t>. The allocation of the payments hereunder in accordance with the Payment Schedule shall be binding on all TRA Parties and shall be used by the Corporate Taxpayer for purposes of disbursement of any such payments. In making any payments or disbursements pursuant to this Agreement, the Corporate Taxpayer shall be entitled to rely fully on the shares of the TRA Parties as set forth on the Payment Schedule and shall not be liable to any TRA Party for the accuracy of the determination of such shares. Each of the TRA Parties acknowledges and agrees that it has agreed to each Payment Schedule, as it may be amended from time to time in accordance with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Early Termination and Breach of Agreement</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1541"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The Corporate Taxpayer may, with the prior written consent of the TRA Disinterested Majority, terminate this Agreement with respect to all amounts payable to the TRA Parties and with respect to all of the Units held by the TRA Parties at any time by paying to the TRA Parties, in accordance with their respective shares as set forth on the Payment Schedule, the Early Termination Payment due pursuant to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in respect of all TRA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Agreement shall only terminate upon the receipt of the Early Termination Payment by all TRA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Corporate Taxpayer may withdraw any notice to execute its termination rights under this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prior to the time at which any Early Termination Payment has been paid. Upon payment of the Early Termination Payment to all of the TRA Parties, none of the TRA Parties or the Corporate Taxpayer shall have any further payment obligations under this Agreement, other than for any (i) Tax Benefit Payment due and payable that remains unpaid as of the Early Termination Date and (ii) Tax Benefit Payment due for the Taxable Year ending with or including the date of the Early Termination Notice (except to the extent that the amount described in clauses (i) or (ii) is included in the Early Termination Payment). If an Exchange occurs after the Corporate Taxpayer makes all of the required Early Termination Payments, the Corporate Taxpayer shall have no obligations under this Agreement with respect to such Exchange.</w:t>
      </w:r>
    </w:p>
    <w:p>
      <w:pPr>
        <w:spacing w:after="0" w:line="181" w:lineRule="exact"/>
        <w:rPr>
          <w:rFonts w:ascii="Arial" w:cs="Arial" w:eastAsia="Arial" w:hAnsi="Arial"/>
          <w:sz w:val="17"/>
          <w:szCs w:val="17"/>
          <w:color w:val="auto"/>
        </w:rPr>
      </w:pPr>
    </w:p>
    <w:p>
      <w:pPr>
        <w:jc w:val="both"/>
        <w:ind w:firstLine="1304"/>
        <w:spacing w:after="0" w:line="266" w:lineRule="auto"/>
        <w:tabs>
          <w:tab w:leader="none" w:pos="156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In the event that the Corporate Taxpayer (i) breaches any of its material obligations under this Agreement, or (ii)(A) the Corporate Taxpayer commences any case, proceeding or other action (1) under any existing or future law of any jurisdiction, domestic or foreign, relating to bankruptcy, insolvency, reorganization or relief of debtors, seeking to have an order for relief entered with respect to it, seeking to adjudicate it a bankrupt or insolvent or seeking reorganization, arrangement, adjustment, winding-up, liquidation, dissolution, composition or other relief with respect to it or its debts or (2)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60 days, all obligations hereunder shall be accelerated and such obligations shall be calculated as if an Early Termination Notice had been delivered on the date of such breach and shall include, but not be limited to, (x) the Early Termination Payments calculated as if an Early Termination Notice had been delivered on the date of a breach, (y) any Tax Benefit Payment in respect of a TRA Party agreed to by the Corporate Taxpayer and such TRA Party as due and payable but unpaid as of the date of a breach and (z) any Tax Benefit Payment in respect of any TRA Party due for the Taxable Year ending with or including the date of a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procedures similar to the procedures of </w:t>
      </w:r>
      <w:r>
        <w:rPr>
          <w:rFonts w:ascii="Arial" w:cs="Arial" w:eastAsia="Arial" w:hAnsi="Arial"/>
          <w:sz w:val="17"/>
          <w:szCs w:val="17"/>
          <w:u w:val="single" w:color="auto"/>
          <w:color w:val="auto"/>
        </w:rPr>
        <w:t>Section</w:t>
      </w:r>
    </w:p>
    <w:p>
      <w:pPr>
        <w:spacing w:after="0" w:line="6" w:lineRule="exact"/>
        <w:rPr>
          <w:rFonts w:ascii="Arial" w:cs="Arial" w:eastAsia="Arial" w:hAnsi="Arial"/>
          <w:sz w:val="17"/>
          <w:szCs w:val="17"/>
          <w:color w:val="auto"/>
        </w:rPr>
      </w:pPr>
    </w:p>
    <w:p>
      <w:pPr>
        <w:jc w:val="both"/>
        <w:spacing w:after="0" w:line="267" w:lineRule="auto"/>
        <w:rPr>
          <w:rFonts w:ascii="Arial" w:cs="Arial" w:eastAsia="Arial" w:hAnsi="Arial"/>
          <w:sz w:val="17"/>
          <w:szCs w:val="17"/>
          <w:color w:val="auto"/>
        </w:rPr>
      </w:pPr>
      <w:r>
        <w:rPr>
          <w:rFonts w:ascii="Arial" w:cs="Arial" w:eastAsia="Arial" w:hAnsi="Arial"/>
          <w:sz w:val="17"/>
          <w:szCs w:val="17"/>
          <w:u w:val="single" w:color="auto"/>
          <w:color w:val="auto"/>
        </w:rPr>
        <w:t>4.2</w:t>
      </w:r>
      <w:r>
        <w:rPr>
          <w:rFonts w:ascii="Arial" w:cs="Arial" w:eastAsia="Arial" w:hAnsi="Arial"/>
          <w:sz w:val="17"/>
          <w:szCs w:val="17"/>
          <w:color w:val="auto"/>
        </w:rPr>
        <w:t xml:space="preserve"> shall apply with respect to the determination of the amount payable by the Corporate Taxpayer pursuant to this sentence. Notwithstanding the foregoing, in the event that the Corporate Taxpayer breaches this Agreement, each TRA Party shall be entitled to elect to receive the amounts set forth in clauses (x), (y) and (z) above or to seek specific performance of the terms hereof. The parties hereto agree that the failure by the Corporate Taxpayer to make any payment due pursuant to this Agreement within three months of the date such payment is due shall be deemed to be a breach of a material obligation under this Agreement for all purposes of this Agreement, and that it will not be considered to be a breach of a material obligation under this Agreement by the Corporate Taxpayer to make a payment due pursuant to this Agreement within three months of the date such payment is due. Notwithstanding anything in this Agreement to the contrary, it shall not be a breach of this Agreement by the Corporate Taxpayer if the Corporate Taxpayer fails to make any Tax Benefit Payment when due to the extent that the Corporate Taxpayer (I) has insufficient funds, or cannot make such payment as a result of obligations imposed in connection with any Senior Obligations, and cannot take commercially reasonable actions to obtain sufficient funds, to make such payment or (II) would become insolvent as a result of making such payment (in each case, as determined by the Board in good faith) (clauses (I) and (II) together, the “</w:t>
      </w:r>
      <w:r>
        <w:rPr>
          <w:rFonts w:ascii="Arial" w:cs="Arial" w:eastAsia="Arial" w:hAnsi="Arial"/>
          <w:sz w:val="17"/>
          <w:szCs w:val="17"/>
          <w:u w:val="single" w:color="auto"/>
          <w:color w:val="auto"/>
        </w:rPr>
        <w:t>Liquidity Exceptions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interest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apply to such late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Liquidity Exceptions apply and the Corporate Taxpayer declares or pays any dividend of cash to its shareholders while any Tax Benefit Payment is due and payable and remains unpaid, then the Liquidity Exceptions shall no longer apply.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0" w:gutter="0" w:footer="0" w:header="0"/>
        </w:sectPr>
      </w:pPr>
    </w:p>
    <w:bookmarkStart w:id="89" w:name="page90"/>
    <w:bookmarkEnd w:id="89"/>
    <w:p>
      <w:pPr>
        <w:jc w:val="both"/>
        <w:ind w:firstLine="1304"/>
        <w:spacing w:after="0" w:line="284" w:lineRule="auto"/>
        <w:tabs>
          <w:tab w:leader="none" w:pos="1563" w:val="left"/>
        </w:tabs>
        <w:numPr>
          <w:ilvl w:val="1"/>
          <w:numId w:val="99"/>
        </w:numPr>
        <w:rPr>
          <w:rFonts w:ascii="Arial" w:cs="Arial" w:eastAsia="Arial" w:hAnsi="Arial"/>
          <w:sz w:val="16"/>
          <w:szCs w:val="16"/>
          <w:color w:val="auto"/>
        </w:rPr>
      </w:pPr>
      <w:r>
        <w:rPr>
          <w:rFonts w:ascii="Arial" w:cs="Arial" w:eastAsia="Arial" w:hAnsi="Arial"/>
          <w:sz w:val="16"/>
          <w:szCs w:val="16"/>
          <w:color w:val="auto"/>
        </w:rPr>
        <w:t>In the event of a Change of Control, the Corporate Taxpayer shall provide written notice of such Change of Control to the TRA Parties in accordance with the procedures set forth in Section 11.07 of the LLC Agreement and the TRA Party Representative shall have the option, upon written notice to the Corporate Taxpayer, to cause acceleration of all unpaid payment obligations with respect to Units that have been Exchanged prior to or in connection with such Change of Control, which shall be calculated as if an Early Termination Notice had been delivered on the date of such Change of Control and shall include, without duplication, (i) the Early Termination Payments calculated with respect to such TRA Parties as if the Early Termination Date is the date of such Change of Control, (ii) any Tax Benefit Payment due and payable and that remains unpaid as of the date of such Change of Control and (iii) any Tax Benefit Payment in respect of any TRA Party due for the Taxable Year ending with or including the date of such Change of Control. In the event of a Change of Control, any Early Termination Payment described in the preceding sentence shall be calculated utilizing the assumptions (i), (ii) and</w:t>
      </w:r>
    </w:p>
    <w:p>
      <w:pPr>
        <w:jc w:val="both"/>
        <w:ind w:firstLine="8"/>
        <w:spacing w:after="0" w:line="302" w:lineRule="auto"/>
        <w:tabs>
          <w:tab w:leader="none" w:pos="32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set forth in the definition of Valuation Assumptions, substituting, in each case, and in the lead-in to such definition, the terms “date of a Change of Control” for an “Early Termination Date.” Any Exchanges with respect to which a payment has been made under this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shall be excluded in calculating any future Tax Benefit Payments or Early Termination Payments, and this Agreement shall have no further application to such Exchanges.</w:t>
      </w:r>
    </w:p>
    <w:p>
      <w:pPr>
        <w:spacing w:after="0" w:line="1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xml:space="preserve">. If the Corporate Taxpayer chooses to exercise its right of early termination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4.1(a)</w:t>
      </w:r>
      <w:r>
        <w:rPr>
          <w:rFonts w:ascii="Arial" w:cs="Arial" w:eastAsia="Arial" w:hAnsi="Arial"/>
          <w:sz w:val="16"/>
          <w:szCs w:val="16"/>
          <w:color w:val="auto"/>
        </w:rPr>
        <w:t>, the Corporate Taxpayer shall deliver to each TRA Party a notice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and a schedule (the “</w:t>
      </w:r>
      <w:r>
        <w:rPr>
          <w:rFonts w:ascii="Arial" w:cs="Arial" w:eastAsia="Arial" w:hAnsi="Arial"/>
          <w:sz w:val="16"/>
          <w:szCs w:val="16"/>
          <w:u w:val="single" w:color="auto"/>
          <w:color w:val="auto"/>
        </w:rPr>
        <w:t>Early Termination Schedule</w:t>
      </w:r>
      <w:r>
        <w:rPr>
          <w:rFonts w:ascii="Arial" w:cs="Arial" w:eastAsia="Arial" w:hAnsi="Arial"/>
          <w:sz w:val="16"/>
          <w:szCs w:val="16"/>
          <w:color w:val="auto"/>
        </w:rPr>
        <w:t>”) specifying the Corporate Taxpayer’s intention to exercise such right and showing in reasonable detail the calculation of the Early Termination Payment(s) due for each TRA Party. Each Early Termination Schedule shall become final and binding on all parties hereto 30 calendar days from the first date on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which all TRA Parties are treated as having received such Schedule or amendment thereto under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unless, prior to such 30</w:t>
      </w:r>
      <w:r>
        <w:rPr>
          <w:rFonts w:ascii="Arial" w:cs="Arial" w:eastAsia="Arial" w:hAnsi="Arial"/>
          <w:sz w:val="28"/>
          <w:szCs w:val="28"/>
          <w:color w:val="auto"/>
          <w:vertAlign w:val="superscript"/>
        </w:rPr>
        <w:t>th</w:t>
      </w:r>
      <w:r>
        <w:rPr>
          <w:rFonts w:ascii="Arial" w:cs="Arial" w:eastAsia="Arial" w:hAnsi="Arial"/>
          <w:sz w:val="17"/>
          <w:szCs w:val="17"/>
          <w:color w:val="auto"/>
        </w:rPr>
        <w:t>-calendar day, the TRA Party Representative provides (a) the Corporate Taxpayer with notice of a material objection to such Schedule made in good faith (the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Objection Notice</w:t>
      </w:r>
      <w:r>
        <w:rPr>
          <w:rFonts w:ascii="Arial" w:cs="Arial" w:eastAsia="Arial" w:hAnsi="Arial"/>
          <w:sz w:val="17"/>
          <w:szCs w:val="17"/>
          <w:color w:val="auto"/>
        </w:rPr>
        <w:t>”) or (b) a written waiver of such right of a Material Objection Notice, in which case such Schedule will become binding on the date the waiver is received by the Corporate Taxpayer (the “</w:t>
      </w:r>
      <w:r>
        <w:rPr>
          <w:rFonts w:ascii="Arial" w:cs="Arial" w:eastAsia="Arial" w:hAnsi="Arial"/>
          <w:sz w:val="17"/>
          <w:szCs w:val="17"/>
          <w:u w:val="single" w:color="auto"/>
          <w:color w:val="auto"/>
        </w:rPr>
        <w:t>Early Termination Effective Date</w:t>
      </w:r>
      <w:r>
        <w:rPr>
          <w:rFonts w:ascii="Arial" w:cs="Arial" w:eastAsia="Arial" w:hAnsi="Arial"/>
          <w:sz w:val="17"/>
          <w:szCs w:val="17"/>
          <w:color w:val="auto"/>
        </w:rPr>
        <w:t>”). If the Corporate Taxpayer and the TRA Party Representative, for any reason, are unable to successfully resolve the issues raised in such notice within 30 calendar days after receipt by the Corporate Taxpayer of the Material Objection Notice, the Corporate Taxpayer and the TRA Party Representative shall employ the Reconciliation Procedures in which case such Schedule shall become binding ten calendar days after the conclusion of the Reconciliation Procedures.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6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Within three Business Days after the Early Termination Effective Date, the Corporate Taxpayer shall pay to the TRA Parties, in accordance with their respective shares as set forth on the Payment Schedule, an amount equal to the Early Termination Payment in respect of all TRA Parties. Such payment shall be made in cash by wire transfer of immediately available funds to a bank account or accounts designated by each TRA Party or as otherwise agreed by the Corporate Taxpayer and such TRA Party.</w:t>
      </w:r>
    </w:p>
    <w:p>
      <w:pPr>
        <w:spacing w:after="0" w:line="186" w:lineRule="exact"/>
        <w:rPr>
          <w:rFonts w:ascii="Arial" w:cs="Arial" w:eastAsia="Arial" w:hAnsi="Arial"/>
          <w:sz w:val="18"/>
          <w:szCs w:val="18"/>
          <w:color w:val="auto"/>
        </w:rPr>
      </w:pPr>
    </w:p>
    <w:p>
      <w:pPr>
        <w:jc w:val="both"/>
        <w:ind w:firstLine="1304"/>
        <w:spacing w:after="0" w:line="272" w:lineRule="auto"/>
        <w:tabs>
          <w:tab w:leader="none" w:pos="157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Paymen</w:t>
      </w:r>
      <w:r>
        <w:rPr>
          <w:rFonts w:ascii="Arial" w:cs="Arial" w:eastAsia="Arial" w:hAnsi="Arial"/>
          <w:sz w:val="17"/>
          <w:szCs w:val="17"/>
          <w:color w:val="auto"/>
        </w:rPr>
        <w:t>t” in respect of a TRA Party means an amount equal to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(ii) for each Taxable Year, the Tax Benefit Payment is paid on the due date, assuming an extension, of the U.S. federal income tax return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Units as of the Early Termination Effective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AND LATE PAYMENTS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Subordination</w:t>
      </w:r>
      <w:r>
        <w:rPr>
          <w:rFonts w:ascii="Arial" w:cs="Arial" w:eastAsia="Arial" w:hAnsi="Arial"/>
          <w:sz w:val="16"/>
          <w:szCs w:val="16"/>
          <w:color w:val="auto"/>
        </w:rPr>
        <w:t>. Notwithstanding any other provision of this Agreement to the contrary, any Tax Benefit Payment or Early Termination Payment required to be made by the Corporate Taxpayer to the TRA Parties under this Agreement shall rank (a) subordinate and junior in right of payment to any principal, interest or other amounts due and payable in respect of any obligations in respect of indebtedness for borrowed money of the Corporate Taxpayer and its Subsidiaries (“</w:t>
      </w:r>
      <w:r>
        <w:rPr>
          <w:rFonts w:ascii="Arial" w:cs="Arial" w:eastAsia="Arial" w:hAnsi="Arial"/>
          <w:sz w:val="16"/>
          <w:szCs w:val="16"/>
          <w:u w:val="single" w:color="auto"/>
          <w:color w:val="auto"/>
        </w:rPr>
        <w:t>Senior Obligations</w:t>
      </w:r>
      <w:r>
        <w:rPr>
          <w:rFonts w:ascii="Arial" w:cs="Arial" w:eastAsia="Arial" w:hAnsi="Arial"/>
          <w:sz w:val="16"/>
          <w:szCs w:val="16"/>
          <w:color w:val="auto"/>
        </w:rPr>
        <w:t xml:space="preserve">”), (b) senior in right of payment to any principal, interest or other amounts due and payable in respect of any Other Tax Receivable Obligation and (c)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apply to such payment. To the extent the Corporate Taxpayer or its Subsidiaries (including OpCo and its Subsidiaries) incur, create or assume any Senior Obligations from and after the date hereof, the Corporate Taxpayer shall, and shall cause its Subsidiaries to, endeavor in good faith to ensure that such indebtedness permits the amounts payable hereunder to be paid.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Late Payments by the Corporate Taxpayer</w:t>
      </w:r>
      <w:r>
        <w:rPr>
          <w:rFonts w:ascii="Arial" w:cs="Arial" w:eastAsia="Arial" w:hAnsi="Arial"/>
          <w:sz w:val="18"/>
          <w:szCs w:val="18"/>
          <w:color w:val="auto"/>
        </w:rPr>
        <w:t xml:space="preserve">. The amount of all or any portion of any Tax Benefit Payment or Early Termination Payment not made by the Corporate Taxpayer to the TRA Parties when due under the terms of this Agreement, whether as a result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otherwise, shall be payable together with any interest thereon, computed at the Default Rate and commencing from the date on which such Tax Benefit Payment or Early Termination Payment was due and payable.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DISPUTES; CONSISTENCY; COOPERATION</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Participation in the Corporate Taxpayer’s and OpCo’s Tax Matters</w:t>
      </w:r>
      <w:r>
        <w:rPr>
          <w:rFonts w:ascii="Arial" w:cs="Arial" w:eastAsia="Arial" w:hAnsi="Arial"/>
          <w:sz w:val="17"/>
          <w:szCs w:val="17"/>
          <w:color w:val="auto"/>
        </w:rPr>
        <w:t xml:space="preserve">. Except as otherwise provided in this Agreement, the BCA or the LLC Agreement, the Corporate Taxpayer shall have full responsibility for, and sole discretion over, all Tax matters concerning the Corporate Taxpayer and OpCo, including the preparation, filing or amending of any Tax Return and defending, contesting or settling any issue pertaining to Taxes. Notwithstanding the foregoing, the Corporate Taxpayer shall notify the TRA Party Representative in writing of the commencement of, and keep the TRA Party Representative reasonably informed with respect to, the portion of any audit of the Corporate Taxpayer and OpCo or any of OpCo’s Subsidiaries by a Taxing Authority the outcome of which is reasonably expected to affect the rights and obligations of a TRA Party under this Agreement, and shall provide to the TRA Party Representative reasonable opportunity to participate in or provide information and other input to the Corporate Taxpayer, OpCo and their respective advisors concerning the conduct of any such portion of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Corporate Taxpayer and OpCo shall not be required to take any action that is inconsistent with any provision of the LLC Agreement.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Consistency</w:t>
      </w:r>
      <w:r>
        <w:rPr>
          <w:rFonts w:ascii="Arial" w:cs="Arial" w:eastAsia="Arial" w:hAnsi="Arial"/>
          <w:sz w:val="18"/>
          <w:szCs w:val="18"/>
          <w:color w:val="auto"/>
        </w:rPr>
        <w:t>. The Corporate Taxpayer and the TRA Parties agree to report and cause to be reported for all purposes, including United States federal, state and local Tax purposes and financial reporting purposes, all Tax-related items (including the Basis Adjustments and each Tax Benefit Payment) in a manner consistent with that set forth in this Agreement or specified by the Corporate Taxpayer in any Schedule (or Amended Schedule, as applicable) required to be provided by or on behalf of the Corporate Taxpayer under this Agreement that is final and binding on the parties hereto unless otherwise required by law. The Corporate Taxpayer shall (and shall cause OpCo and its other Subsidiaries to) use commercially reasonable efforts (which, for the avoidance of doubt, shall include taking into account the interests and entitlements of all TRA Parties under this Agreement) to defend the Tax treatment contemplated by this Agreement and any Schedule (or Amended Schedule, as applicable) in any audit, contest or similar proceeding with any Taxing Authority.</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delivered by email or other electronic transmission (in each case in this clause (d), solely if receipt is confirmed), at the following address (or to such other address for a party as shall be specified in a notice given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88" w:lineRule="exact"/>
        <w:rPr>
          <w:sz w:val="20"/>
          <w:szCs w:val="20"/>
          <w:color w:val="auto"/>
        </w:rPr>
      </w:pPr>
    </w:p>
    <w:p>
      <w:pPr>
        <w:ind w:left="1960" w:hanging="332"/>
        <w:spacing w:after="0"/>
        <w:tabs>
          <w:tab w:leader="none" w:pos="1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to the Corporate Taxpayer,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OPAL Fuels Inc.</w:t>
      </w:r>
    </w:p>
    <w:p>
      <w:pPr>
        <w:spacing w:after="0" w:line="23" w:lineRule="exact"/>
        <w:rPr>
          <w:rFonts w:ascii="Arial" w:cs="Arial" w:eastAsia="Arial" w:hAnsi="Arial"/>
          <w:sz w:val="18"/>
          <w:szCs w:val="18"/>
          <w:color w:val="auto"/>
        </w:rPr>
      </w:pPr>
    </w:p>
    <w:p>
      <w:pPr>
        <w:ind w:left="1960" w:right="6280"/>
        <w:spacing w:after="0" w:line="250" w:lineRule="auto"/>
        <w:rPr>
          <w:rFonts w:ascii="Arial" w:cs="Arial" w:eastAsia="Arial" w:hAnsi="Arial"/>
          <w:sz w:val="18"/>
          <w:szCs w:val="18"/>
          <w:color w:val="auto"/>
        </w:rPr>
      </w:pPr>
      <w:r>
        <w:rPr>
          <w:rFonts w:ascii="Arial" w:cs="Arial" w:eastAsia="Arial" w:hAnsi="Arial"/>
          <w:sz w:val="18"/>
          <w:szCs w:val="18"/>
          <w:color w:val="auto"/>
        </w:rPr>
        <w:t>One North Lexington Avenue, Suite 1450 White Plains, NY 10601</w:t>
      </w:r>
    </w:p>
    <w:p>
      <w:pPr>
        <w:ind w:left="2360"/>
        <w:spacing w:after="0"/>
        <w:rPr>
          <w:rFonts w:ascii="Arial" w:cs="Arial" w:eastAsia="Arial" w:hAnsi="Arial"/>
          <w:sz w:val="18"/>
          <w:szCs w:val="18"/>
          <w:color w:val="auto"/>
        </w:rPr>
      </w:pPr>
      <w:r>
        <w:rPr>
          <w:rFonts w:ascii="Arial" w:cs="Arial" w:eastAsia="Arial" w:hAnsi="Arial"/>
          <w:sz w:val="18"/>
          <w:szCs w:val="18"/>
          <w:color w:val="auto"/>
        </w:rPr>
        <w:t>Attention: John H. Coghlin, General Counsel</w:t>
      </w:r>
    </w:p>
    <w:p>
      <w:pPr>
        <w:spacing w:after="0" w:line="9" w:lineRule="exact"/>
        <w:rPr>
          <w:rFonts w:ascii="Arial" w:cs="Arial" w:eastAsia="Arial" w:hAnsi="Arial"/>
          <w:sz w:val="18"/>
          <w:szCs w:val="18"/>
          <w:color w:val="auto"/>
        </w:rPr>
      </w:pPr>
    </w:p>
    <w:p>
      <w:pPr>
        <w:ind w:left="2360"/>
        <w:spacing w:after="0"/>
        <w:rPr>
          <w:rFonts w:ascii="Arial" w:cs="Arial" w:eastAsia="Arial" w:hAnsi="Arial"/>
          <w:sz w:val="18"/>
          <w:szCs w:val="18"/>
          <w:color w:val="auto"/>
        </w:rPr>
      </w:pPr>
      <w:r>
        <w:rPr>
          <w:rFonts w:ascii="Arial" w:cs="Arial" w:eastAsia="Arial" w:hAnsi="Arial"/>
          <w:sz w:val="18"/>
          <w:szCs w:val="18"/>
          <w:color w:val="auto"/>
        </w:rPr>
        <w:t>Email:    jcoghlin@opalfuels.com</w:t>
      </w:r>
    </w:p>
    <w:p>
      <w:pPr>
        <w:spacing w:after="0" w:line="21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c/o Fortistar</w:t>
      </w:r>
    </w:p>
    <w:p>
      <w:pPr>
        <w:spacing w:after="0" w:line="23" w:lineRule="exact"/>
        <w:rPr>
          <w:rFonts w:ascii="Arial" w:cs="Arial" w:eastAsia="Arial" w:hAnsi="Arial"/>
          <w:sz w:val="18"/>
          <w:szCs w:val="18"/>
          <w:color w:val="auto"/>
        </w:rPr>
      </w:pPr>
    </w:p>
    <w:p>
      <w:pPr>
        <w:ind w:left="1960" w:right="6300"/>
        <w:spacing w:after="0" w:line="250" w:lineRule="auto"/>
        <w:rPr>
          <w:rFonts w:ascii="Arial" w:cs="Arial" w:eastAsia="Arial" w:hAnsi="Arial"/>
          <w:sz w:val="18"/>
          <w:szCs w:val="18"/>
          <w:color w:val="auto"/>
        </w:rPr>
      </w:pPr>
      <w:r>
        <w:rPr>
          <w:rFonts w:ascii="Arial" w:cs="Arial" w:eastAsia="Arial" w:hAnsi="Arial"/>
          <w:sz w:val="18"/>
          <w:szCs w:val="18"/>
          <w:color w:val="auto"/>
        </w:rPr>
        <w:t>One North Lexington Avenue, 14th Floor White Plains, NY 10601</w:t>
      </w:r>
    </w:p>
    <w:p>
      <w:pPr>
        <w:ind w:left="1960"/>
        <w:spacing w:after="0"/>
        <w:rPr>
          <w:rFonts w:ascii="Arial" w:cs="Arial" w:eastAsia="Arial" w:hAnsi="Arial"/>
          <w:sz w:val="18"/>
          <w:szCs w:val="18"/>
          <w:color w:val="auto"/>
        </w:rPr>
      </w:pPr>
      <w:r>
        <w:rPr>
          <w:rFonts w:ascii="Arial" w:cs="Arial" w:eastAsia="Arial" w:hAnsi="Arial"/>
          <w:sz w:val="18"/>
          <w:szCs w:val="18"/>
          <w:color w:val="auto"/>
        </w:rPr>
        <w:t>Attention: General Counsel</w:t>
      </w:r>
    </w:p>
    <w:p>
      <w:pPr>
        <w:spacing w:after="0" w:line="9" w:lineRule="exact"/>
        <w:rPr>
          <w:rFonts w:ascii="Arial" w:cs="Arial" w:eastAsia="Arial" w:hAnsi="Arial"/>
          <w:sz w:val="18"/>
          <w:szCs w:val="18"/>
          <w:color w:val="auto"/>
        </w:rPr>
      </w:pPr>
    </w:p>
    <w:p>
      <w:pPr>
        <w:ind w:left="3160" w:right="6000" w:hanging="796"/>
        <w:spacing w:after="0" w:line="323" w:lineRule="auto"/>
        <w:rPr>
          <w:rFonts w:ascii="Arial" w:cs="Arial" w:eastAsia="Arial" w:hAnsi="Arial"/>
          <w:sz w:val="18"/>
          <w:szCs w:val="18"/>
          <w:color w:val="auto"/>
        </w:rPr>
      </w:pPr>
      <w:r>
        <w:rPr>
          <w:rFonts w:ascii="Arial" w:cs="Arial" w:eastAsia="Arial" w:hAnsi="Arial"/>
          <w:sz w:val="16"/>
          <w:szCs w:val="16"/>
          <w:color w:val="auto"/>
        </w:rPr>
        <w:t>Email: noticeofficer@fortistar.com noticeofficer@opalfuels.com</w:t>
      </w:r>
    </w:p>
    <w:p>
      <w:pPr>
        <w:spacing w:after="0" w:line="138"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rFonts w:ascii="Arial" w:cs="Arial" w:eastAsia="Arial" w:hAnsi="Arial"/>
          <w:sz w:val="18"/>
          <w:szCs w:val="18"/>
          <w:color w:val="auto"/>
        </w:rPr>
      </w:pPr>
    </w:p>
    <w:p>
      <w:pPr>
        <w:ind w:left="1960" w:right="6140"/>
        <w:spacing w:after="0" w:line="258" w:lineRule="auto"/>
        <w:rPr>
          <w:rFonts w:ascii="Arial" w:cs="Arial" w:eastAsia="Arial" w:hAnsi="Arial"/>
          <w:sz w:val="18"/>
          <w:szCs w:val="18"/>
          <w:color w:val="auto"/>
        </w:rPr>
      </w:pPr>
      <w:r>
        <w:rPr>
          <w:rFonts w:ascii="Arial" w:cs="Arial" w:eastAsia="Arial" w:hAnsi="Arial"/>
          <w:sz w:val="18"/>
          <w:szCs w:val="18"/>
          <w:color w:val="auto"/>
        </w:rPr>
        <w:t>Sheppard, Mullin, Richter &amp; Hampton LLP 30 Rockefeller Plaza</w:t>
      </w:r>
    </w:p>
    <w:p>
      <w:pPr>
        <w:spacing w:after="0" w:line="1" w:lineRule="exact"/>
        <w:rPr>
          <w:rFonts w:ascii="Arial" w:cs="Arial" w:eastAsia="Arial" w:hAnsi="Arial"/>
          <w:sz w:val="18"/>
          <w:szCs w:val="18"/>
          <w:color w:val="auto"/>
        </w:rPr>
      </w:pPr>
    </w:p>
    <w:p>
      <w:pPr>
        <w:jc w:val="both"/>
        <w:ind w:left="1960" w:right="7180"/>
        <w:spacing w:after="0" w:line="250" w:lineRule="auto"/>
        <w:rPr>
          <w:rFonts w:ascii="Arial" w:cs="Arial" w:eastAsia="Arial" w:hAnsi="Arial"/>
          <w:sz w:val="18"/>
          <w:szCs w:val="18"/>
          <w:color w:val="auto"/>
        </w:rPr>
      </w:pPr>
      <w:r>
        <w:rPr>
          <w:rFonts w:ascii="Arial" w:cs="Arial" w:eastAsia="Arial" w:hAnsi="Arial"/>
          <w:sz w:val="18"/>
          <w:szCs w:val="18"/>
          <w:color w:val="auto"/>
        </w:rPr>
        <w:t>New York, New York 10112 Attention: Andrew M. Felner John H. Booer</w:t>
      </w:r>
    </w:p>
    <w:p>
      <w:pPr>
        <w:spacing w:after="0" w:line="1" w:lineRule="exact"/>
        <w:rPr>
          <w:rFonts w:ascii="Arial" w:cs="Arial" w:eastAsia="Arial" w:hAnsi="Arial"/>
          <w:sz w:val="18"/>
          <w:szCs w:val="18"/>
          <w:color w:val="auto"/>
        </w:rPr>
      </w:pPr>
    </w:p>
    <w:p>
      <w:pPr>
        <w:ind w:left="3160" w:right="5860" w:hanging="796"/>
        <w:spacing w:after="0" w:line="323" w:lineRule="auto"/>
        <w:rPr>
          <w:rFonts w:ascii="Arial" w:cs="Arial" w:eastAsia="Arial" w:hAnsi="Arial"/>
          <w:sz w:val="18"/>
          <w:szCs w:val="18"/>
          <w:color w:val="auto"/>
        </w:rPr>
      </w:pPr>
      <w:r>
        <w:rPr>
          <w:rFonts w:ascii="Arial" w:cs="Arial" w:eastAsia="Arial" w:hAnsi="Arial"/>
          <w:sz w:val="16"/>
          <w:szCs w:val="16"/>
          <w:color w:val="auto"/>
        </w:rPr>
        <w:t>Email: afelner@sheppardmullin.com jbooher@ sheppardmullin.com</w:t>
      </w:r>
    </w:p>
    <w:p>
      <w:pPr>
        <w:spacing w:after="0" w:line="138" w:lineRule="exact"/>
        <w:rPr>
          <w:rFonts w:ascii="Arial" w:cs="Arial" w:eastAsia="Arial" w:hAnsi="Arial"/>
          <w:sz w:val="18"/>
          <w:szCs w:val="18"/>
          <w:color w:val="auto"/>
        </w:rPr>
      </w:pPr>
    </w:p>
    <w:p>
      <w:pPr>
        <w:ind w:left="1960" w:hanging="332"/>
        <w:spacing w:after="0"/>
        <w:tabs>
          <w:tab w:leader="none" w:pos="1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to the TRA Party Representative,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Opal HoldCo LLC</w:t>
      </w:r>
    </w:p>
    <w:p>
      <w:pPr>
        <w:spacing w:after="0" w:line="23" w:lineRule="exact"/>
        <w:rPr>
          <w:rFonts w:ascii="Arial" w:cs="Arial" w:eastAsia="Arial" w:hAnsi="Arial"/>
          <w:sz w:val="18"/>
          <w:szCs w:val="18"/>
          <w:color w:val="auto"/>
        </w:rPr>
      </w:pPr>
    </w:p>
    <w:p>
      <w:pPr>
        <w:ind w:left="1960" w:right="6280"/>
        <w:spacing w:after="0" w:line="250" w:lineRule="auto"/>
        <w:rPr>
          <w:rFonts w:ascii="Arial" w:cs="Arial" w:eastAsia="Arial" w:hAnsi="Arial"/>
          <w:sz w:val="18"/>
          <w:szCs w:val="18"/>
          <w:color w:val="auto"/>
        </w:rPr>
      </w:pPr>
      <w:r>
        <w:rPr>
          <w:rFonts w:ascii="Arial" w:cs="Arial" w:eastAsia="Arial" w:hAnsi="Arial"/>
          <w:sz w:val="18"/>
          <w:szCs w:val="18"/>
          <w:color w:val="auto"/>
        </w:rPr>
        <w:t>One North Lexington Avenue, Suite 1450 White Plains, NY 10601</w:t>
      </w:r>
    </w:p>
    <w:p>
      <w:pPr>
        <w:ind w:left="2360"/>
        <w:spacing w:after="0"/>
        <w:rPr>
          <w:rFonts w:ascii="Arial" w:cs="Arial" w:eastAsia="Arial" w:hAnsi="Arial"/>
          <w:sz w:val="18"/>
          <w:szCs w:val="18"/>
          <w:color w:val="auto"/>
        </w:rPr>
      </w:pPr>
      <w:r>
        <w:rPr>
          <w:rFonts w:ascii="Arial" w:cs="Arial" w:eastAsia="Arial" w:hAnsi="Arial"/>
          <w:sz w:val="18"/>
          <w:szCs w:val="18"/>
          <w:color w:val="auto"/>
        </w:rPr>
        <w:t>Attention: John H. Coghlin, General Counsel</w:t>
      </w:r>
    </w:p>
    <w:p>
      <w:pPr>
        <w:spacing w:after="0" w:line="9" w:lineRule="exact"/>
        <w:rPr>
          <w:rFonts w:ascii="Arial" w:cs="Arial" w:eastAsia="Arial" w:hAnsi="Arial"/>
          <w:sz w:val="18"/>
          <w:szCs w:val="18"/>
          <w:color w:val="auto"/>
        </w:rPr>
      </w:pPr>
    </w:p>
    <w:p>
      <w:pPr>
        <w:ind w:left="2360"/>
        <w:spacing w:after="0"/>
        <w:rPr>
          <w:rFonts w:ascii="Arial" w:cs="Arial" w:eastAsia="Arial" w:hAnsi="Arial"/>
          <w:sz w:val="18"/>
          <w:szCs w:val="18"/>
          <w:color w:val="auto"/>
        </w:rPr>
      </w:pPr>
      <w:r>
        <w:rPr>
          <w:rFonts w:ascii="Arial" w:cs="Arial" w:eastAsia="Arial" w:hAnsi="Arial"/>
          <w:sz w:val="18"/>
          <w:szCs w:val="18"/>
          <w:color w:val="auto"/>
        </w:rPr>
        <w:t>Email:    jcoghlin@opalfuels.com</w:t>
      </w:r>
    </w:p>
    <w:p>
      <w:pPr>
        <w:spacing w:after="0" w:line="21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c/o Fortistar</w:t>
      </w:r>
    </w:p>
    <w:p>
      <w:pPr>
        <w:spacing w:after="0" w:line="23" w:lineRule="exact"/>
        <w:rPr>
          <w:rFonts w:ascii="Arial" w:cs="Arial" w:eastAsia="Arial" w:hAnsi="Arial"/>
          <w:sz w:val="18"/>
          <w:szCs w:val="18"/>
          <w:color w:val="auto"/>
        </w:rPr>
      </w:pPr>
    </w:p>
    <w:p>
      <w:pPr>
        <w:ind w:left="1960" w:right="6300"/>
        <w:spacing w:after="0" w:line="250" w:lineRule="auto"/>
        <w:rPr>
          <w:rFonts w:ascii="Arial" w:cs="Arial" w:eastAsia="Arial" w:hAnsi="Arial"/>
          <w:sz w:val="18"/>
          <w:szCs w:val="18"/>
          <w:color w:val="auto"/>
        </w:rPr>
      </w:pPr>
      <w:r>
        <w:rPr>
          <w:rFonts w:ascii="Arial" w:cs="Arial" w:eastAsia="Arial" w:hAnsi="Arial"/>
          <w:sz w:val="18"/>
          <w:szCs w:val="18"/>
          <w:color w:val="auto"/>
        </w:rPr>
        <w:t>One North Lexington Avenue, 14th Floor White Plains, NY 10601</w:t>
      </w:r>
    </w:p>
    <w:p>
      <w:pPr>
        <w:ind w:left="1960"/>
        <w:spacing w:after="0"/>
        <w:rPr>
          <w:rFonts w:ascii="Arial" w:cs="Arial" w:eastAsia="Arial" w:hAnsi="Arial"/>
          <w:sz w:val="18"/>
          <w:szCs w:val="18"/>
          <w:color w:val="auto"/>
        </w:rPr>
      </w:pPr>
      <w:r>
        <w:rPr>
          <w:rFonts w:ascii="Arial" w:cs="Arial" w:eastAsia="Arial" w:hAnsi="Arial"/>
          <w:sz w:val="18"/>
          <w:szCs w:val="18"/>
          <w:color w:val="auto"/>
        </w:rPr>
        <w:t>Attention: General Counsel</w:t>
      </w:r>
    </w:p>
    <w:p>
      <w:pPr>
        <w:spacing w:after="0" w:line="9" w:lineRule="exact"/>
        <w:rPr>
          <w:rFonts w:ascii="Arial" w:cs="Arial" w:eastAsia="Arial" w:hAnsi="Arial"/>
          <w:sz w:val="18"/>
          <w:szCs w:val="18"/>
          <w:color w:val="auto"/>
        </w:rPr>
      </w:pPr>
    </w:p>
    <w:p>
      <w:pPr>
        <w:ind w:left="3160" w:right="6000" w:hanging="796"/>
        <w:spacing w:after="0" w:line="323" w:lineRule="auto"/>
        <w:rPr>
          <w:rFonts w:ascii="Arial" w:cs="Arial" w:eastAsia="Arial" w:hAnsi="Arial"/>
          <w:sz w:val="18"/>
          <w:szCs w:val="18"/>
          <w:color w:val="auto"/>
        </w:rPr>
      </w:pPr>
      <w:r>
        <w:rPr>
          <w:rFonts w:ascii="Arial" w:cs="Arial" w:eastAsia="Arial" w:hAnsi="Arial"/>
          <w:sz w:val="16"/>
          <w:szCs w:val="16"/>
          <w:color w:val="auto"/>
        </w:rPr>
        <w:t>Email : noticeofficer@fortistar.com noticeofficer@opalfuels.com</w:t>
      </w:r>
    </w:p>
    <w:p>
      <w:pPr>
        <w:spacing w:after="0" w:line="138"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rFonts w:ascii="Arial" w:cs="Arial" w:eastAsia="Arial" w:hAnsi="Arial"/>
          <w:sz w:val="18"/>
          <w:szCs w:val="18"/>
          <w:color w:val="auto"/>
        </w:rPr>
      </w:pPr>
    </w:p>
    <w:p>
      <w:pPr>
        <w:ind w:left="1960" w:right="6140"/>
        <w:spacing w:after="0" w:line="258" w:lineRule="auto"/>
        <w:rPr>
          <w:rFonts w:ascii="Arial" w:cs="Arial" w:eastAsia="Arial" w:hAnsi="Arial"/>
          <w:sz w:val="18"/>
          <w:szCs w:val="18"/>
          <w:color w:val="auto"/>
        </w:rPr>
      </w:pPr>
      <w:r>
        <w:rPr>
          <w:rFonts w:ascii="Arial" w:cs="Arial" w:eastAsia="Arial" w:hAnsi="Arial"/>
          <w:sz w:val="18"/>
          <w:szCs w:val="18"/>
          <w:color w:val="auto"/>
        </w:rPr>
        <w:t>Sheppard, Mullin, Richter &amp; Hampton LLP 30 Rockefeller Plaza</w:t>
      </w:r>
    </w:p>
    <w:p>
      <w:pPr>
        <w:spacing w:after="0" w:line="1" w:lineRule="exact"/>
        <w:rPr>
          <w:rFonts w:ascii="Arial" w:cs="Arial" w:eastAsia="Arial" w:hAnsi="Arial"/>
          <w:sz w:val="18"/>
          <w:szCs w:val="18"/>
          <w:color w:val="auto"/>
        </w:rPr>
      </w:pPr>
    </w:p>
    <w:p>
      <w:pPr>
        <w:ind w:left="2360" w:right="6760" w:hanging="405"/>
        <w:spacing w:after="0" w:line="265" w:lineRule="auto"/>
        <w:rPr>
          <w:rFonts w:ascii="Arial" w:cs="Arial" w:eastAsia="Arial" w:hAnsi="Arial"/>
          <w:sz w:val="18"/>
          <w:szCs w:val="18"/>
          <w:color w:val="auto"/>
        </w:rPr>
      </w:pPr>
      <w:r>
        <w:rPr>
          <w:rFonts w:ascii="Arial" w:cs="Arial" w:eastAsia="Arial" w:hAnsi="Arial"/>
          <w:sz w:val="17"/>
          <w:szCs w:val="17"/>
          <w:color w:val="auto"/>
        </w:rPr>
        <w:t>New York, New York 10112 Attention: Andrew M. Felner</w:t>
      </w:r>
    </w:p>
    <w:p>
      <w:pPr>
        <w:ind w:left="3160"/>
        <w:spacing w:after="0"/>
        <w:rPr>
          <w:rFonts w:ascii="Arial" w:cs="Arial" w:eastAsia="Arial" w:hAnsi="Arial"/>
          <w:sz w:val="18"/>
          <w:szCs w:val="18"/>
          <w:color w:val="auto"/>
        </w:rPr>
      </w:pPr>
      <w:r>
        <w:rPr>
          <w:rFonts w:ascii="Arial" w:cs="Arial" w:eastAsia="Arial" w:hAnsi="Arial"/>
          <w:sz w:val="18"/>
          <w:szCs w:val="18"/>
          <w:color w:val="auto"/>
        </w:rPr>
        <w:t>John H. Booer</w:t>
      </w:r>
    </w:p>
    <w:p>
      <w:pPr>
        <w:spacing w:after="0" w:line="9" w:lineRule="exact"/>
        <w:rPr>
          <w:rFonts w:ascii="Arial" w:cs="Arial" w:eastAsia="Arial" w:hAnsi="Arial"/>
          <w:sz w:val="18"/>
          <w:szCs w:val="18"/>
          <w:color w:val="auto"/>
        </w:rPr>
      </w:pPr>
    </w:p>
    <w:p>
      <w:pPr>
        <w:ind w:left="3160" w:right="5860" w:hanging="796"/>
        <w:spacing w:after="0" w:line="323" w:lineRule="auto"/>
        <w:rPr>
          <w:rFonts w:ascii="Arial" w:cs="Arial" w:eastAsia="Arial" w:hAnsi="Arial"/>
          <w:sz w:val="18"/>
          <w:szCs w:val="18"/>
          <w:color w:val="auto"/>
        </w:rPr>
      </w:pPr>
      <w:r>
        <w:rPr>
          <w:rFonts w:ascii="Arial" w:cs="Arial" w:eastAsia="Arial" w:hAnsi="Arial"/>
          <w:sz w:val="16"/>
          <w:szCs w:val="16"/>
          <w:color w:val="auto"/>
        </w:rPr>
        <w:t>Email: afelner@sheppardmullin.com jbooher@ sheppardmullin.com</w:t>
      </w:r>
    </w:p>
    <w:p>
      <w:pPr>
        <w:spacing w:after="0" w:line="138" w:lineRule="exact"/>
        <w:rPr>
          <w:rFonts w:ascii="Arial" w:cs="Arial" w:eastAsia="Arial" w:hAnsi="Arial"/>
          <w:sz w:val="18"/>
          <w:szCs w:val="18"/>
          <w:color w:val="auto"/>
        </w:rPr>
      </w:pPr>
    </w:p>
    <w:p>
      <w:pPr>
        <w:ind w:left="1960" w:hanging="332"/>
        <w:spacing w:after="0"/>
        <w:tabs>
          <w:tab w:leader="none" w:pos="1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to the TRA Parties, to the address set forth in the records of OpCo from time to time.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36" w:gutter="0" w:footer="0" w:header="0"/>
        </w:sectPr>
      </w:pPr>
    </w:p>
    <w:bookmarkStart w:id="92" w:name="page93"/>
    <w:bookmarkEnd w:id="92"/>
    <w:p>
      <w:pPr>
        <w:jc w:val="both"/>
        <w:ind w:firstLine="648"/>
        <w:spacing w:after="0" w:line="279"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 and shall become effective when one or more counterparts have been signed by each of the parties hereto and delivered to the other parties hereto, it being understood that all parties hereto need not sign the same counterpart. Delivery of an executed signature page to this Agreement by facsimile transmission shall be as effective as delivery of a manually signed counterpart of this Agreement.</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Entire Agreement; Third Party Beneficiaries</w:t>
      </w:r>
      <w:r>
        <w:rPr>
          <w:rFonts w:ascii="Arial" w:cs="Arial" w:eastAsia="Arial" w:hAnsi="Arial"/>
          <w:sz w:val="17"/>
          <w:szCs w:val="17"/>
          <w:color w:val="auto"/>
        </w:rPr>
        <w:t>. This Agreement (together with all Schedules to this Agreement), the BCA (together with the Ancillary Documents), the LLC Agreement and that certain Mutual Confidentiality Agreement, dated as of May 24, 2021, by and betweenOpCo and the Corporate Taxpayer constitutes the entire agreement and supersedes all prior agreements and understandings, both written and oral, among the parties hereto with respect to the subject matter hereof. Nothing in this Agreement, express or implied, is intended to or shall confer upon any other Person any right, benefit or remedy of any nature whatsoever under or by reason of this Agreement.</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Successors; Assignment; Amendments; Waivers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6" w:lineRule="auto"/>
        <w:tabs>
          <w:tab w:leader="none" w:pos="157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Each TRA Party may assign any of its rights under this Agreement to any Person as long as such transferee has executed and delivered, or, in connection with such transfer, executes and delivers, a joinder to this Agreement, in form and substance reasonably satisfactory to the Corporate Taxpayer (the “</w:t>
      </w:r>
      <w:r>
        <w:rPr>
          <w:rFonts w:ascii="Arial" w:cs="Arial" w:eastAsia="Arial" w:hAnsi="Arial"/>
          <w:sz w:val="16"/>
          <w:szCs w:val="16"/>
          <w:u w:val="single" w:color="auto"/>
          <w:color w:val="auto"/>
        </w:rPr>
        <w:t>Joinder Requirement</w:t>
      </w:r>
      <w:r>
        <w:rPr>
          <w:rFonts w:ascii="Arial" w:cs="Arial" w:eastAsia="Arial" w:hAnsi="Arial"/>
          <w:sz w:val="16"/>
          <w:szCs w:val="16"/>
          <w:color w:val="auto"/>
        </w:rPr>
        <w:t>”), agreeing to become a TRA Party for all purposes of this Agreement. Further, in the event that any Series A Preferred Units are converted into Common Units (as defined in the Series A Preferred Certificate of Designations) pursuant to Section 6(d)(i) of that certain Certificate of Designations of Series A Preferred Units of OpCo, dated as of November 29, 2021 (the “</w:t>
      </w:r>
      <w:r>
        <w:rPr>
          <w:rFonts w:ascii="Arial" w:cs="Arial" w:eastAsia="Arial" w:hAnsi="Arial"/>
          <w:sz w:val="16"/>
          <w:szCs w:val="16"/>
          <w:u w:val="single" w:color="auto"/>
          <w:color w:val="auto"/>
        </w:rPr>
        <w:t>Series A Preferred Certificate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Designations</w:t>
      </w:r>
      <w:r>
        <w:rPr>
          <w:rFonts w:ascii="Arial" w:cs="Arial" w:eastAsia="Arial" w:hAnsi="Arial"/>
          <w:sz w:val="16"/>
          <w:szCs w:val="16"/>
          <w:color w:val="auto"/>
        </w:rPr>
        <w:t xml:space="preserve">”), the holders of such converted Series A Preferred Units may agree to become a TRA Party for all purposes of this Agreement by executing and delivering a joinder to this Agreement, in form and substance reasonably satisfactory to the Corporate Taxpayer. For the avoidance of doubt, if a TRA Party transfers Units in accordance with the terms of the LLC Agreement but does not assign to the transferee of such Units its rights under this Agreement with respect to such transferred Units, such TRA Party shall continue to be entitled to receive the Tax Benefit Payments arising in respect of a subsequent Exchange of such Units and such transferee may not enforce the provisions of this Agreement. Notwithstanding any other provision of this Agreement, an assignee of only rights to receive a Tax Benefit Payment in connection with an Exchange has no rights under this Agreement other than to enforce its right to receive a Tax Benefit Payment pursuant to this Agreement. The Corporate Taxpayer may not assign any of its rights or obligations under this Agreement to any Person (other than in connection with a Mandatory Assignment) without the prior written consent of the TRA Party Representative (not to be unreasonably withheld, conditioned or delayed). Any purported assignment in violation of the terms of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be null and void.</w:t>
      </w:r>
    </w:p>
    <w:p>
      <w:pPr>
        <w:spacing w:after="0" w:line="170" w:lineRule="exact"/>
        <w:rPr>
          <w:rFonts w:ascii="Arial" w:cs="Arial" w:eastAsia="Arial" w:hAnsi="Arial"/>
          <w:sz w:val="16"/>
          <w:szCs w:val="16"/>
          <w:color w:val="auto"/>
        </w:rPr>
      </w:pPr>
    </w:p>
    <w:p>
      <w:pPr>
        <w:jc w:val="both"/>
        <w:ind w:firstLine="1304"/>
        <w:spacing w:after="0" w:line="270" w:lineRule="auto"/>
        <w:tabs>
          <w:tab w:leader="none" w:pos="157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No provision of this Agreement may be amended unless such amendment is approved in writing by the Corporate Taxpayer (as determined by the TRA Disinterested Majority) and by the TRA Party Representative and no provision of this Agreement may be waived unless such waiver is in writing and signed by the party against whom the waiver is to be effective (or, in the case of a waiver by all TRA Parties, signed by the TRA Party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3" w:name="page94"/>
    <w:bookmarkEnd w:id="93"/>
    <w:p>
      <w:pPr>
        <w:jc w:val="both"/>
        <w:ind w:firstLine="1304"/>
        <w:spacing w:after="0" w:line="255" w:lineRule="auto"/>
        <w:tabs>
          <w:tab w:leader="none" w:pos="155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Agreement and all of the terms and provisions of this Agreement shall be binding upon, shall inure solely to the benefit of and shall be enforceable by each of the parties hereto and their respective successors, permitted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 (any such assignment, a “</w:t>
      </w:r>
      <w:r>
        <w:rPr>
          <w:rFonts w:ascii="Arial" w:cs="Arial" w:eastAsia="Arial" w:hAnsi="Arial"/>
          <w:sz w:val="18"/>
          <w:szCs w:val="18"/>
          <w:u w:val="single" w:color="auto"/>
          <w:color w:val="auto"/>
        </w:rPr>
        <w:t>Mandatory Assignment</w:t>
      </w:r>
      <w:r>
        <w:rPr>
          <w:rFonts w:ascii="Arial" w:cs="Arial" w:eastAsia="Arial" w:hAnsi="Arial"/>
          <w:sz w:val="18"/>
          <w:szCs w:val="18"/>
          <w:color w:val="auto"/>
        </w:rPr>
        <w:t>”).</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Waiver of Jury Trial, Jurisdiction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5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PARTY TO THIS AGREEMENT HEREBY IRREVOCABLY WAIVES ALL RIGHTS TO TRIAL BY JURY IN ANY PROCEEDING BROUGHT TO RESOLVE ANY DISPUTE BETWEEN OR AMONG ANY OF THE PARTIES HERETO (WHETHER ARISING IN CONTRACT, TORT OR OTHERWISE) ARISING OUT OF, CONNECTED WITH, RELATED OR INCIDENTAL TO THIS AGREEMENT, THE TRANSACTIONS CONTEMPLATED BY THIS AGREEMENT AND/OR THE RELATIONSHIPS ESTABLISHED AMONG THE PARTIES HEREUNDER. THE PARTIES HERETO FURTHER REPRESENT AND WARRANT THAT EACH HAS REVIEWED THIS WAIVER WITH ITS LEGAL COUNSEL, AND THAT EACH KNOWINGLY AND VOLUNTARILY WAIVES ITS JURY TRIAL RIGHTS FOLLOWING CONSULTATION WITH LEGAL COUNSEL.</w:t>
      </w:r>
    </w:p>
    <w:p>
      <w:pPr>
        <w:spacing w:after="0" w:line="194" w:lineRule="exact"/>
        <w:rPr>
          <w:rFonts w:ascii="Arial" w:cs="Arial" w:eastAsia="Arial" w:hAnsi="Arial"/>
          <w:sz w:val="18"/>
          <w:szCs w:val="18"/>
          <w:color w:val="auto"/>
        </w:rPr>
      </w:pPr>
    </w:p>
    <w:p>
      <w:pPr>
        <w:jc w:val="both"/>
        <w:ind w:firstLine="1304"/>
        <w:spacing w:after="0" w:line="270" w:lineRule="auto"/>
        <w:tabs>
          <w:tab w:leader="none" w:pos="156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each of the parties hereto submits to the exclusive jurisdiction of first, the Chancery Court of the State of Delaware or if such court declines jurisdiction, then to the Federal District Court for the District of Delaware, in any action, suit or proceeding arising out of or relating to this Agreement, agrees that all claims in respect of such action, suit or proceeding shall be heard and determined in any such court and agrees not to bring any action, suit or proceeding arising out of or relating to this Agreement in any other courts. Nothing in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however, shall affect the right of any party hereto to serve legal process in any other manner permitted by law or at equity. Each party hereto agrees that a final judgment in any action, suit or proceeding so brought shall be conclusive and may be enforced by suit on the judgment or in any other manner provided by law or at equity. The parties hereto hereby waive, to the fullest extent permitted by applicable law, any objection which they now or hereafter may have to personal jurisdiction or to the laying of venue of any such ancillary suit, action or proceeding brought in any court referred to in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and the parties hereto agree not to plead or claim the same.</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xml:space="preserve">. In the event that the Corporate Taxpayer and the TRA Party Representative are unable to resolve a disagreement with respect to the matters (a) governed by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(b) described in the definition of “LIBOR” within the relevant period designated in this Agreement (“</w:t>
      </w:r>
      <w:r>
        <w:rPr>
          <w:rFonts w:ascii="Arial" w:cs="Arial" w:eastAsia="Arial" w:hAnsi="Arial"/>
          <w:sz w:val="16"/>
          <w:szCs w:val="16"/>
          <w:u w:val="single" w:color="auto"/>
          <w:color w:val="auto"/>
        </w:rPr>
        <w:t>Reconciliation 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u w:val="single" w:color="auto"/>
          <w:color w:val="auto"/>
        </w:rPr>
        <w:t>Expert</w:t>
      </w:r>
      <w:r>
        <w:rPr>
          <w:rFonts w:ascii="Arial" w:cs="Arial" w:eastAsia="Arial" w:hAnsi="Arial"/>
          <w:sz w:val="16"/>
          <w:szCs w:val="16"/>
          <w:color w:val="auto"/>
        </w:rPr>
        <w:t xml:space="preserve">”) in the particular area of disagreement mutually acceptable to both the Corporate Taxpayer and the TRA Party Representative. The Expert shall be a partner or principal in a nationally recognized accounting or law firm, and unless the Corporate Taxpayer and the TRA Party Representative agree in writing otherwise, the Expert shall not, and the firm that employs the Expert shall not, have any material relationship with the Corporate Taxpayer or the TRA Party Representative or other actual or potential conflict of interest. If the Corporate Taxpayer and the TRA Party Representative are unable to agree on an Expert within 15 calendar days of receipt by the respondent(s) of written notice of a Reconciliation Dispute, the Expert shall be appointed by the International Chamber of Commerce Centre for Expertise. The Expert shall resolve any matter relating to the Basis Schedule or an amendment thereto or the Early Termination Schedule or an amendment thereto within 30 calendar days and shall resolve any matter relating to a Tax Benefit Schedule or an amendment thereto within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or amending any Tax Return shall be borne by the Corporate Taxpayer except as provided in the next sentence. The Corporate Taxpayer and the TRA Party Representative shall bear their own respective costs and expenses of such proceeding, unless (i) the Expert adopts the TRA Party Representative’s position, in which case the Corporate Taxpayer shall reimburse the TRA Party Representative for any reasonable out-of-pocket costs and expenses in such proceeding or (ii) the Expert adopts the Corporate Taxpayer’s position, in which case the TRA Party Representative shall reimburse the Corporate Taxpayer for any reasonable out-of-pocket costs and expenses in such proceeding. Any dispute as to whether a dispute is a Reconciliation Dispute within the meaning of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be decided by the Expert. The Expert shall finally determine any Reconciliation Dispute and the determinations of the Expert pursuant to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be binding on the Corporate Taxpayer and each of the TRA Parties and may be entered and enforced in any court having jurisdiction.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87"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Corporate Taxpayer shall use commercially reasonable efforts to notify and shall reasonably cooperate with the applicable TRA Party prior to the making of such deductions and withholding payments to determine whether any such deductions or withholding payments (other than any deduction or withholding required by reason of such TRA Party’s failure to comply with the last sentence of this </w:t>
      </w:r>
      <w:r>
        <w:rPr>
          <w:rFonts w:ascii="Arial" w:cs="Arial" w:eastAsia="Arial" w:hAnsi="Arial"/>
          <w:sz w:val="16"/>
          <w:szCs w:val="16"/>
          <w:u w:val="single" w:color="auto"/>
          <w:color w:val="auto"/>
        </w:rPr>
        <w:t>Section 7.10</w:t>
      </w:r>
      <w:r>
        <w:rPr>
          <w:rFonts w:ascii="Arial" w:cs="Arial" w:eastAsia="Arial" w:hAnsi="Arial"/>
          <w:sz w:val="16"/>
          <w:szCs w:val="16"/>
          <w:color w:val="auto"/>
        </w:rPr>
        <w:t>) are required under applicable law and in obtaining any available exemption or reduction of, or otherwise minimizing to the extent permitted by applicable law, such deduction and withholding.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(including IRS Form W-9 or the applicable version of IRS Form W- 8) reasonably requested by the Corporate Taxpayer in connection with determining whether any such deductions and withholdings are required under the Code or any provision of state, local or foreign tax law and shall promptly provide an update of any such Tax form or certification previously delivered if the same has become incorrect or has expired.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Admission of the Corporate Taxpayer into a Consolidated Group; Transfers of Corporate Assets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7" w:lineRule="auto"/>
        <w:tabs>
          <w:tab w:leader="none" w:pos="15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state or local Tax law, then: (i) the provisions of this Agreement shall be applied with respect to the group as a whole; and (ii) Tax Benefit Payments, Early Termination Payments and other applicable items hereunder shall be computed with reference to the consolidated, combined or unitary taxable income of the group as a whole.</w:t>
      </w:r>
    </w:p>
    <w:p>
      <w:pPr>
        <w:spacing w:after="0" w:line="187" w:lineRule="exact"/>
        <w:rPr>
          <w:rFonts w:ascii="Arial" w:cs="Arial" w:eastAsia="Arial" w:hAnsi="Arial"/>
          <w:sz w:val="18"/>
          <w:szCs w:val="18"/>
          <w:color w:val="auto"/>
        </w:rPr>
      </w:pPr>
    </w:p>
    <w:p>
      <w:pPr>
        <w:jc w:val="both"/>
        <w:ind w:firstLine="1304"/>
        <w:spacing w:after="0" w:line="268" w:lineRule="auto"/>
        <w:tabs>
          <w:tab w:leader="none" w:pos="157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If any Person the income of which is included in the income of the Corporate Taxpayer or the Corporate Taxpayer’s affiliated or consolidated group transfers one or more assets to a corporation (or a Person classified as a corporation for U.S. federal income tax purposes) with which such entity does not file a consolidated Tax Return pursuant to Section 1501 of the Code or any corresponding provisions of state or local Tax law, such Person, for purposes of calculating the amount of any Tax Benefit Payment or Early Termination Payment due hereunder, shall be treated as having disposed of such asset in a fully taxable transaction on the date of such transfer. The consideration deemed to be received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w:t>
      </w:r>
      <w:r>
        <w:rPr>
          <w:rFonts w:ascii="Arial" w:cs="Arial" w:eastAsia="Arial" w:hAnsi="Arial"/>
          <w:sz w:val="17"/>
          <w:szCs w:val="17"/>
          <w:u w:val="single" w:color="auto"/>
          <w:color w:val="auto"/>
        </w:rPr>
        <w:t>Section 7.11(b)</w:t>
      </w:r>
      <w:r>
        <w:rPr>
          <w:rFonts w:ascii="Arial" w:cs="Arial" w:eastAsia="Arial" w:hAnsi="Arial"/>
          <w:sz w:val="17"/>
          <w:szCs w:val="17"/>
          <w:color w:val="auto"/>
        </w:rPr>
        <w:t xml:space="preserve"> shall be taken into account in determining the Realized Tax Benefit or Realized Tax Detriment, as applicable, for such Taxable Year based on the income, gain or loss deemed allocated to the Corporate Taxpayer using the Non- Stepped Up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Non-Stepped Up Tax Basis), while the Actual Tax Liability of the Corporate Taxpayer would be determined by recovering the actual Tax basis of the Reference Asset that reflects any Basis Adjustments. For purposes of this </w:t>
      </w:r>
      <w:r>
        <w:rPr>
          <w:rFonts w:ascii="Arial" w:cs="Arial" w:eastAsia="Arial" w:hAnsi="Arial"/>
          <w:sz w:val="17"/>
          <w:szCs w:val="17"/>
          <w:u w:val="single" w:color="auto"/>
          <w:color w:val="auto"/>
        </w:rPr>
        <w:t>Section 7.11</w:t>
      </w:r>
      <w:r>
        <w:rPr>
          <w:rFonts w:ascii="Arial" w:cs="Arial" w:eastAsia="Arial" w:hAnsi="Arial"/>
          <w:sz w:val="17"/>
          <w:szCs w:val="17"/>
          <w:color w:val="auto"/>
        </w:rPr>
        <w:t>, a transfer of a partnership interest shall be treated as a transfer of the transferring partner’s share of each of the assets and liabilities of that partnership.</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5" w:lineRule="auto"/>
        <w:tabs>
          <w:tab w:leader="none" w:pos="155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Each TRA Party and each of their respective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members, learned by such TRA Party heretofore or hereafter.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shall not apply to (i) any information that has been made publicly available by the Corporate Taxpayer or any of its Affiliates, becomes public knowledge (except as a result of an act of a TRA Party in violation of this Agreement) or is generally known, (ii) the disclosure of information to the extent necessary for a TRA Party to assert its rights hereunder or defend itself in connection with any action or proceeding arising out of, or relating to, this Agreement, (iii) any information that was in the possession of, or becomes available to, a TRA Party from a source other than the Corporate Taxpayer, its Affiliates or its or their respective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source is not known by such TRA Party to be bound by a legal, contractual or fiduciary confidentiality obligation not to disclose such information) and (iv) the disclosure of information to the extent necessary for a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its respective assignees (and each employee, representative or other agent of such TRA Party or its assignees, as applicable) may disclose to any and all Persons the tax treatment and tax structure of the Corporate Taxpayer, OpCo and their respective Affiliates, and any of their respective transactions, and all materials of any kind (including opinions or other tax analyses) that are provided to such TRA Party relating to such tax treatment and tax structure.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1304"/>
        <w:spacing w:after="0" w:line="259" w:lineRule="auto"/>
        <w:tabs>
          <w:tab w:leader="none" w:pos="15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a TRA Party or an assignee thereof commits a breach, or threatens to commit a breach, of any of the provisions of this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the Corporate Taxpayer shall have the right and remedy to seek to have the provisions of this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specifically enforced by injunctive relief or otherwise by any court of competent jurisdiction without the need to post any bond or other security. Such rights and remedies shall be in addition to, and not in lieu of, any other rights and remedies available at law or in equity.</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United States federal income tax purposes or would have other material adverse tax consequences to such TRA Party, then at the election of such TRA Party and to the extent specified by such TRA Party, this Agreement (a) shall cease to have further effect with respect to such TRA Party, (b) shall not apply to an Exchange by such TRA Party occurring after a date specified by such TRA Party or (c) shall otherwise be amended in a manner determined by such TRA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u w:val="single" w:color="auto"/>
          <w:color w:val="auto"/>
        </w:rPr>
        <w:t>Independent Nature of TRA Parties’ Rights and Obligations</w:t>
      </w:r>
      <w:r>
        <w:rPr>
          <w:rFonts w:ascii="Arial" w:cs="Arial" w:eastAsia="Arial" w:hAnsi="Arial"/>
          <w:sz w:val="16"/>
          <w:szCs w:val="16"/>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TRA Party Representative</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Without further action of any of the Corporate Taxpayer, the TRA Party Representative or any TRA Party, and as partial consideration in respect of the benefits conferred by this Agreement, the TRA Party Representative is hereby irrevocably constituted and appointed as the TRA Party Representative, with full power of substitution, to take any and all actions and make any decisions required or permitted to be taken by the TRA Party Representative under this Agreement.</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7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If at any time the TRA Party Representative shall incur any out-of-pocket expenses in connection with the exercise of its duties hereunder, upon written notice to the Corporate Taxpayer from the TRA Party Representative of documented costs and expenses (including fees and disbursements of counsel and accountants) incurred by the TRA Party Representative in connection with the performance of its rights or obligations under this Agreement and the taking of any and all actions in connection therewith, the Corporate Taxpayer shall reduce the future payments (if any) due to the TRA Parties hereunder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by the amount of such expenses which it shall instead remit directly to the TRA Party Representative. In connection with the performance of its rights and obligations under this Agreement and the taking of any and all actions in connection therewith, the TRA Party Representative shall not be required to expend any of its own funds (though, for the avoidance of doubt, but without limiting the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7.15(b)</w:t>
      </w:r>
      <w:r>
        <w:rPr>
          <w:rFonts w:ascii="Arial" w:cs="Arial" w:eastAsia="Arial" w:hAnsi="Arial"/>
          <w:sz w:val="17"/>
          <w:szCs w:val="17"/>
          <w:color w:val="auto"/>
        </w:rPr>
        <w:t>, it may do so at any time and from time to time in its sole discretion).</w:t>
      </w:r>
    </w:p>
    <w:p>
      <w:pPr>
        <w:spacing w:after="0" w:line="178" w:lineRule="exact"/>
        <w:rPr>
          <w:rFonts w:ascii="Arial" w:cs="Arial" w:eastAsia="Arial" w:hAnsi="Arial"/>
          <w:sz w:val="17"/>
          <w:szCs w:val="17"/>
          <w:color w:val="auto"/>
        </w:rPr>
      </w:pPr>
    </w:p>
    <w:p>
      <w:pPr>
        <w:jc w:val="both"/>
        <w:ind w:firstLine="1304"/>
        <w:spacing w:after="0" w:line="268" w:lineRule="auto"/>
        <w:tabs>
          <w:tab w:leader="none" w:pos="155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The TRA Party Representative shall not be liable to any TRA Party for any act of the TRA Party Representative arising out of or in connection with the acceptance or administration of its duties under this Agreement, except to the extent any liability, loss, damage, penalty, fine, cost or expense is actually incurred by such TRA Party as a proximate result of the bad faith or willful misconduct of the TRA Party Representative (it being understood that any act done or omitted pursuant to the advice of legal counsel shall be conclusive evidence of good faith judgment). The TRA Party Representative shall not be liable for, and shall be indemnified by the TRA Parties (on a several but not joint basis) for, any liability, loss, damage, penalty or fine incurred by the TRA Party Representative (and any cost or expense incurred by the TRA Party Representative in connection therewith and herewith and not previously reimbursed pursuant to </w:t>
      </w:r>
      <w:r>
        <w:rPr>
          <w:rFonts w:ascii="Arial" w:cs="Arial" w:eastAsia="Arial" w:hAnsi="Arial"/>
          <w:sz w:val="17"/>
          <w:szCs w:val="17"/>
          <w:u w:val="single" w:color="auto"/>
          <w:color w:val="auto"/>
        </w:rPr>
        <w:t>Section 7.15(b)</w:t>
      </w:r>
      <w:r>
        <w:rPr>
          <w:rFonts w:ascii="Arial" w:cs="Arial" w:eastAsia="Arial" w:hAnsi="Arial"/>
          <w:sz w:val="17"/>
          <w:szCs w:val="17"/>
          <w:color w:val="auto"/>
        </w:rPr>
        <w:t xml:space="preserve">) arising out of or in connection with the acceptance or administration of its duties under this Agreement, and such liability, loss, damage, penalty, fine, cost or expense shall be treated as an expense subject to reimbursement pursuant to the provisions of </w:t>
      </w:r>
      <w:r>
        <w:rPr>
          <w:rFonts w:ascii="Arial" w:cs="Arial" w:eastAsia="Arial" w:hAnsi="Arial"/>
          <w:sz w:val="17"/>
          <w:szCs w:val="17"/>
          <w:u w:val="single" w:color="auto"/>
          <w:color w:val="auto"/>
        </w:rPr>
        <w:t>Section 7.15(b)</w:t>
      </w:r>
      <w:r>
        <w:rPr>
          <w:rFonts w:ascii="Arial" w:cs="Arial" w:eastAsia="Arial" w:hAnsi="Arial"/>
          <w:sz w:val="17"/>
          <w:szCs w:val="17"/>
          <w:color w:val="auto"/>
        </w:rPr>
        <w:t xml:space="preserve">, except to the extent that any such liability, loss, damage, penalty, fine, cost or expense is the proximate result of the bad faith or willful misconduct of the TRA Party Representative (it being understood that any act done or omitted pursuant to the advice of legal counsel shall be conclusive evidence of good faith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any TRA Party be obligated to indemnify the TRA Party Representative hereunder for any liability, loss, damage, penalty, fine, cost or expense to the extent (and only to the extent) that the aggregate amount of all liabilities, losses, damages, penalties, fines, costs and expenses indemnified by such TRA Party hereunder is or would be in excess of the aggregate payments under this Agreement actually remitted to such TRA Party.</w:t>
      </w:r>
    </w:p>
    <w:p>
      <w:pPr>
        <w:spacing w:after="0" w:line="184" w:lineRule="exact"/>
        <w:rPr>
          <w:rFonts w:ascii="Arial" w:cs="Arial" w:eastAsia="Arial" w:hAnsi="Arial"/>
          <w:sz w:val="17"/>
          <w:szCs w:val="17"/>
          <w:color w:val="auto"/>
        </w:rPr>
      </w:pPr>
    </w:p>
    <w:p>
      <w:pPr>
        <w:jc w:val="both"/>
        <w:ind w:firstLine="1304"/>
        <w:spacing w:after="0" w:line="257" w:lineRule="auto"/>
        <w:tabs>
          <w:tab w:leader="none" w:pos="155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7.6(b)</w:t>
      </w:r>
      <w:r>
        <w:rPr>
          <w:rFonts w:ascii="Arial" w:cs="Arial" w:eastAsia="Arial" w:hAnsi="Arial"/>
          <w:sz w:val="18"/>
          <w:szCs w:val="18"/>
          <w:color w:val="auto"/>
        </w:rPr>
        <w:t>, a decision, act, consent or instruction of the TRA Party Representative shall constitute a decision of all TRA Parties and shall be final, binding and conclusive upon each TRA Party, and the Corporate Taxpayer may rely upon any decision, act, consent or instruction of the TRA Party Representative as being the decision, act, consent or instruction of each TRA Party. The Corporate Taxpayer is hereby relieved from any liability to any Person for any acts done by the Corporate Taxpayer in accordance with any such decision, act, consent or instruction of the TRA Party Representative.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IN WITNESS WHEREOF, the parties hereto have duly executed this Agreement as of the date first written above.</w:t>
      </w:r>
    </w:p>
    <w:p>
      <w:pPr>
        <w:spacing w:after="0" w:line="233" w:lineRule="exact"/>
        <w:rPr>
          <w:sz w:val="20"/>
          <w:szCs w:val="20"/>
          <w:color w:val="auto"/>
        </w:rPr>
      </w:pPr>
    </w:p>
    <w:p>
      <w:pPr>
        <w:ind w:left="6100"/>
        <w:spacing w:after="0"/>
        <w:rPr>
          <w:sz w:val="20"/>
          <w:szCs w:val="20"/>
          <w:color w:val="auto"/>
        </w:rPr>
      </w:pPr>
      <w:r>
        <w:rPr>
          <w:rFonts w:ascii="Arial" w:cs="Arial" w:eastAsia="Arial" w:hAnsi="Arial"/>
          <w:sz w:val="18"/>
          <w:szCs w:val="18"/>
          <w:b w:val="1"/>
          <w:bCs w:val="1"/>
          <w:u w:val="single" w:color="auto"/>
          <w:color w:val="auto"/>
        </w:rPr>
        <w:t>CORPORATE TAXPAYER:</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Jonathan Maurer</w:t>
      </w:r>
    </w:p>
    <w:p>
      <w:pPr>
        <w:spacing w:after="0" w:line="36"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21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[Signature Page to Tax Receivable Agreement]</w:t>
      </w: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51" w:right="1440" w:bottom="1440" w:gutter="0" w:footer="0" w:header="0"/>
        </w:sectPr>
      </w:pPr>
    </w:p>
    <w:bookmarkStart w:id="97" w:name="page98"/>
    <w:bookmarkEnd w:id="97"/>
    <w:p>
      <w:pPr>
        <w:ind w:left="5640"/>
        <w:spacing w:after="0"/>
        <w:rPr>
          <w:sz w:val="20"/>
          <w:szCs w:val="20"/>
          <w:color w:val="auto"/>
        </w:rPr>
      </w:pPr>
      <w:r>
        <w:rPr>
          <w:rFonts w:ascii="Arial" w:cs="Arial" w:eastAsia="Arial" w:hAnsi="Arial"/>
          <w:sz w:val="18"/>
          <w:szCs w:val="18"/>
          <w:b w:val="1"/>
          <w:bCs w:val="1"/>
          <w:u w:val="single" w:color="auto"/>
          <w:color w:val="auto"/>
        </w:rPr>
        <w:t>TRA PARTY REPRESENTATIVE</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OPAL HOLDCO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By: Fortistar Renewables LLC, its Manager</w:t>
      </w:r>
    </w:p>
    <w:p>
      <w:pPr>
        <w:spacing w:after="0" w:line="252"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Scott Contino</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 Page to Tax Receivable Agreement]</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20"/>
          </w:cols>
          <w:pgMar w:left="1440" w:top="904" w:right="1439" w:bottom="1440" w:gutter="0" w:footer="0" w:header="0"/>
        </w:sectPr>
      </w:pPr>
    </w:p>
    <w:bookmarkStart w:id="98" w:name="page99"/>
    <w:bookmarkEnd w:id="98"/>
    <w:p>
      <w:pPr>
        <w:ind w:left="564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OPAL HOLDCO LLC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Fortistar Renewables LLC, its Manager</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Scott Contino</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Tax Receivable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20"/>
          </w:cols>
          <w:pgMar w:left="1440" w:top="931" w:right="1439" w:bottom="1440" w:gutter="0" w:footer="0" w:header="0"/>
        </w:sectPr>
      </w:pPr>
    </w:p>
    <w:bookmarkStart w:id="99" w:name="page100"/>
    <w:bookmarkEnd w:id="99"/>
    <w:p>
      <w:pPr>
        <w:jc w:val="right"/>
        <w:ind w:right="239"/>
        <w:spacing w:after="0"/>
        <w:rPr>
          <w:sz w:val="20"/>
          <w:szCs w:val="20"/>
          <w:color w:val="auto"/>
        </w:rPr>
      </w:pPr>
      <w:r>
        <w:rPr>
          <w:rFonts w:ascii="Arial" w:cs="Arial" w:eastAsia="Arial" w:hAnsi="Arial"/>
          <w:sz w:val="18"/>
          <w:szCs w:val="18"/>
          <w:b w:val="1"/>
          <w:bCs w:val="1"/>
          <w:color w:val="auto"/>
        </w:rPr>
        <w:t>HILLMAN RNG INVESTMENTS,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By: Hillman Power Company L.L.C., its</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Scott Contino</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Tax Receivable Agreement]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 RIGHTS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INVESTOR RIGHTS AGREEMENT (as it may be amended, supplemented or restated from time to time in accordance with the terms of this Investor Rights Agreement, the “</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dated as of July 21, 2022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by and among (i) OPAL Fuels Inc., a Delaware corporation (formerly known as ArcLight Clean Transition Corp. II, an exempted company incorporated in the Cayman Islands with limited liability) (“</w:t>
      </w:r>
      <w:r>
        <w:rPr>
          <w:rFonts w:ascii="Arial" w:cs="Arial" w:eastAsia="Arial" w:hAnsi="Arial"/>
          <w:sz w:val="17"/>
          <w:szCs w:val="17"/>
          <w:u w:val="single" w:color="auto"/>
          <w:color w:val="auto"/>
        </w:rPr>
        <w:t>PubCo</w:t>
      </w:r>
      <w:r>
        <w:rPr>
          <w:rFonts w:ascii="Arial" w:cs="Arial" w:eastAsia="Arial" w:hAnsi="Arial"/>
          <w:sz w:val="17"/>
          <w:szCs w:val="17"/>
          <w:color w:val="auto"/>
        </w:rPr>
        <w:t>”); (ii) each of the parties listed as a “Seller” on the signature pages attached hereto (each, a “</w:t>
      </w:r>
      <w:r>
        <w:rPr>
          <w:rFonts w:ascii="Arial" w:cs="Arial" w:eastAsia="Arial" w:hAnsi="Arial"/>
          <w:sz w:val="17"/>
          <w:szCs w:val="17"/>
          <w:u w:val="single" w:color="auto"/>
          <w:color w:val="auto"/>
        </w:rPr>
        <w:t>Seller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Sellers</w:t>
      </w:r>
      <w:r>
        <w:rPr>
          <w:rFonts w:ascii="Arial" w:cs="Arial" w:eastAsia="Arial" w:hAnsi="Arial"/>
          <w:sz w:val="17"/>
          <w:szCs w:val="17"/>
          <w:color w:val="auto"/>
        </w:rPr>
        <w:t>”); (iii) ArcLight CTC Holdings II, L.P., a Delaware limited partnership (the “</w:t>
      </w:r>
      <w:r>
        <w:rPr>
          <w:rFonts w:ascii="Arial" w:cs="Arial" w:eastAsia="Arial" w:hAnsi="Arial"/>
          <w:sz w:val="17"/>
          <w:szCs w:val="17"/>
          <w:u w:val="single" w:color="auto"/>
          <w:color w:val="auto"/>
        </w:rPr>
        <w:t>Sponsor</w:t>
      </w:r>
      <w:r>
        <w:rPr>
          <w:rFonts w:ascii="Arial" w:cs="Arial" w:eastAsia="Arial" w:hAnsi="Arial"/>
          <w:sz w:val="17"/>
          <w:szCs w:val="17"/>
          <w:color w:val="auto"/>
        </w:rPr>
        <w:t xml:space="preserve">”); and (iv) solely for purposes of </w:t>
      </w:r>
      <w:r>
        <w:rPr>
          <w:rFonts w:ascii="Arial" w:cs="Arial" w:eastAsia="Arial" w:hAnsi="Arial"/>
          <w:sz w:val="17"/>
          <w:szCs w:val="17"/>
          <w:u w:val="single" w:color="auto"/>
          <w:color w:val="auto"/>
        </w:rPr>
        <w:t>Article I, Section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2.15, Section 2.16(a), Section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 Arno Harris, (B) Dr. Ja-Chin Audrey Lee, (C) Brian Goncher and (D) Steven Berkenfeld (each, a “</w:t>
      </w:r>
      <w:r>
        <w:rPr>
          <w:rFonts w:ascii="Arial" w:cs="Arial" w:eastAsia="Arial" w:hAnsi="Arial"/>
          <w:sz w:val="17"/>
          <w:szCs w:val="17"/>
          <w:u w:val="single" w:color="auto"/>
          <w:color w:val="auto"/>
        </w:rPr>
        <w:t>Sponsor Principal</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Sponsor Principals</w:t>
      </w:r>
      <w:r>
        <w:rPr>
          <w:rFonts w:ascii="Arial" w:cs="Arial" w:eastAsia="Arial" w:hAnsi="Arial"/>
          <w:sz w:val="17"/>
          <w:szCs w:val="17"/>
          <w:color w:val="auto"/>
        </w:rPr>
        <w:t>” and, together with the Sponsor, the “</w:t>
      </w:r>
      <w:r>
        <w:rPr>
          <w:rFonts w:ascii="Arial" w:cs="Arial" w:eastAsia="Arial" w:hAnsi="Arial"/>
          <w:sz w:val="17"/>
          <w:szCs w:val="17"/>
          <w:u w:val="single" w:color="auto"/>
          <w:color w:val="auto"/>
        </w:rPr>
        <w:t>Founder Holders</w:t>
      </w:r>
      <w:r>
        <w:rPr>
          <w:rFonts w:ascii="Arial" w:cs="Arial" w:eastAsia="Arial" w:hAnsi="Arial"/>
          <w:sz w:val="17"/>
          <w:szCs w:val="17"/>
          <w:color w:val="auto"/>
        </w:rPr>
        <w:t>” and, each, a “</w:t>
      </w:r>
      <w:r>
        <w:rPr>
          <w:rFonts w:ascii="Arial" w:cs="Arial" w:eastAsia="Arial" w:hAnsi="Arial"/>
          <w:sz w:val="17"/>
          <w:szCs w:val="17"/>
          <w:u w:val="single" w:color="auto"/>
          <w:color w:val="auto"/>
        </w:rPr>
        <w:t>Founder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Holder</w:t>
      </w:r>
      <w:r>
        <w:rPr>
          <w:rFonts w:ascii="Arial" w:cs="Arial" w:eastAsia="Arial" w:hAnsi="Arial"/>
          <w:sz w:val="17"/>
          <w:szCs w:val="17"/>
          <w:color w:val="auto"/>
        </w:rPr>
        <w:t>”). Each of PubCo, the Sellers and each Founder Holder may be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but not otherwise defined herein shall have the respective meanings set forth in the BCA (as defined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PubCo has entered into that certain Business Combination Agreement, dated as of December 2, 2021, by and among PubCo, Opal Fuels LLC, a Delaware limited liability company (the “</w:t>
      </w:r>
      <w:r>
        <w:rPr>
          <w:rFonts w:ascii="Arial" w:cs="Arial" w:eastAsia="Arial" w:hAnsi="Arial"/>
          <w:sz w:val="17"/>
          <w:szCs w:val="17"/>
          <w:u w:val="single" w:color="auto"/>
          <w:color w:val="auto"/>
        </w:rPr>
        <w:t>Operating Company</w:t>
      </w:r>
      <w:r>
        <w:rPr>
          <w:rFonts w:ascii="Arial" w:cs="Arial" w:eastAsia="Arial" w:hAnsi="Arial"/>
          <w:sz w:val="17"/>
          <w:szCs w:val="17"/>
          <w:color w:val="auto"/>
        </w:rPr>
        <w:t>”), and Opal HoldCo LLC, a Delaware limited liability company (“</w:t>
      </w:r>
      <w:r>
        <w:rPr>
          <w:rFonts w:ascii="Arial" w:cs="Arial" w:eastAsia="Arial" w:hAnsi="Arial"/>
          <w:sz w:val="17"/>
          <w:szCs w:val="17"/>
          <w:u w:val="single" w:color="auto"/>
          <w:color w:val="auto"/>
        </w:rPr>
        <w:t>Opal</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HoldCo</w:t>
      </w:r>
      <w:r>
        <w:rPr>
          <w:rFonts w:ascii="Arial" w:cs="Arial" w:eastAsia="Arial" w:hAnsi="Arial"/>
          <w:sz w:val="17"/>
          <w:szCs w:val="17"/>
          <w:color w:val="auto"/>
        </w:rPr>
        <w:t>”) (as may be amended, restated, amended and restated, modified or supplemented from time to time in accordance with the terms of such agreement, the “</w:t>
      </w:r>
      <w:r>
        <w:rPr>
          <w:rFonts w:ascii="Arial" w:cs="Arial" w:eastAsia="Arial" w:hAnsi="Arial"/>
          <w:sz w:val="17"/>
          <w:szCs w:val="17"/>
          <w:u w:val="single" w:color="auto"/>
          <w:color w:val="auto"/>
        </w:rPr>
        <w:t>BCA</w:t>
      </w:r>
      <w:r>
        <w:rPr>
          <w:rFonts w:ascii="Arial" w:cs="Arial" w:eastAsia="Arial" w:hAnsi="Arial"/>
          <w:sz w:val="17"/>
          <w:szCs w:val="17"/>
          <w:color w:val="auto"/>
        </w:rPr>
        <w:t>”), in connection with the business combination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set forth in the BCA;</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WHEREAS, pursuant to the BCA, at the Closing, (i) PubCo has contributed the Closing Date Contribution Amount, the Closing Date Equity Contribution and the Deferred Contribution Commitment to the Operating Company (collectively, the “</w:t>
      </w:r>
      <w:r>
        <w:rPr>
          <w:rFonts w:ascii="Arial" w:cs="Arial" w:eastAsia="Arial" w:hAnsi="Arial"/>
          <w:sz w:val="17"/>
          <w:szCs w:val="17"/>
          <w:u w:val="single" w:color="auto"/>
          <w:color w:val="auto"/>
        </w:rPr>
        <w:t>Contribution</w:t>
      </w:r>
      <w:r>
        <w:rPr>
          <w:rFonts w:ascii="Arial" w:cs="Arial" w:eastAsia="Arial" w:hAnsi="Arial"/>
          <w:sz w:val="17"/>
          <w:szCs w:val="17"/>
          <w:color w:val="auto"/>
        </w:rPr>
        <w:t>”) and, in exchange therefor, the Operating Company has issued to PubCo a number of Class A Units (as defined below) determined pursuant to the BCA and (ii) in connection with the Contribution and issuance described above, the Post-Closing Company Members have entered into that certain Second Amended and Restated Limited Liability Company Agreement of the Operating Company (the “</w:t>
      </w:r>
      <w:r>
        <w:rPr>
          <w:rFonts w:ascii="Arial" w:cs="Arial" w:eastAsia="Arial" w:hAnsi="Arial"/>
          <w:sz w:val="17"/>
          <w:szCs w:val="17"/>
          <w:u w:val="single" w:color="auto"/>
          <w:color w:val="auto"/>
        </w:rPr>
        <w:t>Opco LLC Agreement</w:t>
      </w:r>
      <w:r>
        <w:rPr>
          <w:rFonts w:ascii="Arial" w:cs="Arial" w:eastAsia="Arial" w:hAnsi="Arial"/>
          <w:sz w:val="17"/>
          <w:szCs w:val="17"/>
          <w:color w:val="auto"/>
        </w:rPr>
        <w:t>”), to, among other things, recapitalize the Pre-Closing Company Units such that, from and after the Closing, the Equity Securities (as defined below) of the Operating Company consist of the Opal Units (as defined below), with the applicable rights, preferences and obligations set forth in the Opco LLC Agreement;</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each of the Sellers has the right to exchange its respective Class B Units (as defined below), and cancel an equal number of its respective (i) shares of Class B Common Stock (as defined below) for shares of Class A Common Stock (as defined below) or (ii) shares of Class D Common Stock (as defined below) for shares of Class C Common Stock (as defined below), in each case, in the manner set forth in, and pursuant to the terms and conditions of, the Opco LLC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each of the Earnout Participants has the right to exchange its respective Class B Units that will be earned by such Earnout Participant pursuant to the BCA upon satisfaction of the conditions set forth in the BCA, and cancel an equal number of shares of Class B Common Stock and Class D Common Stock, as applicable, for shares of Class A Common Stock (collectively, the “</w:t>
      </w:r>
      <w:r>
        <w:rPr>
          <w:rFonts w:ascii="Arial" w:cs="Arial" w:eastAsia="Arial" w:hAnsi="Arial"/>
          <w:sz w:val="18"/>
          <w:szCs w:val="18"/>
          <w:u w:val="single" w:color="auto"/>
          <w:color w:val="auto"/>
        </w:rPr>
        <w:t>Exchanged Earnout Shares</w:t>
      </w:r>
      <w:r>
        <w:rPr>
          <w:rFonts w:ascii="Arial" w:cs="Arial" w:eastAsia="Arial" w:hAnsi="Arial"/>
          <w:sz w:val="18"/>
          <w:szCs w:val="18"/>
          <w:color w:val="auto"/>
        </w:rPr>
        <w:t>”) in the manner set forth in, and pursuant to the terms and conditions of, the Opco LLC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PubCo, the Sponsor and the Sponsor Principals entered into that certain Registration and Shareholder Rights Agreement, dated as of March 25, 2021 (the “</w:t>
      </w:r>
      <w:r>
        <w:rPr>
          <w:rFonts w:ascii="Arial" w:cs="Arial" w:eastAsia="Arial" w:hAnsi="Arial"/>
          <w:sz w:val="18"/>
          <w:szCs w:val="18"/>
          <w:u w:val="single" w:color="auto"/>
          <w:color w:val="auto"/>
        </w:rPr>
        <w:t>Original RRA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 connection with the execution of this Investor Rights Agreement, PubCo, the Sponsor and the Sponsor Principals desire to terminate the Original RRA and replace it with this Investor Rights Agreement; and WHEREAS, on the Effective Date, the Parties desire to set forth their agreement with respect to registration rights and certain other matters, in each case, in accordance with the terms and conditions of this Investor Rights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mutual covenants and agreements contained in this Investor Rights Agreement, and other good and valuable consideration, the receipt and sufficiency of which are hereby acknowledged, and intending to be legally bound,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510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Investor Rights Agreement, the following terms shall have the following meanings: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Disclosure</w:t>
      </w:r>
      <w:r>
        <w:rPr>
          <w:rFonts w:ascii="Arial" w:cs="Arial" w:eastAsia="Arial" w:hAnsi="Arial"/>
          <w:sz w:val="18"/>
          <w:szCs w:val="18"/>
          <w:color w:val="auto"/>
        </w:rPr>
        <w:t xml:space="preserve">” means any public disclosure of material non-public information, which disclosure, in the good faith determination of the Board, after consultation with counsel to PubCo, (a)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and (c) PubCo has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business purpose for not making such information public.</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of any particular Person means any other Person controlling, controlled by or under common control with such Person, where “control” means the possession, directly or indirectly, of the power to direct the management and policies of a Person whether through the ownership of voting securities, its capacity as a sole or managing member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Party shall be deemed an Affiliate of PubCo or any of its Subsidiaries for purposes of this Investor Rights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Automatic Shelf Registration Statement</w:t>
      </w:r>
      <w:r>
        <w:rPr>
          <w:rFonts w:ascii="Arial" w:cs="Arial" w:eastAsia="Arial" w:hAnsi="Arial"/>
          <w:sz w:val="17"/>
          <w:szCs w:val="17"/>
          <w:color w:val="auto"/>
        </w:rPr>
        <w:t>” has the meaning set forth in Rule 405 promulgated by the SEC pursuant to the Securities Act.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BCA</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are open for the general transaction of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means the “Post-Closing ACT Bylaws” as defined in the BCA, as the same may be amended or amended and restated from time to time.</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“Post-Closing ACT Certificate of Incorporation” as defined in the BCA, as the same may be amended or amended and restated from time to time.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means the shares of Class A common stock, par value $0.0001 per share, of PubCo, including (a) any shares of such Class A common stock issuable upon the exercise of any warrant or other right to acquire shares of such Class A common stock and (b) any Equity Securities of PubCo that are issued or distributed or may be issuable with respect to such Class A common stock by way of conversion, dividend, stock split or other distribution, consolidation, merger, exchange, reclassification, recapitalization or other similar transaction.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Units</w:t>
      </w:r>
      <w:r>
        <w:rPr>
          <w:rFonts w:ascii="Arial" w:cs="Arial" w:eastAsia="Arial" w:hAnsi="Arial"/>
          <w:sz w:val="18"/>
          <w:szCs w:val="18"/>
          <w:color w:val="auto"/>
        </w:rPr>
        <w:t>” means the “Class A Units” as defined in the Opco LLC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means the shares of Class B common stock, par value $0.0001 per share, of PubCo, including (a) any shares of such Class B common stock issuable upon the exercise of any warrant or other right to acquire shares of such Class B common stock and (b) any Equity Securities of PubCo that are issued or distributed or may be issuable with respect to such Class B common stock by way of conversion, dividend, stock split or other distribution, consolidation, merger, exchange, reclassification, recapitalization or other similar transaction.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means the “Class B Units” as defined in the Opco LLC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Common Stock</w:t>
      </w:r>
      <w:r>
        <w:rPr>
          <w:rFonts w:ascii="Arial" w:cs="Arial" w:eastAsia="Arial" w:hAnsi="Arial"/>
          <w:sz w:val="17"/>
          <w:szCs w:val="17"/>
          <w:color w:val="auto"/>
        </w:rPr>
        <w:t>” means the shares of Class C common stock, par value $0.0001 per share, of PubCo, including (a) any shares of such Class C common stock issuable upon the exercise of any warrant or other right to acquire shares of such Class C common stock and (b) any Equity Securities of PubCo that are issued or distributed or may be issuable with respect to such Class C common stock by way of conversion, dividend, stock split or other distribution, consolidation, merger, exchange, reclassification, recapitalization or other similar transaction.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Common Stock</w:t>
      </w:r>
      <w:r>
        <w:rPr>
          <w:rFonts w:ascii="Arial" w:cs="Arial" w:eastAsia="Arial" w:hAnsi="Arial"/>
          <w:sz w:val="17"/>
          <w:szCs w:val="17"/>
          <w:color w:val="auto"/>
        </w:rPr>
        <w:t>” means the shares of Class D common stock, par value $0.0001 per share, of PubCo, including (a) any shares of such Class D common stock issuable upon the exercise of any warrant or other right to acquire shares of such Class D common stock and (b) any Equity Securities of PubCo that are issued or distributed or may be issuable with respect to such Class D common stock by way of conversion, dividend, stock split or other distribution, consolidation, merger, exchange, reclassification, recapitalization or other similar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the Class B Common Stock, the Class C Common Stock and the Class D Common Stock, including any shares of the Class A Common Stock, the Class B Common Stock, the Class C Common Stock and the Class D Common Stock issuable upon the exercise of any warrant or other right to acquire shares of the Class A Common Stock, the Class B Common Stock, the Class C Common Stock and the Class D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confidential, non-public information about PubCo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means, as to any Person, (a) any corporation more than fifty percent (50%) of the outstanding voting stock of which is owned by such Person or such Person’s Family Members or Affiliates, (b) any trust, whether or not revocable, of which such Person or such Person’s Family Members or Affiliates are the sole beneficiaries, (c) any partnership of which such Person or an Affiliate of such Person is the managing partner or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or in which such Person or such Person’s Family Members or Affiliates hold membership interests representing at least fifty percent (50%) of such limited liability company’s capital and profits.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 share capital, capital stock, partnership, membership, joint venture or similar interest in any Person (including any stock appreciation, phantom stock, restricted stock, restricted stock unit, performance share,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any successor thereto, as the same shall be in effect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Exchanged Earnout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with respect to any Person, such Person’s spouse, ancestors, descendants (whether by blood, marriage or adoption) or spouse of a descendant of such Person, brothers and sisters (whether by blood, marriage or adoption) and inter vivos or testamentary trusts of which only such Person and his or her spouse, ancestors, descendants (whether by blood, marriage or adoption), brothers and sisters (whether by blood, marriage or adoption) are beneficiaries.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 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 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means any holder of Registrable Securities who is a Party to, or who succeeds to rights under, this Investor Rights Agreement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Takedown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Necessary Action</w:t>
      </w:r>
      <w:r>
        <w:rPr>
          <w:rFonts w:ascii="Arial" w:cs="Arial" w:eastAsia="Arial" w:hAnsi="Arial"/>
          <w:sz w:val="17"/>
          <w:szCs w:val="17"/>
          <w:color w:val="auto"/>
        </w:rPr>
        <w:t>” means, with respect to any Party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PubCo’s directors may have in such capacity) necessary to cause such result, including (a) calling special meetings of stockholders, (b) voting or providing a written consent or proxy, if applicable in each case, with respect to shares of Common Stock, (c) causing the adoption of stockholders’ resolutions and amendments to the Organizational Documents, (d) executing agreements and instruments, (e) making, or causing to be made, with Governmental Entities, all filings, registrations or similar actions that are required to achieve such result, and (f) nominating certain Persons for election to the Board in connection with the annual or special meeting of stockholders of PubCo.</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NextEra Subscription Agreement</w:t>
      </w:r>
      <w:r>
        <w:rPr>
          <w:rFonts w:ascii="Arial" w:cs="Arial" w:eastAsia="Arial" w:hAnsi="Arial"/>
          <w:sz w:val="18"/>
          <w:szCs w:val="18"/>
          <w:color w:val="auto"/>
        </w:rPr>
        <w:t>” that certain Subscription Agreement, dated as of November 29, 2021, by and between Operating Company and Mendocino Capital, LLC, a Delaware limited liability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HoldCo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Units</w:t>
      </w:r>
      <w:r>
        <w:rPr>
          <w:rFonts w:ascii="Arial" w:cs="Arial" w:eastAsia="Arial" w:hAnsi="Arial"/>
          <w:sz w:val="18"/>
          <w:szCs w:val="18"/>
          <w:color w:val="auto"/>
        </w:rPr>
        <w:t>” means, collectively, the Class A Units and the Class B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LLC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Certificate of Incorporation and the Bylaws.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RRA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with respect to any Person, (a) any Family Member of such Person, (b) any Affiliate of such Person, (c) any Affiliate of any Family Member of such Person (excluding any Affiliate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who operates or engages in a business which competes with the business of PubCo or the Operating Company or any of their respective Subsidiaries), (d) with respect to any Founder Holder, any officer, director, employee, partner, shareholder, member or other equity holder of such Founder Holder or its Affiliates and (e) any Controlled Entity of such Person.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any Registration Statement, all amendments (including post-effective amendments) and supplements to such prospectus, and all material incorporated by reference in such prospectus.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at any time (a) any shares of Class A Common Stock (including, without limitation, Class A Common Stock (i) issuable pursuant to the Certificate of Incorporation and the Opco LLC Agreement upon an exchange of Class B Units and the corresponding cancellation of an equal number of shares of Class B Common Stock in exchange for shares of Class A Common Stock, (ii) that comprise Exchanged Earnout Shares (whether or not earned as of such date), (iii) issuable upon conversion or exchange of shares of Class C Common Stock, (iv) any shares of Class A Common Stock issued pursuant to the BCA or (v) held by the Founder Holders or Sellers), and (b) any Equity Securities of PubCo or any Subsidiary of PubCo that may be issued or distributed or be issuable with respect to the securities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by way of conversion, dividend, stock split or other distribution, merger, consolidation, exchange, recapitalization or reclassification or similar transaction, in each case held by a Holder, other than any security received pursuant to an incentive plan adopted by PubCo on or after the Closing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w:t>
      </w:r>
    </w:p>
    <w:p>
      <w:pPr>
        <w:spacing w:after="0" w:line="172" w:lineRule="exact"/>
        <w:rPr>
          <w:sz w:val="20"/>
          <w:szCs w:val="20"/>
          <w:color w:val="auto"/>
        </w:rPr>
      </w:pPr>
    </w:p>
    <w:p>
      <w:pPr>
        <w:ind w:left="300" w:hanging="292"/>
        <w:spacing w:after="0"/>
        <w:tabs>
          <w:tab w:leader="none" w:pos="3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such Registrable Securities have been sold to, or through, a broker, dealer or underwriter in a public distribution or other public securities transaction,</w:t>
      </w:r>
    </w:p>
    <w:p>
      <w:pPr>
        <w:spacing w:after="0" w:line="46" w:lineRule="exact"/>
        <w:rPr>
          <w:rFonts w:ascii="Arial" w:cs="Arial" w:eastAsia="Arial" w:hAnsi="Arial"/>
          <w:sz w:val="16"/>
          <w:szCs w:val="16"/>
          <w:color w:val="auto"/>
        </w:rPr>
      </w:pPr>
    </w:p>
    <w:p>
      <w:pPr>
        <w:jc w:val="both"/>
        <w:ind w:firstLine="8"/>
        <w:spacing w:after="0" w:line="251" w:lineRule="auto"/>
        <w:tabs>
          <w:tab w:leader="none" w:pos="31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such Registrable Security is disposed of under SEC Rule 144 under the Securities Act or any other public sale pursuant to an exemption from the registration requirements of the Securities Act as a result of which the legend on any certificate or book-entry notation representing such Registrable Security restricting transfer of such Registrable Security has been removed or (E) for purposes of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the Holder thereof, together with its, his or her Permitted Transferees, Beneficially Owns less than one percent (1%) of the shares of Class A Common Stock that are outstanding at such time. For purposes of this Agreement, a Person shall be deemed to be a holder of shares of Class A Common Stock and such shares of Class A Common Stock shall be deemed to be in existence whenever such Person has the right to acquire such shares of Class A Common Stock (upon conversion, exchange or exercise in connection with a transfer of securities or otherwise, but disregarding any restrictions or limitations upon the exercise of such right other than vesting), whether or not such acquisition has actually been effected, and such Person shall be entitled to exercise the rights of a holder of shares of Class A Common Stock.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w:t>
      </w:r>
      <w:r>
        <w:rPr>
          <w:rFonts w:ascii="Arial" w:cs="Arial" w:eastAsia="Arial" w:hAnsi="Arial"/>
          <w:sz w:val="17"/>
          <w:szCs w:val="17"/>
          <w:color w:val="auto"/>
        </w:rPr>
        <w:t>” means a registration, including any related Shelf Takedown, effected by preparing and filing a registration statement, prospectus or similar document in compliance with the requirements of the Securities Act, and such registration statement becoming effective.</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means the expenses of a Registration or other Transfer pursuant to the terms of this Investor Rights Agreement, including the following:</w:t>
      </w:r>
    </w:p>
    <w:p>
      <w:pPr>
        <w:spacing w:after="0" w:line="170" w:lineRule="exact"/>
        <w:rPr>
          <w:sz w:val="20"/>
          <w:szCs w:val="20"/>
          <w:color w:val="auto"/>
        </w:rPr>
      </w:pPr>
    </w:p>
    <w:p>
      <w:pPr>
        <w:ind w:left="1540" w:hanging="236"/>
        <w:spacing w:after="0"/>
        <w:tabs>
          <w:tab w:leader="none" w:pos="1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all SEC or securities exchange registration and filing fees (including fees with respect to filings required to be made with FINRA);</w:t>
      </w:r>
    </w:p>
    <w:p>
      <w:pPr>
        <w:spacing w:after="0" w:line="236" w:lineRule="exact"/>
        <w:rPr>
          <w:rFonts w:ascii="Arial" w:cs="Arial" w:eastAsia="Arial" w:hAnsi="Arial"/>
          <w:sz w:val="17"/>
          <w:szCs w:val="17"/>
          <w:color w:val="auto"/>
        </w:rPr>
      </w:pPr>
    </w:p>
    <w:p>
      <w:pPr>
        <w:ind w:firstLine="1304"/>
        <w:spacing w:after="0" w:line="277" w:lineRule="auto"/>
        <w:tabs>
          <w:tab w:leader="none" w:pos="159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fees and expenses of compliance with securities or blue sky Laws (including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printing, messenger, telephone and delivery expenses;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fees and disbursements of counsel for PubCo;</w:t>
      </w:r>
    </w:p>
    <w:p>
      <w:pPr>
        <w:spacing w:after="0" w:line="225" w:lineRule="exact"/>
        <w:rPr>
          <w:rFonts w:ascii="Arial" w:cs="Arial" w:eastAsia="Arial" w:hAnsi="Arial"/>
          <w:sz w:val="18"/>
          <w:szCs w:val="18"/>
          <w:color w:val="auto"/>
        </w:rPr>
      </w:pPr>
    </w:p>
    <w:p>
      <w:pPr>
        <w:ind w:firstLine="1304"/>
        <w:spacing w:after="0" w:line="308" w:lineRule="auto"/>
        <w:tabs>
          <w:tab w:leader="none" w:pos="154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all fees and disbursements of all independent registered public accountants of PubCo incurred in connection with such Registration or Transfer, including the expenses of any special audits and/or comfort letters required or incident to such performance and compliance;</w:t>
      </w:r>
    </w:p>
    <w:p>
      <w:pPr>
        <w:spacing w:after="0" w:line="146" w:lineRule="exact"/>
        <w:rPr>
          <w:rFonts w:ascii="Arial" w:cs="Arial" w:eastAsia="Arial" w:hAnsi="Arial"/>
          <w:sz w:val="17"/>
          <w:szCs w:val="17"/>
          <w:color w:val="auto"/>
        </w:rPr>
      </w:pPr>
    </w:p>
    <w:p>
      <w:pPr>
        <w:ind w:firstLine="1304"/>
        <w:spacing w:after="0" w:line="277" w:lineRule="auto"/>
        <w:tabs>
          <w:tab w:leader="none" w:pos="15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reasonable out-of-pocket fees and expenses of one (1) legal counsel selected by the majority-in-interest of the Holders participating in such Registration or Transfer; and</w:t>
      </w:r>
    </w:p>
    <w:p>
      <w:pPr>
        <w:spacing w:after="0" w:line="170" w:lineRule="exact"/>
        <w:rPr>
          <w:rFonts w:ascii="Arial" w:cs="Arial" w:eastAsia="Arial" w:hAnsi="Arial"/>
          <w:sz w:val="18"/>
          <w:szCs w:val="18"/>
          <w:color w:val="auto"/>
        </w:rPr>
      </w:pPr>
    </w:p>
    <w:p>
      <w:pPr>
        <w:ind w:firstLine="1304"/>
        <w:spacing w:after="0" w:line="277" w:lineRule="auto"/>
        <w:tabs>
          <w:tab w:leader="none" w:pos="155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costs and expenses of PubCo relating to analyst and investor presentations or any “road show” undertaken in connection with the Registration and/or marketing of the Registrable Securities (including the expenses of the Holders).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that covers the Registrable Securities pursuant to the provisions of this Investor Rights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any of such Person’s officers, directors, managers, members, equityholders, employees, agents, attorneys, accountants, actuaries, consultants, financial advisors or other Person acting on behalf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Requesting Holder</w:t>
      </w:r>
      <w:r>
        <w:rPr>
          <w:rFonts w:ascii="Arial" w:cs="Arial" w:eastAsia="Arial" w:hAnsi="Arial"/>
          <w:sz w:val="17"/>
          <w:szCs w:val="17"/>
          <w:color w:val="auto"/>
        </w:rPr>
        <w:t xml:space="preserve">” means any Holder requesting piggyback rights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with respect to an Underwritten Shelf Takedown.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any successor thereto, as the same shall be in effect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means a registration of securities pursuant to a Registration Statement filed with the SEC in accordance with and pursuant to Rule 415 promulgated under the Securities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means an Underwritten Shelf Takedown or any proposed transfer or sale using a Registration Statement, including a Piggyback Registration.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w:t>
      </w:r>
      <w:r>
        <w:rPr>
          <w:rFonts w:ascii="Arial" w:cs="Arial" w:eastAsia="Arial" w:hAnsi="Arial"/>
          <w:sz w:val="18"/>
          <w:szCs w:val="18"/>
          <w:color w:val="auto"/>
        </w:rPr>
        <w:t>” means that certain Letter Agreement, dated as of March 25, 2021, by and among PubCo, the Founder Holders and the other parties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Principal</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Shelf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means, when used as a noun, any voluntary or involuntary transfer, sale, pledge or hypothecation or other disposition by the Transferor (whether by operation of law or otherwise) and, when used as a verb, the Transferor voluntarily or involuntarily transfers, sells, pledges or hypothecates or otherwise disposes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w:t>
      </w:r>
    </w:p>
    <w:p>
      <w:pPr>
        <w:spacing w:after="0" w:line="1" w:lineRule="exact"/>
        <w:rPr>
          <w:sz w:val="20"/>
          <w:szCs w:val="20"/>
          <w:color w:val="auto"/>
        </w:rPr>
      </w:pPr>
    </w:p>
    <w:p>
      <w:pPr>
        <w:jc w:val="both"/>
        <w:ind w:firstLine="8"/>
        <w:spacing w:after="0" w:line="255" w:lineRule="auto"/>
        <w:tabs>
          <w:tab w:leader="none" w:pos="2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entry into any swap or other arrangement that transfers to another Person, in whole or in part, any of the economic consequences of ownership of any security, whether any such transaction is to be settled by delivery of such securities, in cash or otherwise. The terms “Transferee,” “Transferor,” “Transferred,” and other forms of the word “Transfer” shall have the correlative meanings.</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any investment banker(s) and manager(s) appointed to administer the offering of any Registrable Securities as principal in an Underwritten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Underwritten Offering</w:t>
      </w:r>
      <w:r>
        <w:rPr>
          <w:rFonts w:ascii="Arial" w:cs="Arial" w:eastAsia="Arial" w:hAnsi="Arial"/>
          <w:sz w:val="17"/>
          <w:szCs w:val="17"/>
          <w:color w:val="auto"/>
        </w:rPr>
        <w:t>” means a Registration in which Equity Securities of PubCo are sold to an Underwriter for distribution to the public.</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Well-Known Seasoned Issuer</w:t>
      </w:r>
      <w:r>
        <w:rPr>
          <w:rFonts w:ascii="Arial" w:cs="Arial" w:eastAsia="Arial" w:hAnsi="Arial"/>
          <w:sz w:val="18"/>
          <w:szCs w:val="18"/>
          <w:color w:val="auto"/>
        </w:rPr>
        <w:t>” has the meaning set forth in Rule 405 promulgated by the SEC pursuant to the Securities Act.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outstanding warrants, each exercisable into one (1) share of Class A Common Stock, to purchase an aggregate of 9,223,261 shares of Class A Common Stock, which were issued to the Sponsor pursuant to that certain Private Placement Warrant Purchase Agreement, dated March 25, 2021, by and among the Sponsor and PubCo.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Interpretive Provisions</w:t>
      </w:r>
      <w:r>
        <w:rPr>
          <w:rFonts w:ascii="Arial" w:cs="Arial" w:eastAsia="Arial" w:hAnsi="Arial"/>
          <w:sz w:val="18"/>
          <w:szCs w:val="18"/>
          <w:color w:val="auto"/>
        </w:rPr>
        <w:t>. For all purposes of this Investor Rights Agreement, except as otherwise provided in this Investor Rights Agreement or unless the context otherwise requires:</w:t>
      </w:r>
    </w:p>
    <w:p>
      <w:pPr>
        <w:spacing w:after="0" w:line="170" w:lineRule="exact"/>
        <w:rPr>
          <w:sz w:val="20"/>
          <w:szCs w:val="20"/>
          <w:color w:val="auto"/>
        </w:rPr>
      </w:pPr>
    </w:p>
    <w:p>
      <w:pPr>
        <w:ind w:left="1540" w:hanging="236"/>
        <w:spacing w:after="0"/>
        <w:tabs>
          <w:tab w:leader="none" w:pos="15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singular shall include the plural, and the plural shall include the singular, unless the context clearly prohibits that construction;</w:t>
      </w:r>
    </w:p>
    <w:p>
      <w:pPr>
        <w:spacing w:after="0" w:line="236" w:lineRule="exact"/>
        <w:rPr>
          <w:rFonts w:ascii="Arial" w:cs="Arial" w:eastAsia="Arial" w:hAnsi="Arial"/>
          <w:sz w:val="17"/>
          <w:szCs w:val="17"/>
          <w:color w:val="auto"/>
        </w:rPr>
      </w:pPr>
    </w:p>
    <w:p>
      <w:pPr>
        <w:ind w:firstLine="1304"/>
        <w:spacing w:after="0" w:line="277" w:lineRule="auto"/>
        <w:tabs>
          <w:tab w:leader="none" w:pos="15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words “hereof,” “herein,” “hereunder” and words of similar import, when used in this Investor Rights Agreement, refer to this Investor Rights Agreement as a whole and not to any particular provision of this Investor Rights Agreement;</w:t>
      </w:r>
    </w:p>
    <w:p>
      <w:pPr>
        <w:spacing w:after="0" w:line="170" w:lineRule="exact"/>
        <w:rPr>
          <w:rFonts w:ascii="Arial" w:cs="Arial" w:eastAsia="Arial" w:hAnsi="Arial"/>
          <w:sz w:val="18"/>
          <w:szCs w:val="18"/>
          <w:color w:val="auto"/>
        </w:rPr>
      </w:pPr>
    </w:p>
    <w:p>
      <w:pPr>
        <w:ind w:firstLine="1304"/>
        <w:spacing w:after="0" w:line="277" w:lineRule="auto"/>
        <w:tabs>
          <w:tab w:leader="none" w:pos="156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references in this Investor Rights Agreement to any Law shall be deemed also to refer to such Law, and all rules and regulations promulgated thereunder;</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whenever the words “include,” “includes” or “including” are used in this Investor Rights Agreement, they shall mean “without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limitation;”</w:t>
      </w:r>
    </w:p>
    <w:p>
      <w:pPr>
        <w:spacing w:after="0" w:line="210" w:lineRule="exact"/>
        <w:rPr>
          <w:rFonts w:ascii="Arial" w:cs="Arial" w:eastAsia="Arial" w:hAnsi="Arial"/>
          <w:sz w:val="17"/>
          <w:szCs w:val="17"/>
          <w:color w:val="auto"/>
        </w:rPr>
      </w:pPr>
    </w:p>
    <w:p>
      <w:pPr>
        <w:ind w:firstLine="1304"/>
        <w:spacing w:after="0" w:line="277" w:lineRule="auto"/>
        <w:tabs>
          <w:tab w:leader="none" w:pos="158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captions and headings of this Investor Rights Agreement are for convenience of reference only and shall not affect the interpretation of this Investor Rights Agreement;</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pronouns of any gender or neuter shall include, as appropriate, the other pronoun forms;</w:t>
      </w:r>
    </w:p>
    <w:p>
      <w:pPr>
        <w:spacing w:after="0" w:line="225" w:lineRule="exact"/>
        <w:rPr>
          <w:rFonts w:ascii="Arial" w:cs="Arial" w:eastAsia="Arial" w:hAnsi="Arial"/>
          <w:sz w:val="18"/>
          <w:szCs w:val="18"/>
          <w:color w:val="auto"/>
        </w:rPr>
      </w:pPr>
    </w:p>
    <w:p>
      <w:pPr>
        <w:ind w:firstLine="1304"/>
        <w:spacing w:after="0" w:line="277" w:lineRule="auto"/>
        <w:tabs>
          <w:tab w:leader="none" w:pos="156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word “or” shall be construed to mean “and/or” and the words “neither,” “nor,” “any,” “either” and “or” shall not be exclusive, unless the context clearly prohibits that construction;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phrase “to the extent” shall be construed to mean “the degree by which.”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left="51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6" w:lineRule="auto"/>
        <w:tabs>
          <w:tab w:leader="none" w:pos="154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Filing</w:t>
      </w:r>
      <w:r>
        <w:rPr>
          <w:rFonts w:ascii="Arial" w:cs="Arial" w:eastAsia="Arial" w:hAnsi="Arial"/>
          <w:sz w:val="16"/>
          <w:szCs w:val="16"/>
          <w:color w:val="auto"/>
        </w:rPr>
        <w:t>. PubCo shall file, within twenty (20) days of the Closing Date or such other earlier date as it is required in accordance with any PIPE Subscription Agreement, a Registration Statement for a Shelf Registration on Form S-3 (the “</w:t>
      </w:r>
      <w:r>
        <w:rPr>
          <w:rFonts w:ascii="Arial" w:cs="Arial" w:eastAsia="Arial" w:hAnsi="Arial"/>
          <w:sz w:val="16"/>
          <w:szCs w:val="16"/>
          <w:u w:val="single" w:color="auto"/>
          <w:color w:val="auto"/>
        </w:rPr>
        <w:t>Form S-3 Shelf</w:t>
      </w:r>
      <w:r>
        <w:rPr>
          <w:rFonts w:ascii="Arial" w:cs="Arial" w:eastAsia="Arial" w:hAnsi="Arial"/>
          <w:sz w:val="16"/>
          <w:szCs w:val="16"/>
          <w:color w:val="auto"/>
        </w:rPr>
        <w:t>”), or if PubCo is ineligible to use a Form S-3 Shelf, a Registration Statement for a Shelf Registration on Form S- 1 (the “</w:t>
      </w:r>
      <w:r>
        <w:rPr>
          <w:rFonts w:ascii="Arial" w:cs="Arial" w:eastAsia="Arial" w:hAnsi="Arial"/>
          <w:sz w:val="16"/>
          <w:szCs w:val="16"/>
          <w:u w:val="single" w:color="auto"/>
          <w:color w:val="auto"/>
        </w:rPr>
        <w:t>Form S-1 Shelf</w:t>
      </w:r>
      <w:r>
        <w:rPr>
          <w:rFonts w:ascii="Arial" w:cs="Arial" w:eastAsia="Arial" w:hAnsi="Arial"/>
          <w:sz w:val="16"/>
          <w:szCs w:val="16"/>
          <w:color w:val="auto"/>
        </w:rPr>
        <w:t>” and, together with the Form S-3 Shelf (and any Subsequent Shelf Registration), the “</w:t>
      </w:r>
      <w:r>
        <w:rPr>
          <w:rFonts w:ascii="Arial" w:cs="Arial" w:eastAsia="Arial" w:hAnsi="Arial"/>
          <w:sz w:val="16"/>
          <w:szCs w:val="16"/>
          <w:u w:val="single" w:color="auto"/>
          <w:color w:val="auto"/>
        </w:rPr>
        <w:t>Shelf</w:t>
      </w:r>
      <w:r>
        <w:rPr>
          <w:rFonts w:ascii="Arial" w:cs="Arial" w:eastAsia="Arial" w:hAnsi="Arial"/>
          <w:sz w:val="16"/>
          <w:szCs w:val="16"/>
          <w:color w:val="auto"/>
        </w:rPr>
        <w:t>”), in each case, covering the resale of all Registrable Securities (determined as of two (2) Business Days prior to such filing) on a delayed or continuous basis. PubCo shall use its commercially reasonable efforts to cause the Shelf to become effective as soon as practicable after such filing, but in no event later than sixty (60) days after the initial filing thereof (or ninety (90) days after the initial filing thereof if the SEC notifies PubCo that it will “review” the Shelf) or such other earlier date as it is required in accordance with any PIPE Subscription Agreement. The Shelf shall provide for the resale of the Registrable Securities included therein pursuant to any method or combination of methods legally available to, and requested by, any Holder. PubCo shall maintain the Shelf in accordance with the terms of this Investor Rights Agreement, and shall prepare and file with the SEC such amendments, including post-effective amendments, and supplements as may be necessary to keep such Shelf continuously effective, available for use and in compliance with the provisions of the Securities Act until such time as there are no longer any Registrable Securities. In the event PubCo files a Form S-1 Shelf, PubCo shall use its commercially reasonable efforts to convert the Form S-1 Shelf (and any Subsequent Shelf Registration) to a Form S-3 Shelf as soon as practicable after PubCo is eligible to use Form S-3.</w:t>
      </w:r>
    </w:p>
    <w:p>
      <w:pPr>
        <w:spacing w:after="0" w:line="173" w:lineRule="exact"/>
        <w:rPr>
          <w:rFonts w:ascii="Arial" w:cs="Arial" w:eastAsia="Arial" w:hAnsi="Arial"/>
          <w:sz w:val="16"/>
          <w:szCs w:val="16"/>
          <w:color w:val="auto"/>
        </w:rPr>
      </w:pPr>
    </w:p>
    <w:p>
      <w:pPr>
        <w:jc w:val="both"/>
        <w:ind w:firstLine="1304"/>
        <w:spacing w:after="0" w:line="283" w:lineRule="auto"/>
        <w:tabs>
          <w:tab w:leader="none" w:pos="1551"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If any Shelf ceases to be effective under the Securities Act for any reason at any time while there are any Registrable Securities outstanding, PubCo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6"/>
          <w:szCs w:val="16"/>
          <w:u w:val="single" w:color="auto"/>
          <w:color w:val="auto"/>
        </w:rPr>
        <w:t>Subsequent 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w:t>
      </w:r>
      <w:r>
        <w:rPr>
          <w:rFonts w:ascii="Arial" w:cs="Arial" w:eastAsia="Arial" w:hAnsi="Arial"/>
          <w:sz w:val="16"/>
          <w:szCs w:val="16"/>
          <w:color w:val="auto"/>
        </w:rPr>
        <w:t>”) registering the resale of all outstanding Registrable Securities from time to time, and pursuant to any method or combination of methods legally available to, and requested by, any Holder. If a Subsequent Shelf Registration is filed, PubCo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if PubCo is a Well-Known Seasoned Issuer) and</w:t>
      </w:r>
    </w:p>
    <w:p>
      <w:pPr>
        <w:spacing w:after="0" w:line="5" w:lineRule="exact"/>
        <w:rPr>
          <w:rFonts w:ascii="Arial" w:cs="Arial" w:eastAsia="Arial" w:hAnsi="Arial"/>
          <w:sz w:val="16"/>
          <w:szCs w:val="16"/>
          <w:color w:val="auto"/>
        </w:rPr>
      </w:pPr>
    </w:p>
    <w:p>
      <w:pPr>
        <w:jc w:val="both"/>
        <w:ind w:firstLine="8"/>
        <w:spacing w:after="0" w:line="269" w:lineRule="auto"/>
        <w:tabs>
          <w:tab w:leader="none" w:pos="26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keep such Subsequent Shelf Registration continuously effective, available for use and in compliance with the provisions of the Securities Act until such time as there are no longer any Registrable Securities outstanding. Any such Subsequent Shelf Registration shall be on Form S-3 to the extent that PubCo is eligible to use such form. Otherwise, such Subsequent Shelf Registration shall be on another appropriate form. In the event that any Holder holds Registrable Securities that are not registered for resale on a delayed or continuous basis, PubCo, upon request of a Holder, shall promptly use its commercially reasonable efforts to cause the resale of such Registrable Securities to be covered by either, at PubCo’s option, the Shelf (including by means of a post-effective amendment) or a Subsequent Shelf Registration and cause the same to become effective as soon as practicable after such filing and such Shelf or Subsequent Shelf Registration shall be subject to the terms of this Investor Rights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304"/>
        <w:spacing w:after="0" w:line="266" w:lineRule="auto"/>
        <w:tabs>
          <w:tab w:leader="none" w:pos="1554"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Requests for Underwritten Shelf Takedowns</w:t>
      </w:r>
      <w:r>
        <w:rPr>
          <w:rFonts w:ascii="Arial" w:cs="Arial" w:eastAsia="Arial" w:hAnsi="Arial"/>
          <w:sz w:val="17"/>
          <w:szCs w:val="17"/>
          <w:color w:val="auto"/>
        </w:rPr>
        <w:t>. At any time and from time to time after the Shelf has been declared effective by the SEC, the Holders may request to sell all or any portion of their Registrable Securities in an Underwritten Offering that is registered pursuant to the Shelf (each, an “</w:t>
      </w:r>
      <w:r>
        <w:rPr>
          <w:rFonts w:ascii="Arial" w:cs="Arial" w:eastAsia="Arial" w:hAnsi="Arial"/>
          <w:sz w:val="17"/>
          <w:szCs w:val="17"/>
          <w:u w:val="single" w:color="auto"/>
          <w:color w:val="auto"/>
        </w:rPr>
        <w:t>Underwritten Shelf Takedown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PubCo shall only be obligated to effect an Underwritten Shelf Takedown if such offering (i) shall include securities with a total offering price (including piggyback securities and before deduction of underwriting discounts) reasonably expected to exceed, in the aggregate, $25,000,000 (the “</w:t>
      </w:r>
      <w:r>
        <w:rPr>
          <w:rFonts w:ascii="Arial" w:cs="Arial" w:eastAsia="Arial" w:hAnsi="Arial"/>
          <w:sz w:val="17"/>
          <w:szCs w:val="17"/>
          <w:u w:val="single" w:color="auto"/>
          <w:color w:val="auto"/>
        </w:rPr>
        <w:t>Minimum Takedown Threshold</w:t>
      </w:r>
      <w:r>
        <w:rPr>
          <w:rFonts w:ascii="Arial" w:cs="Arial" w:eastAsia="Arial" w:hAnsi="Arial"/>
          <w:sz w:val="17"/>
          <w:szCs w:val="17"/>
          <w:color w:val="auto"/>
        </w:rPr>
        <w:t xml:space="preserve">”) or (ii) shall be made with respect to all of the Registrable Securities of the Demanding Holder. All requests for Underwritten Shelf Takedowns shall be made by giving written notice to PubCo, which shall specify the approximate number of Registrable Securities proposed to be sold in the Underwritten Shelf Takedown and the expected price range (net of underwriting discounts and commissions) of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Holder agrees that the fact that such a notice has been delivered shall constitute Confidential Information subject to </w:t>
      </w:r>
      <w:r>
        <w:rPr>
          <w:rFonts w:ascii="Arial" w:cs="Arial" w:eastAsia="Arial" w:hAnsi="Arial"/>
          <w:sz w:val="17"/>
          <w:szCs w:val="17"/>
          <w:u w:val="single" w:color="auto"/>
          <w:color w:val="auto"/>
        </w:rPr>
        <w:t>Section 4.14</w:t>
      </w:r>
      <w:r>
        <w:rPr>
          <w:rFonts w:ascii="Arial" w:cs="Arial" w:eastAsia="Arial" w:hAnsi="Arial"/>
          <w:sz w:val="17"/>
          <w:szCs w:val="17"/>
          <w:color w:val="auto"/>
        </w:rPr>
        <w:t>. The Holders that requested such Underwritten Shelf Takedown (the “</w:t>
      </w:r>
      <w:r>
        <w:rPr>
          <w:rFonts w:ascii="Arial" w:cs="Arial" w:eastAsia="Arial" w:hAnsi="Arial"/>
          <w:sz w:val="17"/>
          <w:szCs w:val="17"/>
          <w:u w:val="single" w:color="auto"/>
          <w:color w:val="auto"/>
        </w:rPr>
        <w:t>Demanding Holders</w:t>
      </w:r>
      <w:r>
        <w:rPr>
          <w:rFonts w:ascii="Arial" w:cs="Arial" w:eastAsia="Arial" w:hAnsi="Arial"/>
          <w:sz w:val="17"/>
          <w:szCs w:val="17"/>
          <w:color w:val="auto"/>
        </w:rPr>
        <w:t xml:space="preserve">”) holding a majority in interest of the Registrable Securities to be registered pursuant to such Underwritten Shelf Takedown shall have the right to select the Underwriters for such offering (which shall consist of one (1) or more reputable nationally or regionally recognized investment banks), and to agree to the pricing and other terms of such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selection shall be subject to the consent of PubCo, which consent shall not be unreasonably withheld, conditioned or delayed. Notwithstanding anything to the contrary contained in this Investor Rights Agreement, in no event shall any Holder or any Transferee thereof request an Underwritten Shelf Takedown during the Lock-Up Period applicable to such Person. No Holder may request any Underwritten Shelf Takedown more than two (2) times in any twelve</w:t>
      </w:r>
    </w:p>
    <w:p>
      <w:pPr>
        <w:spacing w:after="0" w:line="4" w:lineRule="exact"/>
        <w:rPr>
          <w:rFonts w:ascii="Arial" w:cs="Arial" w:eastAsia="Arial" w:hAnsi="Arial"/>
          <w:sz w:val="17"/>
          <w:szCs w:val="17"/>
          <w:color w:val="auto"/>
        </w:rPr>
      </w:pPr>
    </w:p>
    <w:p>
      <w:pPr>
        <w:ind w:left="360" w:hanging="352"/>
        <w:spacing w:after="0"/>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month period, subject to the proviso in the first sentence of this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firstLine="1304"/>
        <w:spacing w:after="0" w:line="268" w:lineRule="auto"/>
        <w:tabs>
          <w:tab w:leader="none" w:pos="1564"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Reduction of Underwritten Shelf Takedowns</w:t>
      </w:r>
      <w:r>
        <w:rPr>
          <w:rFonts w:ascii="Arial" w:cs="Arial" w:eastAsia="Arial" w:hAnsi="Arial"/>
          <w:sz w:val="17"/>
          <w:szCs w:val="17"/>
          <w:color w:val="auto"/>
        </w:rPr>
        <w:t>. If the managing Underwriter or Underwriters in an Underwritten Shelf Takedown, in good faith, advise PubCo,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PubCo desires to sell and all other shares of Common Stock or other Equity Securities, if any, that have been requested to be sold in such Underwritten Offering pursuant to separate written contractual piggyback registration rights held by any other stockholders of PubCo, exceeds the maximum dollar amount or maximum number of Equity Securities that can be sold in such Underwritten Offering without adversely affecting the proposed offering price, the timing, the distribution method or the probability of success of such Underwritten Offering (such maximum dollar amount or maximum number of such Equity Securities, as applicable, the “</w:t>
      </w:r>
      <w:r>
        <w:rPr>
          <w:rFonts w:ascii="Arial" w:cs="Arial" w:eastAsia="Arial" w:hAnsi="Arial"/>
          <w:sz w:val="17"/>
          <w:szCs w:val="17"/>
          <w:u w:val="single" w:color="auto"/>
          <w:color w:val="auto"/>
        </w:rPr>
        <w:t>Maximum Number of Securities</w:t>
      </w:r>
      <w:r>
        <w:rPr>
          <w:rFonts w:ascii="Arial" w:cs="Arial" w:eastAsia="Arial" w:hAnsi="Arial"/>
          <w:sz w:val="17"/>
          <w:szCs w:val="17"/>
          <w:color w:val="auto"/>
        </w:rPr>
        <w:t xml:space="preserve">”), then PubCo shall include in such Underwritten Offering, as follows: at all times (i) first, the Registrable Securities of the Demanding Holders and the Requesting Holders (if any) (pro rata based on the respective number of Registrable Securities that each Demanding Holder and Requesting Holder (if any) has requested be included in such Underwritten Shelf Takedown) that can be sold without exceeding the Maximum Number of Securities; (ii) second, to the extent that the Maximum Number of Securities has not been reached under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the shares of Common Stock or other Equity Securities that PubCo desires to sell, which can be sold without exceeding the Maximum Number of Securities; (iii) third, to the extent that the Maximum Number of Securities has not been reached under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the shares of Common Stock or other Equity Securities of other Persons that PubCo is obligated to include in such Underwritten Offering pursuant to separate written contractual arrangements with such Persons and that can be sold without exceeding the Maximum Number of Securities.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1304"/>
        <w:spacing w:after="0" w:line="270" w:lineRule="auto"/>
        <w:tabs>
          <w:tab w:leader="none" w:pos="1554"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Any of the Demanding Holders initiating an Underwritten Shelf Takedown shall have the right to withdraw from such Underwritten Shelf Takedown for any or no reason whatsoever upon written notification (a “</w:t>
      </w:r>
      <w:r>
        <w:rPr>
          <w:rFonts w:ascii="Arial" w:cs="Arial" w:eastAsia="Arial" w:hAnsi="Arial"/>
          <w:sz w:val="17"/>
          <w:szCs w:val="17"/>
          <w:u w:val="single" w:color="auto"/>
          <w:color w:val="auto"/>
        </w:rPr>
        <w:t>Withdrawal Notice</w:t>
      </w:r>
      <w:r>
        <w:rPr>
          <w:rFonts w:ascii="Arial" w:cs="Arial" w:eastAsia="Arial" w:hAnsi="Arial"/>
          <w:sz w:val="17"/>
          <w:szCs w:val="17"/>
          <w:color w:val="auto"/>
        </w:rPr>
        <w:t xml:space="preserve">”) to PubCo and the Underwriter or Underwriters (if any) of such Demanding Holder’s intention to withdraw from such Underwritten Shelf Takedown, prior to the public announcement of the Underwritten Shelf Takedown by PubCo;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Holder not so withdrawing may elect to have PubCo continue such Underwritten Shelf Takedown if the Minimum Takedown Threshold would still be satisfied or if such Underwritten Shelf Takedown would be made with respect to all of the Registrable Securities of such Holder. Following the receipt of any Withdrawal Notice, PubCo shall promptly forward such Withdrawal Notice to any other Holders that had elected to participate in such Underwritten Shelf Takedown. Notwithstanding anything to the contrary contained in this Investor Rights Agreement, PubCo shall be responsible for the Registration Expenses incurred in connection with an Underwritten Shelf Takedown prior to delivery of a Withdrawal Notice under this </w:t>
      </w:r>
      <w:r>
        <w:rPr>
          <w:rFonts w:ascii="Arial" w:cs="Arial" w:eastAsia="Arial" w:hAnsi="Arial"/>
          <w:sz w:val="17"/>
          <w:szCs w:val="17"/>
          <w:u w:val="single" w:color="auto"/>
          <w:color w:val="auto"/>
        </w:rPr>
        <w:t>Section 2.1(e)</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54" w:lineRule="auto"/>
        <w:tabs>
          <w:tab w:leader="none" w:pos="153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Long-Form Demands</w:t>
      </w:r>
      <w:r>
        <w:rPr>
          <w:rFonts w:ascii="Arial" w:cs="Arial" w:eastAsia="Arial" w:hAnsi="Arial"/>
          <w:sz w:val="18"/>
          <w:szCs w:val="18"/>
          <w:color w:val="auto"/>
        </w:rPr>
        <w:t xml:space="preserve">. Upon the expiration of the Lock-Up Period applicable to such Person, and during such times as no Shelf is effective, each Holder may demand that PubCo file a Registration Statement on Form S-1 for the purpose of conducting an Underwritten Offering of any or all of such Holder’s Registrable Securities. PubCo shall file such Registration Statement within thirty (30) days of receipt of such demand and use its commercially reasonable efforts to cause the same to be declared effective within sixty (60) days of filing. The provisions of </w:t>
      </w:r>
      <w:r>
        <w:rPr>
          <w:rFonts w:ascii="Arial" w:cs="Arial" w:eastAsia="Arial" w:hAnsi="Arial"/>
          <w:sz w:val="18"/>
          <w:szCs w:val="18"/>
          <w:u w:val="single" w:color="auto"/>
          <w:color w:val="auto"/>
        </w:rPr>
        <w:t>Section 2.1(c), Section 2.1(d)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shall apply to this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as if a demand under this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were an Underwritten Shelf Takedown;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order to withdraw a demand under this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such withdrawal must be received by PubCo prior to PubCo having publicly filed a Registration Statement pursuant to this </w:t>
      </w:r>
      <w:r>
        <w:rPr>
          <w:rFonts w:ascii="Arial" w:cs="Arial" w:eastAsia="Arial" w:hAnsi="Arial"/>
          <w:sz w:val="18"/>
          <w:szCs w:val="18"/>
          <w:u w:val="single" w:color="auto"/>
          <w:color w:val="auto"/>
        </w:rPr>
        <w:t>Section 2.1(f)</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5" w:lineRule="auto"/>
        <w:tabs>
          <w:tab w:leader="none" w:pos="1554"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PubCo or any Holder proposes to conduct a registered offering of, or if PubCo proposes to file a Registration Statement under the Securities Act with respect to an offering of, Equity Securities of PubCo or securities or other obligations exercisable or exchangeable for or convertible into Equity Securities of PubCo, for its own account or for the account of stockholders of PubCo (or by PubCo and by the stockholders of PubCo, including an Underwritten Shelf Takedown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other than a Registration Statement (or any registered offering with respect thereto) (i) filed in connection with any employee stock option or other benefit plan or SEC Rule 145 transaction, (ii) for an exchange offer or offering of securities solely to PubCo’s existing stockholders, (iii) for an offering of debt that is convertible into Equity Securities of PubCo or (iv) for a dividend reinvestment plan, then PubCo shall give written notice of such proposed offering to all Holders as soon as practicable but not less than four (4) calendar days before the anticipated filing date of such Registration Statement or, in the case of an underwritten offering pursuant to a Shelf Registration, the launch date of such offering, which notice shall (A) describe the amount and type of securities to be included in such offering, the intended method(s) of distribution, and the name of the proposed managing Underwriter or Underwriters, if any and if known, in such offering and (B) offer to all of the Holders the opportunity to include in such registered offering such number of Registrable Securities as such Holders may request in writing within three (3) calendar days after receipt of such written notice (such registered offering,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Holder agrees that the fact that such a notice has been delivered shall constitute Confidential Information subject to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PubCo shall cause such Registrable Securities to be included in such Piggyback Registration and shall use its commercially reasonable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to be included in a Piggyback Registration on the same terms and conditions as any similar securities of PubCo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Holder’s agreement to abide by the terms of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1304"/>
        <w:spacing w:after="0" w:line="273" w:lineRule="auto"/>
        <w:tabs>
          <w:tab w:leader="none" w:pos="1578"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Offering that is to be a Piggyback Registration (other than an Underwritten Shelf Takedown), in good faith, advises PubCo and the Holders participating in the Piggyback Registration in writing that the dollar amount or number of shares of Common Stock or other Equity Securities that PubCo desires to sell, taken together with (i) the shares of Common Stock or other Equity Securities, if any, as to which Registration or a registered offering has been demanded pursuant to separate written contractual arrangements with Persons other than the Holders hereunder and (ii) the shares of Common Stock or other Equity Securities, if any,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exceeds the Maximum Number of Securities, then:</w:t>
      </w:r>
    </w:p>
    <w:p>
      <w:pPr>
        <w:spacing w:after="0" w:line="177" w:lineRule="exact"/>
        <w:rPr>
          <w:rFonts w:ascii="Arial" w:cs="Arial" w:eastAsia="Arial" w:hAnsi="Arial"/>
          <w:sz w:val="17"/>
          <w:szCs w:val="17"/>
          <w:color w:val="auto"/>
        </w:rPr>
      </w:pPr>
    </w:p>
    <w:p>
      <w:pPr>
        <w:jc w:val="both"/>
        <w:ind w:right="20" w:firstLine="1970"/>
        <w:spacing w:after="0" w:line="291" w:lineRule="auto"/>
        <w:tabs>
          <w:tab w:leader="none" w:pos="2177" w:val="left"/>
        </w:tabs>
        <w:numPr>
          <w:ilvl w:val="2"/>
          <w:numId w:val="120"/>
        </w:numPr>
        <w:rPr>
          <w:rFonts w:ascii="Arial" w:cs="Arial" w:eastAsia="Arial" w:hAnsi="Arial"/>
          <w:sz w:val="16"/>
          <w:szCs w:val="16"/>
          <w:color w:val="auto"/>
        </w:rPr>
      </w:pPr>
      <w:r>
        <w:rPr>
          <w:rFonts w:ascii="Arial" w:cs="Arial" w:eastAsia="Arial" w:hAnsi="Arial"/>
          <w:sz w:val="16"/>
          <w:szCs w:val="16"/>
          <w:color w:val="auto"/>
        </w:rPr>
        <w:t>if the Registration is initiated and undertaken for PubCo’s account, PubCo shall include in any such Registration (A) first, the shares of Common Stock or other Equity Securities that PubCo desires to sell, which can be sold without exceeding the Maximum Number of Securities,</w:t>
      </w:r>
    </w:p>
    <w:p>
      <w:pPr>
        <w:jc w:val="both"/>
        <w:ind w:firstLine="8"/>
        <w:spacing w:after="0" w:line="281" w:lineRule="auto"/>
        <w:tabs>
          <w:tab w:leader="none" w:pos="31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second,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Holders exercising their rights to register their Registrable Securities pursuant to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(pro rata based on the respective number of Registrable Securities that each Holder has requested be included in such Registration), which can be sold without exceeding the Maximum Number of Securities and</w:t>
      </w:r>
    </w:p>
    <w:p>
      <w:pPr>
        <w:spacing w:after="0" w:line="1" w:lineRule="exact"/>
        <w:rPr>
          <w:rFonts w:ascii="Arial" w:cs="Arial" w:eastAsia="Arial" w:hAnsi="Arial"/>
          <w:sz w:val="16"/>
          <w:szCs w:val="16"/>
          <w:color w:val="auto"/>
        </w:rPr>
      </w:pPr>
    </w:p>
    <w:p>
      <w:pPr>
        <w:jc w:val="both"/>
        <w:ind w:firstLine="8"/>
        <w:spacing w:after="0" w:line="267" w:lineRule="auto"/>
        <w:tabs>
          <w:tab w:leader="none" w:pos="28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third,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shares of Common Stock or other Equity Securities, if any, as to which Registration has been requested pursuant to written contractual piggyback registration rights of other stockholders of PubCo, which can be sold without exceeding the Maximum Number of Securities; or (ii) if the Registration is pursuant to a request by Persons other than the Holders, then PubCo shall include in any such Registration (A) first, the shares of Common Stock or other Equity Securities, if any, of such requesting Persons, other than the Holders, which can be sold without exceeding the Maximum Number of Securities, (B) second, to the extent that the Maximum Number of Securities has not been reached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the Registrable Securities of Holders exercising their rights to register their Registrable Securities pursuant to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(pro rata based on the respective number of Registrable Securities that each Holder has requested be included in such Registration), which can be sold without exceeding the Maximum Number of Securities, (C) third,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shares of Common Stock or other Equity Securities that PubCo desires to sell, which can be sold without exceeding the Maximum Number of Securities and (D) fourth, to the extent that the Maximum Number of Securities has not been reached under the foregoing </w:t>
      </w:r>
      <w:r>
        <w:rPr>
          <w:rFonts w:ascii="Arial" w:cs="Arial" w:eastAsia="Arial" w:hAnsi="Arial"/>
          <w:sz w:val="17"/>
          <w:szCs w:val="17"/>
          <w:u w:val="single" w:color="auto"/>
          <w:color w:val="auto"/>
        </w:rPr>
        <w:t>clauses (A),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the shares of Common Stock or other Equity Securities, if any, for the account of other Persons that PubCo is obligated to register pursuant to separate written contractual piggyback registration rights of such Persons, which can be sold without exceeding the Maximum Number of Securities.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in the event a Demanding Holder has submitted notice for a bona fide Underwritten Shelf Takedown and all sales pursuant to such Underwritten Shelf Takedown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have not been effected in accordance with the applicable plan of distribution or submitted a Withdrawal Notice prior to such time that PubCo has given written notice of a Piggyback Registration to all Holders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then any reduction in the number of Registrable Securities to be offered in such offering shall be determined in accordance with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instead of this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ind w:firstLine="1304"/>
        <w:spacing w:after="0" w:line="270" w:lineRule="auto"/>
        <w:tabs>
          <w:tab w:leader="none" w:pos="154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Piggyback Registration Withdrawal</w:t>
      </w:r>
      <w:r>
        <w:rPr>
          <w:rFonts w:ascii="Arial" w:cs="Arial" w:eastAsia="Arial" w:hAnsi="Arial"/>
          <w:sz w:val="17"/>
          <w:szCs w:val="17"/>
          <w:color w:val="auto"/>
        </w:rPr>
        <w:t xml:space="preserve">. Any Holder shall have the right to withdraw from a Piggyback Registration for any or no reason whatsoever upon written notification to PubCo and the Underwriter or Underwriters (if any) of such Holder’s intention to withdraw from such Piggyback Registration prior to the effectiveness of the Registration Statement filed with the SEC with respect to such Piggyback Registration or, in the case of a Piggyback Registration pursuant to a Shelf Registration, the filing of the applicable “red herring” prospectus or prospectus supplement with respect to such Piggyback Registration used for marketing such transaction. PubCo (whether on its own good faith determination or as the result of a request for withdrawal by Persons pursuant to separate written contractual obligations) may withdraw a Registration Statement filed with the SEC in connection with a Piggyback Registration (which, in no circumstance, shall include the Shelf) at any time prior to the effectiveness of such Registration Statement. Notwithstanding anything to the contrary set forth in this Investor Rights Agreement, PubCo shall be responsible for the Registration Expenses incurred in connection with a Piggyback Registration prior to its withdrawal under this </w:t>
      </w:r>
      <w:r>
        <w:rPr>
          <w:rFonts w:ascii="Arial" w:cs="Arial" w:eastAsia="Arial" w:hAnsi="Arial"/>
          <w:sz w:val="17"/>
          <w:szCs w:val="17"/>
          <w:u w:val="single" w:color="auto"/>
          <w:color w:val="auto"/>
        </w:rPr>
        <w:t>Section 2.2(c)</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155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not apply (i) for any Holder or Party, prior to the expiration of the Lock-Up Period in respect of such Holder or Party or (ii) to any Shelf Take-Down irrespective of whether such Shelf Take-Down is an Underwritten Shelf Take-Down or not an Underwritten Shelf Take-Down.</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Restriction on Transfer</w:t>
      </w:r>
      <w:r>
        <w:rPr>
          <w:rFonts w:ascii="Arial" w:cs="Arial" w:eastAsia="Arial" w:hAnsi="Arial"/>
          <w:sz w:val="17"/>
          <w:szCs w:val="17"/>
          <w:color w:val="auto"/>
        </w:rPr>
        <w:t>. In connection with any Underwritten Offering of Equity Securities of PubCo, each Holder that participates in such Underwritten Offering agrees that it shall not Transfer any shares of Common Stock (other than those included in such offering pursuant to this Investor Rights Agreement), without the prior written consent of PubCo, during the period commencing seven (7) calendar days prior (to the extent notice of such Underwritten Offering has been provided) to such Underwritten Offering and ending upon the shorter of (a) the shortest number of days that a director of PubCo, “executive officer” (as defined under Section 16 of the Exchange Act) of PubCo or any stockholder of PubCo (other than a Holder or director or employee of, or consultant to, PubCo) who owns ten percent (10%) or more of the outstanding shares of Common Stock contractually agrees with the Underwriters of such Underwritten Offering to not to sell any securities of PubCo following such Underwritten Offering and (b) the ninety (90)-day period beginning on the date of pricing of such offering, except in the event the Underwriter managing the offering otherwise agrees by written consent, and further agrees to execute a customary lock-up agreement in favor of the Underwriters to such effect (in each case, on substantially the same terms and conditions as all such Holders).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General Procedures</w:t>
      </w:r>
      <w:r>
        <w:rPr>
          <w:rFonts w:ascii="Arial" w:cs="Arial" w:eastAsia="Arial" w:hAnsi="Arial"/>
          <w:sz w:val="18"/>
          <w:szCs w:val="18"/>
          <w:color w:val="auto"/>
        </w:rPr>
        <w:t xml:space="preserve">. In connection with effecting any Registration and/or Shelf Takedown, subject to applicable Law and any regulations promulgated by any securities exchange on which PubCo’s Equity Securities are then listed, each as interpreted by PubCo with the advice of its counsel, PubCo shall use its commercially reasonable efforts (except as set forth in </w:t>
      </w:r>
      <w:r>
        <w:rPr>
          <w:rFonts w:ascii="Arial" w:cs="Arial" w:eastAsia="Arial" w:hAnsi="Arial"/>
          <w:sz w:val="18"/>
          <w:szCs w:val="18"/>
          <w:u w:val="single" w:color="auto"/>
          <w:color w:val="auto"/>
        </w:rPr>
        <w:t>Section 2.4(d)</w:t>
      </w:r>
      <w:r>
        <w:rPr>
          <w:rFonts w:ascii="Arial" w:cs="Arial" w:eastAsia="Arial" w:hAnsi="Arial"/>
          <w:sz w:val="18"/>
          <w:szCs w:val="18"/>
          <w:color w:val="auto"/>
        </w:rPr>
        <w:t>) to effect such Registration and/or Shelf Takedown to permit the sale of the Registrable Securities included in such Registration and/or Shelf Takedown in accordance with the intended plan of distribution thereof, and pursuant thereto PubCo shall, as expeditiously as possible:</w:t>
      </w:r>
    </w:p>
    <w:p>
      <w:pPr>
        <w:spacing w:after="0" w:line="188" w:lineRule="exact"/>
        <w:rPr>
          <w:sz w:val="20"/>
          <w:szCs w:val="20"/>
          <w:color w:val="auto"/>
        </w:rPr>
      </w:pPr>
    </w:p>
    <w:p>
      <w:pPr>
        <w:jc w:val="both"/>
        <w:ind w:firstLine="1304"/>
        <w:spacing w:after="0" w:line="263" w:lineRule="auto"/>
        <w:tabs>
          <w:tab w:leader="none" w:pos="155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prepare and file with the SEC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1304"/>
        <w:spacing w:after="0" w:line="257" w:lineRule="auto"/>
        <w:tabs>
          <w:tab w:leader="none" w:pos="155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the Registration Statement, and such supplements to the Prospectus, as may be reasonably requested by any Holder or as may be required by the rules, regulations or instructions applicable to the registration form used by PubCo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rFonts w:ascii="Arial" w:cs="Arial" w:eastAsia="Arial" w:hAnsi="Arial"/>
          <w:sz w:val="18"/>
          <w:szCs w:val="18"/>
          <w:color w:val="auto"/>
        </w:rPr>
      </w:pPr>
    </w:p>
    <w:p>
      <w:pPr>
        <w:jc w:val="both"/>
        <w:ind w:firstLine="1304"/>
        <w:spacing w:after="0" w:line="293" w:lineRule="auto"/>
        <w:tabs>
          <w:tab w:leader="none" w:pos="157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prior to filing a Registration Statement or Prospectus, or any amendment or supplement thereto, furnish without charge to the Underwriters, if any, and the Holders of Registrable Securities included in such Registration, and such Holders’ legal counsel, if any,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or the Holders of Registrable Securities included in such Registration or the legal counsel for any such Holders, if any, may reasonably request in order to facilitate the disposition of the Registrable Securities owned by such Holders;</w:t>
      </w:r>
    </w:p>
    <w:p>
      <w:pPr>
        <w:spacing w:after="0" w:line="164" w:lineRule="exact"/>
        <w:rPr>
          <w:rFonts w:ascii="Arial" w:cs="Arial" w:eastAsia="Arial" w:hAnsi="Arial"/>
          <w:sz w:val="16"/>
          <w:szCs w:val="16"/>
          <w:color w:val="auto"/>
        </w:rPr>
      </w:pPr>
    </w:p>
    <w:p>
      <w:pPr>
        <w:jc w:val="both"/>
        <w:ind w:firstLine="1304"/>
        <w:spacing w:after="0" w:line="289" w:lineRule="auto"/>
        <w:tabs>
          <w:tab w:leader="none" w:pos="155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Entities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PubCo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66" w:lineRule="exact"/>
        <w:rPr>
          <w:rFonts w:ascii="Arial" w:cs="Arial" w:eastAsia="Arial" w:hAnsi="Arial"/>
          <w:sz w:val="16"/>
          <w:szCs w:val="16"/>
          <w:color w:val="auto"/>
        </w:rPr>
      </w:pPr>
    </w:p>
    <w:p>
      <w:pPr>
        <w:ind w:firstLine="1304"/>
        <w:spacing w:after="0" w:line="277" w:lineRule="auto"/>
        <w:tabs>
          <w:tab w:leader="none" w:pos="157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cause all such Registrable Securities to be listed on each securities exchange or automated quotation system on which similar securities issued by PubCo are then listed;</w:t>
      </w:r>
    </w:p>
    <w:p>
      <w:pPr>
        <w:spacing w:after="0" w:line="170" w:lineRule="exact"/>
        <w:rPr>
          <w:rFonts w:ascii="Arial" w:cs="Arial" w:eastAsia="Arial" w:hAnsi="Arial"/>
          <w:sz w:val="18"/>
          <w:szCs w:val="18"/>
          <w:color w:val="auto"/>
        </w:rPr>
      </w:pPr>
    </w:p>
    <w:p>
      <w:pPr>
        <w:ind w:firstLine="1304"/>
        <w:spacing w:after="0" w:line="277" w:lineRule="auto"/>
        <w:tabs>
          <w:tab w:leader="none" w:pos="15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provide a transfer agent or warrant agent, as applicable, and registrar for all such Registrable Securities no later than the effective date of such Registration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firstLine="1304"/>
        <w:spacing w:after="0" w:line="259" w:lineRule="auto"/>
        <w:tabs>
          <w:tab w:leader="none" w:pos="157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advise each Holder of Registrable Securities covered by a Registration Statement, promptly after it shall receive notice or obtain knowledge thereof, of the issuance of any stop order by the SEC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6" w:lineRule="exact"/>
        <w:rPr>
          <w:rFonts w:ascii="Arial" w:cs="Arial" w:eastAsia="Arial" w:hAnsi="Arial"/>
          <w:sz w:val="18"/>
          <w:szCs w:val="18"/>
          <w:color w:val="auto"/>
        </w:rPr>
      </w:pPr>
    </w:p>
    <w:p>
      <w:pPr>
        <w:jc w:val="both"/>
        <w:ind w:right="20" w:firstLine="1304"/>
        <w:spacing w:after="0" w:line="259" w:lineRule="auto"/>
        <w:tabs>
          <w:tab w:leader="none" w:pos="15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least three (3) calendar days prior to the filing of any Registration Statement or Prospectus or any amendment or supplement to such Registration Statement or Prospectus or any document that is to be incorporated by reference into such Registration Statement or Prospectus furnish a draft thereof to each Holder of Registrable Securities included in such Registration Statement, or its counsel, if any (excluding any exhibits thereto and any filing made under the Exchange Act that is to be incorporated by reference therein);</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51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permit Representatives of the Holders, the Underwriters, if any, and any attorney, consultant or accountant retained by such Holders or Underwriter to participate, at each such Person’s own expense, except to the extent such expenses constitute Registration Expenses, in the preparation of the Registration Statement, and cause PubCo’s officers, directors and employees to supply all information reasonably requested by any such Representative, Underwriter, attorney, consultant or accountant in connection with such Registration;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such Persons agree to confidentiality arrangements reasonably satisfactory to PubCo, prior to the release or disclosure of any such information;</w:t>
      </w:r>
    </w:p>
    <w:p>
      <w:pPr>
        <w:spacing w:after="0" w:line="176" w:lineRule="exact"/>
        <w:rPr>
          <w:rFonts w:ascii="Arial" w:cs="Arial" w:eastAsia="Arial" w:hAnsi="Arial"/>
          <w:sz w:val="17"/>
          <w:szCs w:val="17"/>
          <w:color w:val="auto"/>
        </w:rPr>
      </w:pPr>
    </w:p>
    <w:p>
      <w:pPr>
        <w:jc w:val="both"/>
        <w:ind w:firstLine="1304"/>
        <w:spacing w:after="0" w:line="311" w:lineRule="auto"/>
        <w:tabs>
          <w:tab w:leader="none" w:pos="15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obtain a “cold comfort” letter, and a bring-down thereof, from PubCo’s independent registered public accountants in the event of an Underwritten Offering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48" w:lineRule="exact"/>
        <w:rPr>
          <w:rFonts w:ascii="Arial" w:cs="Arial" w:eastAsia="Arial" w:hAnsi="Arial"/>
          <w:sz w:val="16"/>
          <w:szCs w:val="16"/>
          <w:color w:val="auto"/>
        </w:rPr>
      </w:pPr>
    </w:p>
    <w:p>
      <w:pPr>
        <w:jc w:val="both"/>
        <w:ind w:firstLine="1304"/>
        <w:spacing w:after="0" w:line="257" w:lineRule="auto"/>
        <w:tabs>
          <w:tab w:leader="none" w:pos="152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on the date the Registrable Securities are delivered for sale pursuant to such Registration, obtain an opinion and negative assurances letter, dated as of such date, of counsel representing PubCo for the purposes of such Registration, addressed to the Holders, the placement agent or sales agent, if any, and the Underwriters, if any, covering such legal matters with respect to such Registration in respect of which such opinion is being given as the Holders, placement agent, sales agent, or Underwriter may reasonably request and as are customarily included in such opinions and negative assurance letters, and reasonably satisfactory to the participating Holders;</w:t>
      </w:r>
    </w:p>
    <w:p>
      <w:pPr>
        <w:spacing w:after="0" w:line="187" w:lineRule="exact"/>
        <w:rPr>
          <w:rFonts w:ascii="Arial" w:cs="Arial" w:eastAsia="Arial" w:hAnsi="Arial"/>
          <w:sz w:val="18"/>
          <w:szCs w:val="18"/>
          <w:color w:val="auto"/>
        </w:rPr>
      </w:pPr>
    </w:p>
    <w:p>
      <w:pPr>
        <w:ind w:firstLine="1304"/>
        <w:spacing w:after="0" w:line="277" w:lineRule="auto"/>
        <w:tabs>
          <w:tab w:leader="none" w:pos="1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event of any Underwritten Offering, enter into and perform its obligations under an underwriting agreement, in usual and customary form, with the managing Underwriter of such Underwritten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ind w:left="1560" w:hanging="256"/>
        <w:spacing w:after="0"/>
        <w:tabs>
          <w:tab w:leader="none" w:pos="15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make available to its security holders, as soon as reasonably practicable, an earnings statement covering the period of at least twelve</w:t>
      </w:r>
    </w:p>
    <w:p>
      <w:pPr>
        <w:spacing w:after="0" w:line="46" w:lineRule="exact"/>
        <w:rPr>
          <w:rFonts w:ascii="Arial" w:cs="Arial" w:eastAsia="Arial" w:hAnsi="Arial"/>
          <w:sz w:val="16"/>
          <w:szCs w:val="16"/>
          <w:color w:val="auto"/>
        </w:rPr>
      </w:pPr>
    </w:p>
    <w:p>
      <w:pPr>
        <w:ind w:firstLine="8"/>
        <w:spacing w:after="0" w:line="260" w:lineRule="auto"/>
        <w:tabs>
          <w:tab w:leader="none" w:pos="3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months beginning within three (3) months after the effective date of such Registration Statement, which satisfies the provisions of Section 11(a) of the Securities Act and Rule 158 thereunder (or any successor rule promulgated thereafter by the SEC);</w:t>
      </w:r>
    </w:p>
    <w:p>
      <w:pPr>
        <w:spacing w:after="0" w:line="185" w:lineRule="exact"/>
        <w:rPr>
          <w:rFonts w:ascii="Arial" w:cs="Arial" w:eastAsia="Arial" w:hAnsi="Arial"/>
          <w:sz w:val="18"/>
          <w:szCs w:val="18"/>
          <w:color w:val="auto"/>
        </w:rPr>
      </w:pPr>
    </w:p>
    <w:p>
      <w:pPr>
        <w:jc w:val="both"/>
        <w:ind w:firstLine="1304"/>
        <w:spacing w:after="0" w:line="259" w:lineRule="auto"/>
        <w:tabs>
          <w:tab w:leader="none" w:pos="157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an Underwritten Offering involves Registrable Securities with a total offering price (including piggyback securities and before deduction of underwriting discounts) reasonably expected to exceed, in the aggregate, $35,000,000, use its commercially reasonable efforts to make available senior executives of PubCo to participate in customary “road show” presentations that may be reasonably requested by the Underwriter in such Underwritten Offering; and</w:t>
      </w:r>
    </w:p>
    <w:p>
      <w:pPr>
        <w:spacing w:after="0" w:line="186" w:lineRule="exact"/>
        <w:rPr>
          <w:rFonts w:ascii="Arial" w:cs="Arial" w:eastAsia="Arial" w:hAnsi="Arial"/>
          <w:sz w:val="18"/>
          <w:szCs w:val="18"/>
          <w:color w:val="auto"/>
        </w:rPr>
      </w:pPr>
    </w:p>
    <w:p>
      <w:pPr>
        <w:ind w:firstLine="1304"/>
        <w:spacing w:after="0" w:line="277" w:lineRule="auto"/>
        <w:tabs>
          <w:tab w:leader="none" w:pos="155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Registration Expenses of all Registrations shall be borne by PubCo. It is acknowledged by the Holders that the Holders selling any Registrable Securities in an offering shall bear all incremental selling expenses relating to the sale of Registrable Securities (including all reasonable fees and expenses of any legal counsel representing such Holders (to the extent such counsel is not also representing PubCo, as determined in accordance with clause (f) of the definition of “Registration Expenses”)), such as Underwriters’ commissions and discounts, brokerage fees, Underwriter marketing costs, in each case, pro rata based on the number of Registrable Securities that such Holders have sold in such Registration.</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Requirements for Participating in Underwritten Offerings</w:t>
      </w:r>
      <w:r>
        <w:rPr>
          <w:rFonts w:ascii="Arial" w:cs="Arial" w:eastAsia="Arial" w:hAnsi="Arial"/>
          <w:sz w:val="17"/>
          <w:szCs w:val="17"/>
          <w:color w:val="auto"/>
        </w:rPr>
        <w:t xml:space="preserve">. Notwithstanding anything to the contrary contained in this Investor Rights Agreement, if any Holder does not provide PubCo with its requested Holder Information, PubCo may exclude such Holder’s Registrable Securities from the applicable Registration Statement or Prospectus if PubCo determines, based on the advice of counsel, that such information is necessary to effect the Registration and such Holder continues thereafter to withhold such information. No Person may participate in any Underwritten Offering of Equity Securities of PubCo pursuant to a Registration under this Investor Rights Agreement unless such Person (a) agrees to sell such Person’s Registrable Securities on the basis provided in any underwriting and other arrangements approved by PubCo in the case of an Underwritten Offering initiated by PubCo, and approved by the Demanding Holders in the case of an Underwritten Offering initiated by the Demanding Holders and (b) completes and executes all customary questionnaires, powers of attorney, custody agreements, indemnities, lock-up agreements, underwriting agreements and other customary documents as may be reasonably required under the terms of such underwriting arrangements. Subject to the minimum thresholds set forth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2.4(o)</w:t>
      </w:r>
      <w:r>
        <w:rPr>
          <w:rFonts w:ascii="Arial" w:cs="Arial" w:eastAsia="Arial" w:hAnsi="Arial"/>
          <w:sz w:val="17"/>
          <w:szCs w:val="17"/>
          <w:color w:val="auto"/>
        </w:rPr>
        <w:t xml:space="preserve">, the exclusion of a Holder’s Registrable Securities as a result of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not affect the registration of the other Registrable Securities to be included in such Registration.</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Suspension of Sales; Adverse Disclosure</w:t>
      </w:r>
      <w:r>
        <w:rPr>
          <w:rFonts w:ascii="Arial" w:cs="Arial" w:eastAsia="Arial" w:hAnsi="Arial"/>
          <w:sz w:val="16"/>
          <w:szCs w:val="16"/>
          <w:color w:val="auto"/>
        </w:rPr>
        <w:t xml:space="preserve">. Upon receipt of written notice from PubCo that a Registration Statement or Prospectus contains a Misstatement, each of the Holders shall forthwith discontinue disposition of Registrable Securities until it has received copies of a supplemented or amended Prospectus correcting the Misstatement (and PubCo hereby covenants to prepare and file such supplement or amendment as soon as practicable after giving such notice), or until it is advised in writing by PubCo that the use of the Prospectus may be resumed. If the filing, initial effectiveness or continued use of a Registration Statement in respect of any Registration at any time would require PubCo to make an Adverse Disclosure or would require the inclusion in such Registration Statement of financial statements that are unavailable to PubCo for reasons beyond PubCo’s reasonable control, PubCo may, upon giving prompt written notice of such action to the Holders, delay the filing or initial effectiveness of, or suspend use of, such Registration Statement for the shortest period of time, but in no event more than ninety (90) days in any twelve (12)-month period, determined in good faith by PubCo to be necessary for such purpose. In the event PubCo exercises its rights under the preceding sentence, the Holders agree to suspend, immediately upon their receipt of the notice referred to above, their use of the Prospectus relating to such Registration in connection with any sale or offer to sell Registrable Securities. PubCo shall immediately notify the Holders of the expiration of any period during which it exercised its rights under this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48"/>
        <w:spacing w:after="0" w:line="275"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xml:space="preserve">. As long as any Holder shall own Registrable Securities, PubCo, at all times while it shall be a reporting company under the Exchange Act, covenants to file timely (or obtain extensions in respect thereof and file within the applicable grace period) all reports required to be filed by PubCo after the Effective Date pursuant to Sections 13(a) or 15(d) of the Exchange Act and to promptly furnish the Holders with true and complete copies of all such filings; provided that any documents publicly filed or furnished with the SEC pursuant to the Electronic Data Gathering, Analysis and Retrieval System shall be deemed to have been furnished to the Holders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Other Obligations</w:t>
      </w:r>
      <w:r>
        <w:rPr>
          <w:rFonts w:ascii="Arial" w:cs="Arial" w:eastAsia="Arial" w:hAnsi="Arial"/>
          <w:sz w:val="17"/>
          <w:szCs w:val="17"/>
          <w:color w:val="auto"/>
        </w:rPr>
        <w:t>. In connection with a Transfer of Registrable Securities pursuant to SEC Rule 144 or through any broker-dealer transactions described in the plan of distribution set forth within the Prospectus and pursuant to the Registration Statement of which such Prospectus forms a part, PubCo shall, subject to applicable Law, as interpreted by PubCo with the advice of counsel, and the receipt of any customary documentation required from the applicable Holders in connection therewith, (a) promptly instruct its transfer agent to remove any restrictive legends applicable to the Registrable Securities being Transferred and (b) cause its legal counsel to deliver the necessary legal opinions, if any, to the transfer agent in connection with the instruction under clause (a). In addition, PubCo shall cooperate reasonably with, and take such customary actions as may reasonably be requested by the Holders in connection with, the aforementioned Transfers; provided, however, that PubCo shall have no obligation to participate in any “road shows” or assist with the preparation of any offering memoranda or related documentation with respect to any Transfer of Registrable Securities in any transaction that does not constitute an Underwritten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8" w:lineRule="auto"/>
        <w:tabs>
          <w:tab w:leader="none" w:pos="157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PubCo agrees to indemnify and hold harmless each Holder, its officers, managers, directors, employees, trustees, equityholders, beneficiaries, affiliates, agents and Representatives and each Person who controls such Holder (within the meaning of the Securities Act) against all losses, claims, damages, liabilities and expenses (including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any amendment thereof or supplement thereto, or any omission or alleged omission of a material fact required to be stated therein or necessary to make the statements therein not misleading or (ii) any violation or alleged violation by PubCo of the Securities Act or any other similar federal or state securities Laws, and will reimburse, as incurred, each such Holder, its officers, managers, directors, trustees, equityholders, beneficiaries, affiliates, agents and Representatives and each Person who controls such Holder (within the meaning of the Securities Act) for any legal and any other expenses reasonably incurred in connection with investigating or defending any such loss, claim, damage, liability or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PubCo will not be liable in any such case to the extent that any such loss, claim, damage, liability or expense are caused by, arises out of or is based on any untrue statement or omission made in reliance and in conformity with written information furnished to PubCo by or on behalf of such Holder expressly for use therein. PubCo shall indemnify each Underwriter, its respective officers and directors and each Person who controls such Underwriter (within the meaning of the Securities Act) to the same extent as provided in the foregoing sentence with respect to the indemnification of each Holder.</w:t>
      </w:r>
    </w:p>
    <w:p>
      <w:pPr>
        <w:spacing w:after="0" w:line="184" w:lineRule="exact"/>
        <w:rPr>
          <w:rFonts w:ascii="Arial" w:cs="Arial" w:eastAsia="Arial" w:hAnsi="Arial"/>
          <w:sz w:val="17"/>
          <w:szCs w:val="17"/>
          <w:color w:val="auto"/>
        </w:rPr>
      </w:pPr>
    </w:p>
    <w:p>
      <w:pPr>
        <w:jc w:val="both"/>
        <w:ind w:firstLine="1304"/>
        <w:spacing w:after="0" w:line="286" w:lineRule="auto"/>
        <w:tabs>
          <w:tab w:leader="none" w:pos="155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connection with any Registration Statement or Prospectus in which a Holder of Registrable Securities is participating, such Holder shall furnish to PubCo in writing such information and affidavits as PubCo reasonably requests for use in connection with any such Registration Statement or Prospectus (the “</w:t>
      </w:r>
      <w:r>
        <w:rPr>
          <w:rFonts w:ascii="Arial" w:cs="Arial" w:eastAsia="Arial" w:hAnsi="Arial"/>
          <w:sz w:val="16"/>
          <w:szCs w:val="16"/>
          <w:u w:val="single" w:color="auto"/>
          <w:color w:val="auto"/>
        </w:rPr>
        <w:t>Holder Information</w:t>
      </w:r>
      <w:r>
        <w:rPr>
          <w:rFonts w:ascii="Arial" w:cs="Arial" w:eastAsia="Arial" w:hAnsi="Arial"/>
          <w:sz w:val="16"/>
          <w:szCs w:val="16"/>
          <w:color w:val="auto"/>
        </w:rPr>
        <w:t xml:space="preserve">”) and, to the extent permitted by Law, such Holder shall indemnify and hold harmless PubCo, its officers, managers, directors, employees, trustees, equityholders, beneficiaries, affiliates, agents and Representatives and each Person who controls PubCo (within the meaning of the Securities Act) against any losses, claims, damages, liabilities and expenses (including reasonable attorneys’ fees) (or actions in respect thereof) arising out of, resulting from or based on any untrue statement of material fact contained in the Registration Statement, Prospectus or preliminary Prospectus or similar document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or on behalf of such Holder expressly for use therein;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each Underwriter, its officers, directors and each Person who controls such Underwriter (within the meaning of the Securities Act) to the same extent as provided in the foregoing sentence with respect to indemnification of PubCo.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1304"/>
        <w:spacing w:after="0" w:line="269" w:lineRule="auto"/>
        <w:tabs>
          <w:tab w:leader="none" w:pos="155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Any Person entitled to indemnification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(i) give prompt written notice, after such Person has actual knowledge thereof, to the indemnifying party of any claim or litigation with respect to which such Person seeks indemnification (provided that the failure to give prompt notice shall not impair any Person’s right to indemnification hereunder to the extent such failure has not materially prejudiced the indemnifying party in the defense of any such claim or litigation) and (ii) permit such indemnifying party to assume the defense of such claim with counsel reasonably satisfactory to the indemnified party (not be unreasonably withheld, conditioned or delayed) and the indemnified party may participate in such defense at the indemnifying party’s expense if representation of such indemnified party would be inappropriate due to actual or potential differing interests between such indemnified party and any other party represented by such counsel in such proceeding. An indemnifying party, in the defense of any such claim or litigation, without the consent of each indemnified party, may only consent to the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sums payable in connection with such settlement are paid in full by the indemnifying party.</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59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indemnification provided under this Investor Rights Agreement shall remain in full force and effect regardless of any investigation made by or on behalf of the indemnified party or any officer, manager, director, Representative or controlling Person of such indemnified party and shall survive the Transfer of securities.</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5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If the indemnification provided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Sections 2.10(a), 2.10(b)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2.10(c),</w:t>
      </w:r>
      <w:r>
        <w:rPr>
          <w:rFonts w:ascii="Arial" w:cs="Arial" w:eastAsia="Arial" w:hAnsi="Arial"/>
          <w:sz w:val="16"/>
          <w:szCs w:val="16"/>
          <w:color w:val="auto"/>
        </w:rPr>
        <w:t xml:space="preserve"> any legal or other fees, charges or expenses reasonably incurred by such Party in connection with any investigation or proceeding. The Parties agree that it would not be just and equitable if contribution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from any Person who was not guilty of such fraudulent misrepresentation.</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Other than the registration rights set forth in the Original RRA, in the PIPE Subscription Agreements and in the NextEra Subscription Agreement, PubCo represents and warrants that no Person, other than a Holder of Registrable Securities pursuant to this Investor Rights Agreement, has any right to require PubCo to register any securities of PubCo for sale or to include such securities of PubCo in any Registration Statement filed by PubCo for the sale of securities for its own account or for the account of any other Person. Further, each of PubCo, the Sponsor and the Sponsor Principals represents and warrants that this Investor Rights Agreement supersedes any other registration rights agreement or agreement (including the Original RRA), other than the PIPE Subscription Agreements and the NextEra Subscription Agreement.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SEC Rule 144</w:t>
      </w:r>
      <w:r>
        <w:rPr>
          <w:rFonts w:ascii="Arial" w:cs="Arial" w:eastAsia="Arial" w:hAnsi="Arial"/>
          <w:sz w:val="18"/>
          <w:szCs w:val="18"/>
          <w:color w:val="auto"/>
        </w:rPr>
        <w:t>. With a view to making available to the Holders the benefits of SEC Rule 144, PubCo covenants that it will (a) make available at all times information necessary to comply with SEC Rule 144, if SEC Rule 144 is available with respect to resales of the Registrable Securities under the Securities Act and (b) take such further action as the Holders may reasonably request, all to the extent required from time to time to enable them to sell Registrable Securities without registration under the Securities Act within the limitation of the exemptions provided by SEC Rule 144 promulgated under the Securities Act (if available with respect to resales of the Registrable Securities), as such rule may be amended from time to time. Upon the request of any Holder, PubCo will deliver to such Holder a written statement as to whether PubCo has complied with such information requirements, and, if not, the specific reasons for non-compliance.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jc w:val="both"/>
        <w:ind w:firstLine="648"/>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terminate with respect to any Holder on the date that such Holder no longer holds any Registrable Securities.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survive any such termination with respect to such Holder.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Holder Information</w:t>
      </w:r>
      <w:r>
        <w:rPr>
          <w:rFonts w:ascii="Arial" w:cs="Arial" w:eastAsia="Arial" w:hAnsi="Arial"/>
          <w:sz w:val="18"/>
          <w:szCs w:val="18"/>
          <w:color w:val="auto"/>
        </w:rPr>
        <w:t xml:space="preserve">. Each Holder agrees, if requested in writing by PubCo, to represent to PubCo the total number of Registrable Securities held by such Holder in order for PubCo to make determinations under this Investor Rights Agreement, including for purposes of </w:t>
      </w:r>
      <w:r>
        <w:rPr>
          <w:rFonts w:ascii="Arial" w:cs="Arial" w:eastAsia="Arial" w:hAnsi="Arial"/>
          <w:sz w:val="18"/>
          <w:szCs w:val="18"/>
          <w:u w:val="single" w:color="auto"/>
          <w:color w:val="auto"/>
        </w:rPr>
        <w:t>Section 2.12</w:t>
      </w:r>
      <w:r>
        <w:rPr>
          <w:rFonts w:ascii="Arial" w:cs="Arial" w:eastAsia="Arial" w:hAnsi="Arial"/>
          <w:sz w:val="18"/>
          <w:szCs w:val="18"/>
          <w:color w:val="auto"/>
        </w:rPr>
        <w:t>. Other than the Sellers and the Founder Holders, a Party who does not hold Registrable Securities as of the Closing Date and who acquires Registrable Securities after the Closing Date will not be a “Holder” until such Party gives PubCo a representation in writing of the number of Registrable Securities it holds.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Termination of Original RRA</w:t>
      </w:r>
      <w:r>
        <w:rPr>
          <w:rFonts w:ascii="Arial" w:cs="Arial" w:eastAsia="Arial" w:hAnsi="Arial"/>
          <w:sz w:val="16"/>
          <w:szCs w:val="16"/>
          <w:color w:val="auto"/>
        </w:rPr>
        <w:t>. Upon the Closing, PubCo, the Sponsor and the Sponsor Principals hereby agree that the Original RRA and all of the respective rights and obligations of the parties thereunder are hereby terminated in their entirety and shall be of no further force or effect.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Distributions; Direct Ownership</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7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 the event that, pursuant to and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the Sponsor distributes all of its Registrable Securities to its equityholders, limited partners and members of its general partner (the “</w:t>
      </w:r>
      <w:r>
        <w:rPr>
          <w:rFonts w:ascii="Arial" w:cs="Arial" w:eastAsia="Arial" w:hAnsi="Arial"/>
          <w:sz w:val="18"/>
          <w:szCs w:val="18"/>
          <w:u w:val="single" w:color="auto"/>
          <w:color w:val="auto"/>
        </w:rPr>
        <w:t>Sponsor Members</w:t>
      </w:r>
      <w:r>
        <w:rPr>
          <w:rFonts w:ascii="Arial" w:cs="Arial" w:eastAsia="Arial" w:hAnsi="Arial"/>
          <w:sz w:val="18"/>
          <w:szCs w:val="18"/>
          <w:color w:val="auto"/>
        </w:rPr>
        <w:t xml:space="preserve">”), the Sponsor Members shall be treated as the Sponsor under this Investor Rights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Sponsor Members, taken as a whole, shall not be entitled to rights in excess of those conferred on the Sponsor, as if the Sponsor remained a single entity party to this Investor Rights Agreement.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 the event that a Seller distributes all of its Registrable Securities to its equityholders, such equityholders shall be treated as a Seller under this Investor Rights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equityholders, taken as a whole, shall not be entitled to rights in excess of those conferred on a Seller, as if such Seller remained a single party to this Investor Rights Agreement.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Adjustments</w:t>
      </w:r>
      <w:r>
        <w:rPr>
          <w:rFonts w:ascii="Arial" w:cs="Arial" w:eastAsia="Arial" w:hAnsi="Arial"/>
          <w:sz w:val="18"/>
          <w:szCs w:val="18"/>
          <w:color w:val="auto"/>
        </w:rPr>
        <w:t>. If there are any changes in the shares of Common Stock as a result of stock split, stock dividend, combination or reclassification, or through merger, consolidation, recapitalization or other similar event, equitable adjustment shall be made in the provisions of this Investor Rights Agreement, as may be required, so that the rights, privileges, duties and obligations under this Investor Rights Agreement shall continue with respect to the shares of Common Stock as so changed.</w:t>
      </w:r>
    </w:p>
    <w:p>
      <w:pPr>
        <w:spacing w:after="0" w:line="18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LOCK-UP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58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Each Holder (other than the Sponsor Principals, except to the extent a Sponsor Principal is a transferee (including Permitted Transferee) of Lock-Up Shares from another Holder) severally, and not jointly, agrees with PubCo not to effect any Transfer, or make a public announcement of any intention to effect such Transfer, of any Lock-Up Shares Beneficially Owned or otherwise held by such Holder during the Lock-Up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prohibition shall not apply to Transfers (i) permitted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(ii) permitted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2.9)</w:t>
      </w:r>
      <w:r>
        <w:rPr>
          <w:rFonts w:ascii="Arial" w:cs="Arial" w:eastAsia="Arial" w:hAnsi="Arial"/>
          <w:sz w:val="16"/>
          <w:szCs w:val="16"/>
          <w:color w:val="auto"/>
        </w:rPr>
        <w:t>. The “</w:t>
      </w:r>
      <w:r>
        <w:rPr>
          <w:rFonts w:ascii="Arial" w:cs="Arial" w:eastAsia="Arial" w:hAnsi="Arial"/>
          <w:sz w:val="16"/>
          <w:szCs w:val="16"/>
          <w:u w:val="single" w:color="auto"/>
          <w:color w:val="auto"/>
        </w:rPr>
        <w:t>Lock-Up Period</w:t>
      </w:r>
      <w:r>
        <w:rPr>
          <w:rFonts w:ascii="Arial" w:cs="Arial" w:eastAsia="Arial" w:hAnsi="Arial"/>
          <w:sz w:val="16"/>
          <w:szCs w:val="16"/>
          <w:color w:val="auto"/>
        </w:rPr>
        <w:t>” with respect to the Lock-Up Shares of each Holder (other than the Sponsor Principals) shall be the period commencing on the Closing Date and continuing until the date that is one hundred eighty (180) days after the Closing Date. “</w:t>
      </w:r>
      <w:r>
        <w:rPr>
          <w:rFonts w:ascii="Arial" w:cs="Arial" w:eastAsia="Arial" w:hAnsi="Arial"/>
          <w:sz w:val="16"/>
          <w:szCs w:val="16"/>
          <w:u w:val="single" w:color="auto"/>
          <w:color w:val="auto"/>
        </w:rPr>
        <w:t>Lock-Up Shares</w:t>
      </w:r>
      <w:r>
        <w:rPr>
          <w:rFonts w:ascii="Arial" w:cs="Arial" w:eastAsia="Arial" w:hAnsi="Arial"/>
          <w:sz w:val="16"/>
          <w:szCs w:val="16"/>
          <w:color w:val="auto"/>
        </w:rPr>
        <w:t xml:space="preserve">” means the Equity Securities of PubCo and the Operating Company held by the Holders (other than the Sponsor Principals, except to the extent a Sponsor Principal is a transferee (including Permitted Transferee) of Lock-Up Shares from another Holder), directly or indirectly, as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Warrants (or any shares of Class A Common Stock issued upon exercise of any Warrant) be considered “Lock-Up Shares.”</w:t>
      </w:r>
    </w:p>
    <w:p>
      <w:pPr>
        <w:spacing w:after="0" w:line="166" w:lineRule="exact"/>
        <w:rPr>
          <w:rFonts w:ascii="Arial" w:cs="Arial" w:eastAsia="Arial" w:hAnsi="Arial"/>
          <w:sz w:val="16"/>
          <w:szCs w:val="16"/>
          <w:color w:val="auto"/>
        </w:rPr>
      </w:pPr>
    </w:p>
    <w:p>
      <w:pPr>
        <w:ind w:firstLine="1304"/>
        <w:spacing w:after="0" w:line="277" w:lineRule="auto"/>
        <w:tabs>
          <w:tab w:leader="none" w:pos="155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During the Lock-Up Period, any purported Transfer of Lock-Up Shares other than in accordance with this Investor Rights Agreement shall be null and void, and PubCo shall refuse to recognize any such Transfer for any purpose.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firstLine="1304"/>
        <w:spacing w:after="0" w:line="259" w:lineRule="auto"/>
        <w:tabs>
          <w:tab w:leader="none" w:pos="15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Holders acknowledge and agree that, notwithstanding anything to the contrary contained in this Investor Rights Agreement, the Equity Securities of PubCo and the Operating Company, in each case, Beneficially Owned by such Holder shall remain subject to any restrictions on Transfer under applicable securities Laws of any Governmental Entity, including all applicable holding periods under the Securities Act and other rules of the SEC.</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xml:space="preserve">. Notwithstanding anything to the contrary contained in this Investor Rights Agreement, during the Lock-Up Period applicable to any Lock-Up Shares of a Holder, such Holder may Transfer, without the consent of PubCo, any of such Lock-Up Shares to (a) any of such Holder’s Permitted Transferees, upon written notice to PubCo or (b)(i) a charitable organization, upon written notice to PubCo, (ii) in the case of an individual, by virtue of Laws of descent and distribution upon death of the individual, (iii) in the case of an individual, pursuant to a qualified domestic relations order or (iv) pursuant to any liquidation, merger, stock exchange or other similar transaction which results in all of PubCo’s stockholders having the right to exchange their shares of Common Stock for cash, securities or other property subsequent to the Business Combination; provided that in connection with any Transfer of such Lock-Up Shares pursuant to clause (b)(ii) or clause (b)(iii), (A) the restrictions and obligations contained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continue to apply to such Lock-Up Shares after any Transfer of such Lock-Up Shares and (B) the Transferee of such Lock-Up Shares shall have no rights under this Investor Rights Agreement, unless, for the avoidance of doubt, such Transferee is a Permitted Transferee in accordance with this Investor Rights Agreement. Any Transferee of Lock-Up Shares that is a Permitted Transferee of the Transferor shall be required, at the time of and as a condition to such Transfer, to become a party to this Investor Rights Agreement, by executing and delivering a joinder, substantially in the form attached to this Investor Rights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whereupon such Transferee will be treated as a Party (with the same rights and obligations as the Transferor) for all purposes of this Investor Rights Agreement. Notwithstanding anything to the contrary, and for the avoidance of doubt, the Sponsor shall be permitted to forfeit any portion of its Lock-Up Shares pursuant to the Sponsor Letter.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Other Lock-Up Restrictions</w:t>
      </w:r>
      <w:r>
        <w:rPr>
          <w:rFonts w:ascii="Arial" w:cs="Arial" w:eastAsia="Arial" w:hAnsi="Arial"/>
          <w:sz w:val="16"/>
          <w:szCs w:val="16"/>
          <w:color w:val="auto"/>
        </w:rPr>
        <w:t xml:space="preserve">. Each of PubCo, the Sponsor and each Sponsor Principal hereby acknowledge and agree that this </w:t>
      </w:r>
      <w:r>
        <w:rPr>
          <w:rFonts w:ascii="Arial" w:cs="Arial" w:eastAsia="Arial" w:hAnsi="Arial"/>
          <w:sz w:val="16"/>
          <w:szCs w:val="16"/>
          <w:u w:val="single" w:color="auto"/>
          <w:color w:val="auto"/>
        </w:rPr>
        <w:t>Article</w:t>
      </w:r>
    </w:p>
    <w:p>
      <w:pPr>
        <w:spacing w:after="0" w:line="46" w:lineRule="exact"/>
        <w:rPr>
          <w:sz w:val="20"/>
          <w:szCs w:val="20"/>
          <w:color w:val="auto"/>
        </w:rPr>
      </w:pPr>
    </w:p>
    <w:p>
      <w:pPr>
        <w:ind w:firstLine="8"/>
        <w:spacing w:after="0" w:line="260" w:lineRule="auto"/>
        <w:tabs>
          <w:tab w:leader="none" w:pos="236" w:val="left"/>
        </w:tabs>
        <w:numPr>
          <w:ilvl w:val="0"/>
          <w:numId w:val="133"/>
        </w:numPr>
        <w:rPr>
          <w:rFonts w:ascii="Arial" w:cs="Arial" w:eastAsia="Arial" w:hAnsi="Arial"/>
          <w:sz w:val="18"/>
          <w:szCs w:val="18"/>
          <w:u w:val="single" w:color="auto"/>
          <w:color w:val="auto"/>
        </w:rPr>
      </w:pPr>
      <w:r>
        <w:rPr>
          <w:rFonts w:ascii="Arial" w:cs="Arial" w:eastAsia="Arial" w:hAnsi="Arial"/>
          <w:sz w:val="18"/>
          <w:szCs w:val="18"/>
          <w:color w:val="auto"/>
        </w:rPr>
        <w:t>supersedes Section 5 of the Sponsor Letter in all respects, and, upon execution of this Investor Rights Agreement by each of PubCo, the Sponsor and each Sponsor Principal, the Sponsor Letter shall be deemed amended to remove Section 5 of the Sponsor Letter.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Assignment; Successors and Assigns; No Third Party Beneficiaries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7" w:lineRule="auto"/>
        <w:tabs>
          <w:tab w:leader="none" w:pos="158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Except as otherwise permitted pursuant to this Investor Rights Agreement, and other than assignments in connection with a distribution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no Party may assign such Party’s rights and obligations under this Investor Rights Agreement, in whole or in part, without the prior written consent of Opal HoldCo, in the case of an assignment by a Founder Holder, or the Sponsor, in the case of an assignment by a Seller. Any such assignee may not again assign those rights, other than in accordance with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Any attempted assignment of rights or obligations in violation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null and void.</w:t>
      </w:r>
    </w:p>
    <w:p>
      <w:pPr>
        <w:spacing w:after="0" w:line="187" w:lineRule="exact"/>
        <w:rPr>
          <w:rFonts w:ascii="Arial" w:cs="Arial" w:eastAsia="Arial" w:hAnsi="Arial"/>
          <w:sz w:val="18"/>
          <w:szCs w:val="18"/>
          <w:color w:val="auto"/>
        </w:rPr>
      </w:pPr>
    </w:p>
    <w:p>
      <w:pPr>
        <w:jc w:val="both"/>
        <w:ind w:firstLine="1304"/>
        <w:spacing w:after="0" w:line="286" w:lineRule="auto"/>
        <w:tabs>
          <w:tab w:leader="none" w:pos="157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Investor Rights Agreement (other than the succeeding sentence of this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(i) prior to the expiration of the Lock-Up Period with respect to any Lock-Up Shares of a Holder, such Holder may not Transfer such Holder’s rights or obligations under this Investor Rights Agreement in connection with a Transfer of such Holder’s Registrable Securities, in whole or in part, except in connection with a Transfer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(ii) after the expiration of the Lock-Up Period with respect to such Lock-Up Shares, such Holder may Transfer such Holder’s rights or obligations under this Investor Rights Agreement in connection with a Transfer of such Holder’s Registrable Securities, in whole or in part, to (A) any of such Holder’s Permitted Transferees or (B) any Person with the prior written consent of PubCo. Any Transferee of Registrable Securities (other than pursuant to an effective Registration Statement or an SEC Rule 144 transaction) pursuant to this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shall be required, at the time of and as a condition to such Transfer, to become a party to this Investor Rights Agreement by executing and delivering a joinder, substantially in the form attached to this Investor Rights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whereupon such Transferee will be treated as a Party (with the same rights and obligations as the Transferor) for all purposes of this Investor Rights Agreement. No Transfer of Registrable Securities by a Holder shall be registered on PubCo’s books and records, and such Transfer of Registrable Securities shall be null and void and not otherwise effective, unless any such Transfer is made in accordance with the terms and conditions of this Investor Rights Agreement, and PubCo is hereby authorized by all of the Holders to enter appropriate stop transfer notations on its transfer records to give effect to this Investor Rights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1304"/>
        <w:spacing w:after="0" w:line="311" w:lineRule="auto"/>
        <w:tabs>
          <w:tab w:leader="none" w:pos="154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All of the terms and provisions of this Investor Rights Agreement shall be binding upon the Parties and their respective successors, assigns, heirs and representatives, but shall inure to the benefit of and be enforceable by the successors, assigns, heirs and representatives of any Party only to the extent that they are permitted successors, assigns, heirs and representatives pursuant to the terms of this Investor Rights Agreement.</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5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Nothing in this Investor Rights Agreement, express or implied, is intended to confer upon any Party, other than the Parties and their respective permitted successors, assigns, heirs and representatives, any rights or remedies under this Investor Rights Agreement or otherwise create any third party beneficiary hereto.</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of this Investor Rights Agreement shall terminate as set forth in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The remainder of this Investor Rights Agreement shall terminate automatically (without any action by any Party) as to each Holder when such Holder ceases to Beneficially Own any Registrable Securities; provided that the provisions of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survive any such termination with respect to such Holder.</w:t>
      </w:r>
    </w:p>
    <w:p>
      <w:pPr>
        <w:spacing w:after="0" w:line="16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Investor Rights Agreement is determined to be invalid, illegal or unenforceable by any Governmental Entity, the remaining provisions of this Investor Rights Agreement, to the extent permitted by Law shall remain in full force and effect.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Entire Agreement; Amendments; No Waiver</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7" w:lineRule="auto"/>
        <w:tabs>
          <w:tab w:leader="none" w:pos="155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Investor Rights Agreement, together with Exhibits to this Investor Rights Agreement, the BCA, the Opco LLC Agreement, all other Ancillary Documents, constitute the entire agreement among the Parties with respect to the subject matter hereof and thereof and supersede all prior and contemporaneous agreements, understandings and discussions, whether oral or written, relating to such subject matter in any way and there are no warranties, representations or other agreements among the Parties in connection with such subject matter except as set forth in this Investor Rights Agreement and therein.</w:t>
      </w:r>
    </w:p>
    <w:p>
      <w:pPr>
        <w:spacing w:after="0" w:line="187" w:lineRule="exact"/>
        <w:rPr>
          <w:rFonts w:ascii="Arial" w:cs="Arial" w:eastAsia="Arial" w:hAnsi="Arial"/>
          <w:sz w:val="18"/>
          <w:szCs w:val="18"/>
          <w:color w:val="auto"/>
        </w:rPr>
      </w:pPr>
    </w:p>
    <w:p>
      <w:pPr>
        <w:jc w:val="both"/>
        <w:ind w:firstLine="1304"/>
        <w:spacing w:after="0" w:line="270" w:lineRule="auto"/>
        <w:tabs>
          <w:tab w:leader="none" w:pos="156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No provision of this Investor Rights Agreement may be amended or modified in whole or in part at any time without the express written consent of (i) PubCo, (ii) for so long as the Sellers and their Permitted Transferees collectively Beneficially Own fifteen percent (15%) or more of the voting power of the stock of PubCo held by the Sellers immediately after the Closing, Opal HoldCo, (iii) for so long as the Sponsor and its Permitted Transferees collectively Beneficially Own Class A Common Stock representing fifty percent (50%) or more of the Class A Common Stock held by the Sponsor immediately after the Closing, the Sponsor and (iv) in any event at least the Holders holding in the aggregate more than fifty percent (50%) of the Registrable Securities Beneficially Owned by the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amendment or modification that would be materially adverse in any respect to any Holder shall require the prior written consent of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a provision that has terminated with respect to a Party shall not require any consent of such Party (and such Party’s Class A Common Stock shall not be considered in computing any percentages) with respect to amending or modifying such provision.</w:t>
      </w:r>
    </w:p>
    <w:p>
      <w:pPr>
        <w:spacing w:after="0" w:line="180" w:lineRule="exact"/>
        <w:rPr>
          <w:rFonts w:ascii="Arial" w:cs="Arial" w:eastAsia="Arial" w:hAnsi="Arial"/>
          <w:sz w:val="17"/>
          <w:szCs w:val="17"/>
          <w:color w:val="auto"/>
        </w:rPr>
      </w:pPr>
    </w:p>
    <w:p>
      <w:pPr>
        <w:jc w:val="both"/>
        <w:ind w:firstLine="1304"/>
        <w:spacing w:after="0" w:line="271" w:lineRule="auto"/>
        <w:tabs>
          <w:tab w:leader="none" w:pos="155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No waiver of any provision or default under, nor consent to any exception to, the terms of this Investor Rights Agreement shall be effective unless in writing and signed by the Party to be bound and then only to the specific purpose, extent and instance so provided; provided that, notwithstanding the foregoing, no waiver of any provision or default under, nor consent to any exception to, the terms and provisions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effective unless in writing and signed by each of (i) PubCo, (ii) for so long as the Sellers and their Permitted Transferees collectively Beneficially Own fifteen percent (15%) or more of the voting power of the stock of PubCo held by the Sellers immediately after the Closing, Opal HoldCo, (iii) for so long as the Sponsor and its Permitted Transferees collectively Beneficially Own Class A Common Stock representing fifty percent (50%) or more of the Class A Common Stock held by the Sponsor immediately after the Closing, the Sponsor and (iv) at least the Holders holding, in the aggregate, more than fifty percent (50%) of the Registrable Securities Beneficially Owned by the Holders.</w:t>
      </w:r>
    </w:p>
    <w:p>
      <w:pPr>
        <w:spacing w:after="0" w:line="178" w:lineRule="exact"/>
        <w:rPr>
          <w:rFonts w:ascii="Arial" w:cs="Arial" w:eastAsia="Arial" w:hAnsi="Arial"/>
          <w:sz w:val="17"/>
          <w:szCs w:val="17"/>
          <w:color w:val="auto"/>
        </w:rPr>
      </w:pPr>
    </w:p>
    <w:p>
      <w:pPr>
        <w:jc w:val="both"/>
        <w:ind w:firstLine="1304"/>
        <w:spacing w:after="0" w:line="279" w:lineRule="auto"/>
        <w:tabs>
          <w:tab w:leader="none" w:pos="158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other than with respect to amendments, modifications, waivers or consents relating to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no amendment, modification, waiver or consent shall be required by (i) the Sponsor or its Permitted Transferees, with respect to any provision that has, in accordance with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terminated as to the Founder Holders or (ii) any Seller or its Permitted Transferees, with respect to any provision that has, in accordance with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terminated as to such Seller or all of the Sellers.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Counterparts; Electronic Delivery</w:t>
      </w:r>
      <w:r>
        <w:rPr>
          <w:rFonts w:ascii="Arial" w:cs="Arial" w:eastAsia="Arial" w:hAnsi="Arial"/>
          <w:sz w:val="17"/>
          <w:szCs w:val="17"/>
          <w:color w:val="auto"/>
        </w:rPr>
        <w:t>. This Investor Rights Agreement and any other agreements, certificates, instruments and documents delivered pursuant to this Investor Rights Agreement may be executed and delivered in one or more counterparts and by email or other electronic transmission, each of which shall be deemed an original and all of which shall be considered one and the same agreement. No Party shall raise the use of email to deliver a signature or the fact that any signature or agreement or instrument was transmitted or communicated through the use of email as a defense to the formation or enforceability of a contract and each Party forever waives any such defense.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firstLine="648"/>
        <w:spacing w:after="0" w:line="30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w:t>
      </w:r>
      <w:r>
        <w:rPr>
          <w:rFonts w:ascii="Arial" w:cs="Arial" w:eastAsia="Arial" w:hAnsi="Arial"/>
          <w:sz w:val="16"/>
          <w:szCs w:val="16"/>
          <w:i w:val="1"/>
          <w:iCs w:val="1"/>
          <w:color w:val="auto"/>
        </w:rPr>
        <w:t>i.e.,</w:t>
      </w:r>
      <w:r>
        <w:rPr>
          <w:rFonts w:ascii="Arial" w:cs="Arial" w:eastAsia="Arial" w:hAnsi="Arial"/>
          <w:sz w:val="16"/>
          <w:szCs w:val="16"/>
          <w:color w:val="auto"/>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57" w:lineRule="exact"/>
        <w:rPr>
          <w:sz w:val="20"/>
          <w:szCs w:val="20"/>
          <w:color w:val="auto"/>
        </w:rPr>
      </w:pPr>
    </w:p>
    <w:p>
      <w:pPr>
        <w:ind w:left="1960" w:hanging="656"/>
        <w:spacing w:after="0"/>
        <w:tabs>
          <w:tab w:leader="none" w:pos="1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to PubCo, to:</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OPAL Fuels Inc.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200 Clarendon Street, 55th Floor Boston, MA 02116</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Attn.:</w:t>
        <w:tab/>
        <w:t>General Counsel</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christine.miller@arclightclean.com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 Fortistar</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noticeofficer@fortistar.com</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noticeofficer@opalfuels.com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Sheppard, Mullin, Richter &amp; Hampton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Andrew M. Feiner</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right"/>
        <w:ind w:right="6180"/>
        <w:spacing w:after="0"/>
        <w:rPr>
          <w:sz w:val="20"/>
          <w:szCs w:val="20"/>
          <w:color w:val="auto"/>
        </w:rPr>
      </w:pPr>
      <w:r>
        <w:rPr>
          <w:rFonts w:ascii="Arial" w:cs="Arial" w:eastAsia="Arial" w:hAnsi="Arial"/>
          <w:sz w:val="18"/>
          <w:szCs w:val="18"/>
          <w:color w:val="auto"/>
        </w:rPr>
        <w:t>E-mail: afelner@sheppardmullin.com</w:t>
      </w:r>
    </w:p>
    <w:p>
      <w:pPr>
        <w:spacing w:after="0" w:line="9" w:lineRule="exact"/>
        <w:rPr>
          <w:sz w:val="20"/>
          <w:szCs w:val="20"/>
          <w:color w:val="auto"/>
        </w:rPr>
      </w:pPr>
    </w:p>
    <w:p>
      <w:pPr>
        <w:jc w:val="right"/>
        <w:ind w:right="6120"/>
        <w:spacing w:after="0"/>
        <w:rPr>
          <w:sz w:val="20"/>
          <w:szCs w:val="20"/>
          <w:color w:val="auto"/>
        </w:rPr>
      </w:pPr>
      <w:r>
        <w:rPr>
          <w:rFonts w:ascii="Arial" w:cs="Arial" w:eastAsia="Arial" w:hAnsi="Arial"/>
          <w:sz w:val="18"/>
          <w:szCs w:val="18"/>
          <w:color w:val="auto"/>
        </w:rPr>
        <w:t>jbooher@sheppardmullin.com</w:t>
      </w:r>
    </w:p>
    <w:p>
      <w:pPr>
        <w:spacing w:after="0" w:line="211" w:lineRule="exact"/>
        <w:rPr>
          <w:sz w:val="20"/>
          <w:szCs w:val="20"/>
          <w:color w:val="auto"/>
        </w:rPr>
      </w:pPr>
    </w:p>
    <w:p>
      <w:pPr>
        <w:ind w:left="1960" w:hanging="656"/>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to any Seller, to:</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One North Lexington Avenue Suite 1450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Attn.:</w:t>
        <w:tab/>
        <w:t>John H. Coghlin, General Counsel</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jcoghlin@opalfuels.com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copies (which shall not constitute notice) to: c/o Fortistar</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One North Lexington Avenue, 14th Floor</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noticeofficer@fortistar.com</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noticeofficer@opalfuels.com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Sheppard, Mullin, Richter &amp; Hampton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30 Rockefeller Plaza New York, New York 10112</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Andrew M. Felner</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right"/>
        <w:ind w:right="6180"/>
        <w:spacing w:after="0"/>
        <w:rPr>
          <w:sz w:val="20"/>
          <w:szCs w:val="20"/>
          <w:color w:val="auto"/>
        </w:rPr>
      </w:pPr>
      <w:r>
        <w:rPr>
          <w:rFonts w:ascii="Arial" w:cs="Arial" w:eastAsia="Arial" w:hAnsi="Arial"/>
          <w:sz w:val="18"/>
          <w:szCs w:val="18"/>
          <w:color w:val="auto"/>
        </w:rPr>
        <w:t>E-mail: afelner@sheppardmullin.com</w:t>
      </w:r>
    </w:p>
    <w:p>
      <w:pPr>
        <w:spacing w:after="0" w:line="9" w:lineRule="exact"/>
        <w:rPr>
          <w:sz w:val="20"/>
          <w:szCs w:val="20"/>
          <w:color w:val="auto"/>
        </w:rPr>
      </w:pPr>
    </w:p>
    <w:p>
      <w:pPr>
        <w:jc w:val="right"/>
        <w:ind w:right="6120"/>
        <w:spacing w:after="0"/>
        <w:rPr>
          <w:sz w:val="20"/>
          <w:szCs w:val="20"/>
          <w:color w:val="auto"/>
        </w:rPr>
      </w:pPr>
      <w:r>
        <w:rPr>
          <w:rFonts w:ascii="Arial" w:cs="Arial" w:eastAsia="Arial" w:hAnsi="Arial"/>
          <w:sz w:val="18"/>
          <w:szCs w:val="18"/>
          <w:color w:val="auto"/>
        </w:rPr>
        <w:t>jbooher@sheppardmullin.com</w:t>
      </w:r>
    </w:p>
    <w:p>
      <w:pPr>
        <w:spacing w:after="0" w:line="211" w:lineRule="exact"/>
        <w:rPr>
          <w:sz w:val="20"/>
          <w:szCs w:val="20"/>
          <w:color w:val="auto"/>
        </w:rPr>
      </w:pPr>
    </w:p>
    <w:p>
      <w:pPr>
        <w:ind w:left="1960" w:hanging="656"/>
        <w:spacing w:after="0"/>
        <w:tabs>
          <w:tab w:leader="none" w:pos="1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to any Founder Holder, to:</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ArcLight CTC Holdings II, 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200 Clarendon Street, 55th Floor Boston, MA 02116</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christine.miller@arclightclean.com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2280"/>
        <w:spacing w:after="0"/>
        <w:tabs>
          <w:tab w:leader="none" w:pos="29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Doug Bacon, P. 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Julian Seiguer, P.C.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Jennifer R. Gasser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douglas.bacon@kirkland.com</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julian.seiguer@kirkland.com</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jennifer.gasser@kirkland.com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to such other address as the party to whom notice is given may have furnished following the date of this Investor Rights Agreement and prior to such notice to the others in writing in the manner set forth above.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Investor Rights Agreement and the consummation of the transactions contemplated by this Investor Rights Agreement, and any action, suit, dispute, controversy or claim arising out of this Investor Rights Agreement and the consummation of the transactions contemplated by this Investor Rights Agreement, or the validity, interpretation, breach or termination of this Investor Rights Agreement and the consummation of the transactions contemplated by this Investor Rights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PARTIES HEREBY IRREVOCABLY AND UNCONDITIONALLY WAIVES, TO THE FULLEST EXTENT PERMITTED BY LAW, ANY RIGHT IT MAY HAVE TO A TRIAL BY JURY WITH RESPECT TO ANY PROCEEDING, CLAIM, DEMAND, ACTION, OR CAUSE OF ACTION (A) ARISING UNDER THIS INVESTOR RIGHTS AGREEMENT OR (B) IN ANY WAY CONNECTED WITH OR RELATED OR INCIDENTAL TO THE DEALINGS OF THE PARTIES IN RESPECT OF THIS INVESTOR RIGHTS AGREEMENT OR ANY OF THE TRANSACTIONS RELATED HERETO OR ANY FINANCING IN CONNECTION WITH THE TRANSACTIONS CONTEMPLATED 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INVESTOR RIGHTS AGREEMENT WITH ANY COURT AS WRITTEN EVIDENCE OF THE CONSENT OF THE PARTIES HERETO TO THE WAIVER OF THEIR RIGHT TO TRIAL BY JURY. EACH PARTY CERTIFIES AND ACKNOWLEDGES THAT (I) NO REPRESENTATIVE, AGENT OR ATTORNEY OF ANY OTHER PARTY HAS REPRESENTED, EXPRESSLY OR OTHERWISE, THAT SUCH OTHER PARTY WOULD NOT, IN THE EVENT OF LITIGATION, SEEK TO ENFORCE THE FOREGOING WAIVER,</w:t>
      </w:r>
    </w:p>
    <w:p>
      <w:pPr>
        <w:spacing w:after="0" w:line="7" w:lineRule="exact"/>
        <w:rPr>
          <w:sz w:val="20"/>
          <w:szCs w:val="20"/>
          <w:color w:val="auto"/>
        </w:rPr>
      </w:pPr>
    </w:p>
    <w:p>
      <w:pPr>
        <w:jc w:val="both"/>
        <w:ind w:firstLine="8"/>
        <w:spacing w:after="0" w:line="255" w:lineRule="auto"/>
        <w:tabs>
          <w:tab w:leader="none" w:pos="28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EACH SUCH PARTY UNDERSTANDS AND HAS CONSIDERED THE IMPLICATIONS OF THIS WAIVER, (III) EACH SUCH PARTY MAKES THIS WAIVER VOLUNTARILY AND (IV) EACH SUCH PARTY HAS BEEN INDUCED TO ENTER INTO THIS INVESTOR RIGHTS AGREEMENT BY, AMONG OTHER THINGS, THE MUTUAL WAIVERS AND CERTIFICATIONS IN THIS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Each of the Parties irrevocably and unconditionally submits to the exclusive jurisdiction of the Chancery Court of the State of Delaware and any state appellate court therefrom within the State of Delaware (or, if the Chancery Court of the State of Delaware declines to accept jurisdiction, the Superior Court of the State of Delaware, or the United States District Court for the District of Delaware and, in each case, the appellate court(s) therefrom), for the purposes of any Proceeding, claim, demand, action or cause of action (a) arising under this Investor Rights Agreement or (b) in any way connected with or related or incidental to the dealings of the Parties in respect of this Agreement or any of the transactions contemplated 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Investor Rights Agreement or (ii) in any way connected with or related or incidental to the dealings of the Parties in respect of this Investor Rights Agreement or any of the transactions contemplated hereby, (A) any claim that such Party is not personally subject to the jurisdiction of the courts as described in this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(1) the Proceeding, claim, demand, action or cause of action in any such court is brought against such Party in an inconvenient forum, (2) the venue of such Proceeding, claim, demand, action or cause of action against such Party is improper or (3) this Investor Rights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shall be effective service of process for any such Proceeding, claim, demand, action or cause of 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648"/>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hereby agrees and acknowledges that it will be impossible to measure in money the damages that would be suffered if the Parties fail to comply with any of the obligations imposed on them by this Investor Rights Agreement and that, in the event of any such failure, an aggrieved Party will be irreparably damaged and will not have an adequate remedy at Law. Any such Party shall, therefore, be entitled (in addition to any other remedy to which such Party may be entitled at Law or in equity) to injunctive relief, including specific performance, to enforce such obligations, without the posting of any bond, and if any Proceeding should be brought in equity to enforce any of the provisions of this Investor Rights Agreement, none of the Parties shall raise the defense that there is an adequate remedy at Law.</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Subsequent Acquisition of Shares</w:t>
      </w:r>
      <w:r>
        <w:rPr>
          <w:rFonts w:ascii="Arial" w:cs="Arial" w:eastAsia="Arial" w:hAnsi="Arial"/>
          <w:sz w:val="18"/>
          <w:szCs w:val="18"/>
          <w:color w:val="auto"/>
        </w:rPr>
        <w:t>. Any Equity Securities of PubCo or Operating Company acquired subsequent to the Effective Date by a Holder shall be subject to the terms and conditions of this Investor Rights Agreement and such Equity Securities shall be considered to be “Registrable Securities.”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Legends</w:t>
      </w:r>
      <w:r>
        <w:rPr>
          <w:rFonts w:ascii="Arial" w:cs="Arial" w:eastAsia="Arial" w:hAnsi="Arial"/>
          <w:sz w:val="18"/>
          <w:szCs w:val="18"/>
          <w:color w:val="auto"/>
        </w:rPr>
        <w:t>. Each of the Holders acknowledges that (a) no Transfer, hypothecation or assignment of any Registrable Securities Beneficially Owned by such Holder may be made except in compliance with applicable federal and state securities Laws and (b) PubCo shall (i) place customary restrictive legends on the certificates or book entries representing the Registrable Securities subject to this Investor Rights Agreement and (ii) remove such restrictive legends at the time the applicable Transfer and other restrictions contemplated thereby are no longer applicable to the Registrable Securities represented by such certificates or book entries.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No Third Party Liabilities</w:t>
      </w:r>
      <w:r>
        <w:rPr>
          <w:rFonts w:ascii="Arial" w:cs="Arial" w:eastAsia="Arial" w:hAnsi="Arial"/>
          <w:sz w:val="17"/>
          <w:szCs w:val="17"/>
          <w:color w:val="auto"/>
        </w:rPr>
        <w:t>. This Investor Rights Agreement may only be enforced against the named parties hereto. All claims or causes of action (whether in contract or tort) that may be based upon, arise out of or relate to any of this Investor Rights Agreement, or the negotiation, execution or performance of this Investor Rights Agreement (including any representation or warranty made in or in connection with this Investor Rights Agreement or as an inducement to enter into this Investor Rights Agreement), may be made only against the Persons that are expressly identified as parties hereto, as applicable, and no past, present or future direct or indirect director, officer, employee, incorporator, member, partner, stockholder, Affiliate, portfolio company in which any such Party or any of its investment fund Affiliates have made a debt or equity investment (and vice versa), agent, attorney or representative of any Party (including any Person negotiating or executing this Investor Rights Agreement on behalf of a Party), unless a Party to this Investor Rights Agreement, shall have any liability or obligation with respect to this Investor Rights Agreement or with respect any claim or cause of action (whether in contract or tort) that may arise out of or relate to this Investor Rights Agreement, or the negotiation, execution or performance of this Investor Rights Agreement (including a representation or warranty made in or in connection with this Investor Rights Agreement or as an inducement to enter into this Investor Rights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Each of the Parties recognizes that it, or its Affiliates and Representatives, has acquired or will acquire Confidential Information the use or disclosure of which could cause PubCo substantial loss and damages that could not be readily calculated and for which no remedy at Law would be adequate. Accordingly, each of the Parties covenants and agrees with PubCo that it will not (and will cause its respective controlled Affiliates and Representatives not to) at any time, except with the prior written consent of PubCo, directly or indirectly, disclose any Confidential Information known to it to any third party, unless (a) such information becomes known to the public through no fault of such Party, (b) disclosure is required by applicable Law or court of competent jurisdiction or requested by a Governmental Entity; provided that such Party promptly notifies PubCo of such requirement or request and takes commercially reasonable steps, at the sole cost and expense of PubCo, to minimize the extent of any such required disclosure, (c) such information was available or becomes available to such Party before, on or after the Effective Date, without restriction, from a source (other than PubCo) without any breach of duty to PubCo or (d) such information was independently developed by such Party or its Representatives without the use of Confidential Information. Notwithstanding the foregoing, nothing in this Investor Rights Agreement shall prohibit any Party from disclosing Confidential Information to any Affiliate, Representative, limited partner, member or shareholder of such Party; provided that such Person shall be bound by an obligation of confidentiality with respect to such Confidential Information and such Party shall be responsible for any breach of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by any such Person. No Confidential Information shall be deemed to be provided to any Person, including any Affiliate of any Party, unless such Confidential Information is actually provided to such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158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Statement in which a Holder of Registrable Securities is participating, PubCo agrees to indemnify, to the extent permitted by law, each such Holder of Registrable Securities, its officers, directors, employees, advisors, agents, Representatives, members and each Person who controls such Holder (within the meaning of the Securities Act) against all losses, claims, damages, liabilities and expenses (including attorneys’ fees and inclusive of all reasonable attorneys’ fees arising out of the enforcement of each such Persons’ rights under this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in the light of the circumstances in which they were made, not misleading, except insofar as the same are caused by or contained in any information furnished in writing to PubCo by such Holder expressly for use therein. PubCo shall indemnify the Underwriters, their officers and directors and each Person who controls such Underwriters (within the meaning of the Securities Act) to the same extent as provided in the foregoing with respect to the indemnification of the Holder. Notwithstanding the foregoing, the indemnity agreement contained in this </w:t>
      </w:r>
      <w:r>
        <w:rPr>
          <w:rFonts w:ascii="Arial" w:cs="Arial" w:eastAsia="Arial" w:hAnsi="Arial"/>
          <w:sz w:val="17"/>
          <w:szCs w:val="17"/>
          <w:u w:val="single" w:color="auto"/>
          <w:color w:val="auto"/>
        </w:rPr>
        <w:t>Section 4.15(a)</w:t>
      </w:r>
      <w:r>
        <w:rPr>
          <w:rFonts w:ascii="Arial" w:cs="Arial" w:eastAsia="Arial" w:hAnsi="Arial"/>
          <w:sz w:val="17"/>
          <w:szCs w:val="17"/>
          <w:color w:val="auto"/>
        </w:rPr>
        <w:t xml:space="preserve"> shall not apply to amounts paid in settlement of any such claim or proceeding if such settlement is effected without the consent of PubCo, which consent shall not be unreasonably withheld, conditioned or delayed.</w:t>
      </w:r>
    </w:p>
    <w:p>
      <w:pPr>
        <w:spacing w:after="0" w:line="178" w:lineRule="exact"/>
        <w:rPr>
          <w:rFonts w:ascii="Arial" w:cs="Arial" w:eastAsia="Arial" w:hAnsi="Arial"/>
          <w:sz w:val="17"/>
          <w:szCs w:val="17"/>
          <w:color w:val="auto"/>
        </w:rPr>
      </w:pPr>
    </w:p>
    <w:p>
      <w:pPr>
        <w:jc w:val="both"/>
        <w:ind w:firstLine="1304"/>
        <w:spacing w:after="0" w:line="287" w:lineRule="auto"/>
        <w:tabs>
          <w:tab w:leader="none" w:pos="155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a Holder of Registrable Securities is participating, such 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and any other Holders of Registrable Securities participating in the Registration,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PubCo.</w:t>
      </w:r>
    </w:p>
    <w:p>
      <w:pPr>
        <w:spacing w:after="0" w:line="167" w:lineRule="exact"/>
        <w:rPr>
          <w:rFonts w:ascii="Arial" w:cs="Arial" w:eastAsia="Arial" w:hAnsi="Arial"/>
          <w:sz w:val="16"/>
          <w:szCs w:val="16"/>
          <w:color w:val="auto"/>
        </w:rPr>
      </w:pPr>
    </w:p>
    <w:p>
      <w:pPr>
        <w:jc w:val="both"/>
        <w:ind w:firstLine="1304"/>
        <w:spacing w:after="0" w:line="268" w:lineRule="auto"/>
        <w:tabs>
          <w:tab w:leader="none" w:pos="153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Person entitled to indemnification herein shall (i) give prompt written notice to the indemnifying party of any claim with respect to which it seeks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prompt notice shall not impair any Person’s right to indemnification hereunder to the extent such failure has not materially prejudiced the indemnifying party’s ability to defend such action) and (ii) unless in such indemnified party’s reasonable judgment a conflict of interest between such indemnified and indemnifying parties may exist with respect to such claim or there may be reasonable defenses available to the indemnified party that are different from or additional to those available to the indemnifying party,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firstLine="1304"/>
        <w:spacing w:after="0" w:line="279" w:lineRule="auto"/>
        <w:tabs>
          <w:tab w:leader="none" w:pos="155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Holder of Registrable Securities participating in an offering also agrees to make such provisions as are reasonably requested by any indemnified party for contribution to such party in the event PubCo’s or such Holder’s indemnification is unavailable for any reason.</w:t>
      </w:r>
    </w:p>
    <w:p>
      <w:pPr>
        <w:spacing w:after="0" w:line="171" w:lineRule="exact"/>
        <w:rPr>
          <w:rFonts w:ascii="Arial" w:cs="Arial" w:eastAsia="Arial" w:hAnsi="Arial"/>
          <w:sz w:val="17"/>
          <w:szCs w:val="17"/>
          <w:color w:val="auto"/>
        </w:rPr>
      </w:pPr>
    </w:p>
    <w:p>
      <w:pPr>
        <w:jc w:val="both"/>
        <w:ind w:firstLine="1304"/>
        <w:spacing w:after="0" w:line="285" w:lineRule="auto"/>
        <w:tabs>
          <w:tab w:leader="none" w:pos="154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If the indemnification provided under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from the indemnifying party is held by a court of competent jurisdiction to be unavailable or insufficient to hold harmless an indemnified party in respect of any losses, claims, damages, liabilities and expenses referred to herein, then the indemnifying party, in lieu of indemnifying the indemnified party, shall to the extent permitted by law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a court of law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shall be limited to the amount of the net proceeds received by such Holder in such offering giving rise to such liability except in the case of fraud or willful misconduct by such Holder.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 4.15(a), Section 4.15(b)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4.15(c),</w:t>
      </w:r>
      <w:r>
        <w:rPr>
          <w:rFonts w:ascii="Arial" w:cs="Arial" w:eastAsia="Arial" w:hAnsi="Arial"/>
          <w:sz w:val="16"/>
          <w:szCs w:val="16"/>
          <w:color w:val="auto"/>
        </w:rPr>
        <w:t xml:space="preserve"> any legal or other fees, charges or expenses reasonably incurred by such party in connection with any investigation or proceeding. The Parties agree that it would not be just and equitable if contribution pursuant to this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No Person guilty of fraudulent misrepresentation (within the meaning of Section 11(f) of the Securities Act) shall be entitled to consideration pursuant to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from any Person who was not guilty of such fraudulent misrepresentation.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IN WITNESS WHEREOF, each of the Parties has duly executed this Investor Rights Agreement as of the Effective Date.</w:t>
      </w:r>
    </w:p>
    <w:p>
      <w:pPr>
        <w:spacing w:after="0" w:line="221"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PUBCO:</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14605</wp:posOffset>
            </wp:positionV>
            <wp:extent cx="24942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Jonathan Maurer</w:t>
      </w:r>
    </w:p>
    <w:p>
      <w:pPr>
        <w:spacing w:after="0" w:line="36"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207" w:lineRule="exact"/>
        <w:rPr>
          <w:sz w:val="20"/>
          <w:szCs w:val="20"/>
          <w:color w:val="auto"/>
        </w:rPr>
      </w:pPr>
    </w:p>
    <w:p>
      <w:pPr>
        <w:ind w:left="6420"/>
        <w:spacing w:after="0"/>
        <w:rPr>
          <w:sz w:val="20"/>
          <w:szCs w:val="20"/>
          <w:color w:val="auto"/>
        </w:rPr>
      </w:pPr>
      <w:r>
        <w:rPr>
          <w:rFonts w:ascii="Arial" w:cs="Arial" w:eastAsia="Arial" w:hAnsi="Arial"/>
          <w:sz w:val="18"/>
          <w:szCs w:val="18"/>
          <w:b w:val="1"/>
          <w:bCs w:val="1"/>
          <w:u w:val="single" w:color="auto"/>
          <w:color w:val="auto"/>
        </w:rPr>
        <w:t>SPONSOR:</w:t>
      </w:r>
    </w:p>
    <w:p>
      <w:pPr>
        <w:spacing w:after="0" w:line="225" w:lineRule="exact"/>
        <w:rPr>
          <w:sz w:val="20"/>
          <w:szCs w:val="20"/>
          <w:color w:val="auto"/>
        </w:rPr>
      </w:pPr>
    </w:p>
    <w:p>
      <w:pPr>
        <w:jc w:val="right"/>
        <w:ind w:right="1480"/>
        <w:spacing w:after="0"/>
        <w:rPr>
          <w:sz w:val="20"/>
          <w:szCs w:val="20"/>
          <w:color w:val="auto"/>
        </w:rPr>
      </w:pPr>
      <w:r>
        <w:rPr>
          <w:rFonts w:ascii="Arial" w:cs="Arial" w:eastAsia="Arial" w:hAnsi="Arial"/>
          <w:sz w:val="18"/>
          <w:szCs w:val="18"/>
          <w:b w:val="1"/>
          <w:bCs w:val="1"/>
          <w:color w:val="auto"/>
        </w:rPr>
        <w:t>ARCLIGHT CTC HOLDINGS II, L.P.</w:t>
      </w:r>
    </w:p>
    <w:p>
      <w:pPr>
        <w:spacing w:after="0" w:line="229" w:lineRule="exact"/>
        <w:rPr>
          <w:sz w:val="20"/>
          <w:szCs w:val="20"/>
          <w:color w:val="auto"/>
        </w:rPr>
      </w:pPr>
    </w:p>
    <w:tbl>
      <w:tblPr>
        <w:tblLayout w:type="fixed"/>
        <w:tblInd w:w="64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Revers</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Daniel R. Revers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28" w:name="page129"/>
    <w:bookmarkEnd w:id="128"/>
    <w:p>
      <w:pPr>
        <w:ind w:left="5640"/>
        <w:spacing w:after="0"/>
        <w:rPr>
          <w:sz w:val="20"/>
          <w:szCs w:val="20"/>
          <w:color w:val="auto"/>
        </w:rPr>
      </w:pPr>
      <w:r>
        <w:rPr>
          <w:rFonts w:ascii="Arial" w:cs="Arial" w:eastAsia="Arial" w:hAnsi="Arial"/>
          <w:sz w:val="18"/>
          <w:szCs w:val="18"/>
          <w:b w:val="1"/>
          <w:bCs w:val="1"/>
          <w:u w:val="single" w:color="auto"/>
          <w:color w:val="auto"/>
        </w:rPr>
        <w:t>SELLERS: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ARCC BEACON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Ian Fitzgerald</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OPAL HOLDCO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Contino</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HILLMAN RNG INVESTMENTS,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Contino</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9" w:name="page130"/>
    <w:bookmarkEnd w:id="129"/>
    <w:p>
      <w:pPr>
        <w:ind w:left="5640"/>
        <w:spacing w:after="0"/>
        <w:rPr>
          <w:sz w:val="20"/>
          <w:szCs w:val="20"/>
          <w:color w:val="auto"/>
        </w:rPr>
      </w:pPr>
      <w:r>
        <w:rPr>
          <w:rFonts w:ascii="Arial" w:cs="Arial" w:eastAsia="Arial" w:hAnsi="Arial"/>
          <w:sz w:val="18"/>
          <w:szCs w:val="18"/>
          <w:b w:val="1"/>
          <w:bCs w:val="1"/>
          <w:u w:val="single" w:color="auto"/>
          <w:color w:val="auto"/>
        </w:rPr>
        <w:t>SPONSOR PRINCIPALS: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 xml:space="preserve">Solely for purposes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Section 2.16(a)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Arno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Arno Harris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Ja-Chin Audrey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Ja-Chin Audrey Lee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Brian Goncher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Brian Goncher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Berkenfeld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Berkenfeld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1440" w:top="904" w:right="559" w:bottom="1440" w:gutter="0" w:footer="0" w:header="0"/>
        </w:sectPr>
      </w:pPr>
    </w:p>
    <w:bookmarkStart w:id="130" w:name="page131"/>
    <w:bookmarkEnd w:id="130"/>
    <w:p>
      <w:pPr>
        <w:ind w:left="52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Form of Joinder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9"/>
          </w:tcPr>
          <w:p>
            <w:pPr>
              <w:ind w:left="660"/>
              <w:spacing w:after="0"/>
              <w:rPr>
                <w:sz w:val="20"/>
                <w:szCs w:val="20"/>
                <w:color w:val="auto"/>
              </w:rPr>
            </w:pPr>
            <w:r>
              <w:rPr>
                <w:rFonts w:ascii="Arial" w:cs="Arial" w:eastAsia="Arial" w:hAnsi="Arial"/>
                <w:sz w:val="18"/>
                <w:szCs w:val="18"/>
                <w:color w:val="auto"/>
              </w:rPr>
              <w:t>This Joinder (this “Joinder”) to the Investor Rights Agreement, made as of</w:t>
            </w:r>
          </w:p>
        </w:tc>
        <w:tc>
          <w:tcPr>
            <w:tcW w:w="2600" w:type="dxa"/>
            <w:vAlign w:val="bottom"/>
            <w:gridSpan w:val="4"/>
          </w:tcPr>
          <w:p>
            <w:pPr>
              <w:spacing w:after="0"/>
              <w:rPr>
                <w:sz w:val="20"/>
                <w:szCs w:val="20"/>
                <w:color w:val="auto"/>
              </w:rPr>
            </w:pPr>
            <w:r>
              <w:rPr>
                <w:rFonts w:ascii="Arial" w:cs="Arial" w:eastAsia="Arial" w:hAnsi="Arial"/>
                <w:sz w:val="18"/>
                <w:szCs w:val="18"/>
                <w:color w:val="auto"/>
              </w:rPr>
              <w:t>, is by and between</w:t>
            </w:r>
          </w:p>
        </w:tc>
        <w:tc>
          <w:tcPr>
            <w:tcW w:w="1360" w:type="dxa"/>
            <w:vAlign w:val="bottom"/>
            <w:gridSpan w:val="3"/>
          </w:tcPr>
          <w:p>
            <w:pPr>
              <w:spacing w:after="0"/>
              <w:rPr>
                <w:sz w:val="20"/>
                <w:szCs w:val="20"/>
                <w:color w:val="auto"/>
              </w:rPr>
            </w:pPr>
            <w:r>
              <w:rPr>
                <w:rFonts w:ascii="Arial" w:cs="Arial" w:eastAsia="Arial" w:hAnsi="Arial"/>
                <w:sz w:val="18"/>
                <w:szCs w:val="18"/>
                <w:color w:val="auto"/>
                <w:w w:val="94"/>
              </w:rPr>
              <w:t>(“Transferor”) and</w:t>
            </w:r>
          </w:p>
        </w:tc>
      </w:tr>
      <w:tr>
        <w:trPr>
          <w:trHeight w:val="196"/>
        </w:trPr>
        <w:tc>
          <w:tcPr>
            <w:tcW w:w="960" w:type="dxa"/>
            <w:vAlign w:val="bottom"/>
          </w:tcPr>
          <w:p>
            <w:pPr>
              <w:spacing w:after="0"/>
              <w:rPr>
                <w:sz w:val="17"/>
                <w:szCs w:val="17"/>
                <w:color w:val="auto"/>
              </w:rPr>
            </w:pPr>
          </w:p>
        </w:tc>
        <w:tc>
          <w:tcPr>
            <w:tcW w:w="1120" w:type="dxa"/>
            <w:vAlign w:val="bottom"/>
            <w:gridSpan w:val="3"/>
          </w:tcPr>
          <w:p>
            <w:pPr>
              <w:spacing w:after="0" w:line="196" w:lineRule="exact"/>
              <w:rPr>
                <w:sz w:val="20"/>
                <w:szCs w:val="20"/>
                <w:color w:val="auto"/>
              </w:rPr>
            </w:pPr>
            <w:r>
              <w:rPr>
                <w:rFonts w:ascii="Arial" w:cs="Arial" w:eastAsia="Arial" w:hAnsi="Arial"/>
                <w:sz w:val="18"/>
                <w:szCs w:val="18"/>
                <w:color w:val="auto"/>
                <w:w w:val="94"/>
              </w:rPr>
              <w:t>(“Transferee”).</w:t>
            </w:r>
          </w:p>
        </w:tc>
        <w:tc>
          <w:tcPr>
            <w:tcW w:w="540" w:type="dxa"/>
            <w:vAlign w:val="bottom"/>
            <w:tcBorders>
              <w:top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r>
      <w:tr>
        <w:trPr>
          <w:trHeight w:val="412"/>
        </w:trPr>
        <w:tc>
          <w:tcPr>
            <w:tcW w:w="4820" w:type="dxa"/>
            <w:vAlign w:val="bottom"/>
            <w:gridSpan w:val="6"/>
          </w:tcPr>
          <w:p>
            <w:pPr>
              <w:ind w:left="660"/>
              <w:spacing w:after="0"/>
              <w:rPr>
                <w:sz w:val="20"/>
                <w:szCs w:val="20"/>
                <w:color w:val="auto"/>
              </w:rPr>
            </w:pPr>
            <w:r>
              <w:rPr>
                <w:rFonts w:ascii="Arial" w:cs="Arial" w:eastAsia="Arial" w:hAnsi="Arial"/>
                <w:sz w:val="18"/>
                <w:szCs w:val="18"/>
                <w:color w:val="auto"/>
                <w:w w:val="90"/>
              </w:rPr>
              <w:t>WHEREAS, as of the date hereof, Transferee is acquiring</w:t>
            </w:r>
          </w:p>
        </w:tc>
        <w:tc>
          <w:tcPr>
            <w:tcW w:w="1120" w:type="dxa"/>
            <w:vAlign w:val="bottom"/>
          </w:tcPr>
          <w:p>
            <w:pPr>
              <w:spacing w:after="0"/>
              <w:rPr>
                <w:sz w:val="24"/>
                <w:szCs w:val="24"/>
                <w:color w:val="auto"/>
              </w:rPr>
            </w:pPr>
          </w:p>
        </w:tc>
        <w:tc>
          <w:tcPr>
            <w:tcW w:w="5300" w:type="dxa"/>
            <w:vAlign w:val="bottom"/>
            <w:gridSpan w:val="9"/>
          </w:tcPr>
          <w:p>
            <w:pPr>
              <w:spacing w:after="0"/>
              <w:rPr>
                <w:sz w:val="20"/>
                <w:szCs w:val="20"/>
                <w:color w:val="auto"/>
              </w:rPr>
            </w:pPr>
            <w:r>
              <w:rPr>
                <w:rFonts w:ascii="Arial" w:cs="Arial" w:eastAsia="Arial" w:hAnsi="Arial"/>
                <w:sz w:val="18"/>
                <w:szCs w:val="18"/>
                <w:color w:val="auto"/>
              </w:rPr>
              <w:t>Registrable Securities (the “Acquired Interests”) from Transferor;</w:t>
            </w: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WHEREAS, Transferor is a party to that certain Investor Rights Agreement, dated as of July 19, 2022, by and among OPAL Fuels Inc. (“</w:t>
      </w:r>
      <w:r>
        <w:rPr>
          <w:rFonts w:ascii="Arial" w:cs="Arial" w:eastAsia="Arial" w:hAnsi="Arial"/>
          <w:sz w:val="16"/>
          <w:szCs w:val="16"/>
          <w:u w:val="single" w:color="auto"/>
          <w:color w:val="auto"/>
        </w:rPr>
        <w:t>PubCo</w:t>
      </w:r>
      <w:r>
        <w:rPr>
          <w:rFonts w:ascii="Arial" w:cs="Arial" w:eastAsia="Arial" w:hAnsi="Arial"/>
          <w:sz w:val="16"/>
          <w:szCs w:val="16"/>
          <w:color w:val="auto"/>
        </w:rPr>
        <w:t>”) and the other persons party thereto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and WHEREAS, Transferee is required, at the time of and as a condition to the Transfer of the Acquired Interests, to become a party to the Investor Rights Agreement by executing and delivering this Joinder, whereupon Transferee will be treated as a Party (with the same rights and obligations as Transferor) for all purposes of the Investor Rights Agreement.</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Investor Rights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Acquisition</w:t>
      </w:r>
      <w:r>
        <w:rPr>
          <w:rFonts w:ascii="Arial" w:cs="Arial" w:eastAsia="Arial" w:hAnsi="Arial"/>
          <w:sz w:val="18"/>
          <w:szCs w:val="18"/>
          <w:color w:val="auto"/>
        </w:rPr>
        <w:t>. Transferor hereby Transfers to Transferee all of the Acquired Interests.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Joinder</w:t>
      </w:r>
      <w:r>
        <w:rPr>
          <w:rFonts w:ascii="Arial" w:cs="Arial" w:eastAsia="Arial" w:hAnsi="Arial"/>
          <w:sz w:val="17"/>
          <w:szCs w:val="17"/>
          <w:color w:val="auto"/>
        </w:rPr>
        <w:t>. Transferee hereby acknowledges and agrees that (a) Transferee has received and read the Investor Rights Agreement, (b) Transferee is acquiring the Acquired Interests in accordance with and subject to the terms and conditions of the Investor Rights Agreement and (c) Transferee will be treated as a Party (with the same rights and obligations as Transferor) for all purposes of the Investor Rights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Investor Rights Agreement shall be given to Transferee at the address set forth on the signature page hereto in accordance with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of the Investor Rights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Counterparts; Electronic Delivery</w:t>
      </w:r>
      <w:r>
        <w:rPr>
          <w:rFonts w:ascii="Arial" w:cs="Arial" w:eastAsia="Arial" w:hAnsi="Arial"/>
          <w:sz w:val="17"/>
          <w:szCs w:val="17"/>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IN WITNESS WHEREOF, this Joinder has been duly executed and delivered by the parties as of the date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[TRANSFEROR]</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23495</wp:posOffset>
            </wp:positionV>
            <wp:extent cx="24942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4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[TRANSFEREE]</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23495</wp:posOffset>
            </wp:positionV>
            <wp:extent cx="24942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4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597535</wp:posOffset>
            </wp:positionV>
            <wp:extent cx="284607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443230</wp:posOffset>
            </wp:positionV>
            <wp:extent cx="284607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288925</wp:posOffset>
            </wp:positionV>
            <wp:extent cx="284607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OPAL FUELS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July 21, 2022</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LIMITED LIABILITY COMPANY UNITS OF OPAL FUELS LLC HAVE NOT BEEN REGISTERED UNDER THE U.S.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THE SECURITIES LAWS OF ANY STATE OR OTHER JURISDICTION OR ANY OTHER APPLICABLE SECURITIES LAWS AND ARE BEING SOLD IN RELIANCE UPON EXEMPTIONS FROM THE REGISTRATION REQUIREMENTS OF THE SECURITIES ACT AND SUCH LAWS. SUCH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SECOND AMENDED AND RESTATED LIMITED LIABILITY COMPANY AGREEMENT; AND (III) ANY OTHER TERMS AND CONDITIONS AGREED TO IN WRITING BETWEEN OPAL FUELS LLC AND THE APPLICABLE MEMBER. SUCH UNITS MAY NOT BE TRANSFERRED OF RECORD EXCEPT IN COMPLIANCE WITH SUCH LAWS, THIS SECOND AMENDED AND RESTATED LIMITED LIABILITY COMPANY AGREEMENT, AND ANY OTHER TERMS AND CONDITIONS AGREED TO IN WRITING BY OPAL FUELS LLC AND THE APPLICABLE MEMBER. THEREFORE, PURCHASERS AND OTHER TRANSFEREES OF SUCH UNITS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ind w:left="4040"/>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OPAL FUELS LLC</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THIS SECOND AMENDED AND RESTATED LIMITED LIABILITY COMPANY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Opal Fuels LLC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as of July 21, 2022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among the Members (as defined below) listed on Exhibit A hereto as Members and each other Person (as defined below) who is or at any time becomes a Member in accordance with the terms of this Agreement and the Act (as defined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was formed as a limited liability company pursuant to the Act upon the filing of the Certificate (as defined below)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 of the Secretary of State of the State of Delaware on December 30, 2020 under the name ACCELER8 Holdings LLC;</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entered into a Limited Liability Company Agreement, dated as of December 30, 2020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 certain of the Members;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Original Agreement was amended and restated in its entirety by that certain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Company, effective as of November 29, 2021 (the “</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Members have agreed to amend and restate the Existing Agreement in its entirety as set forth herein;</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with the effectiveness of this Agreement, in accordance with that certain Business Combination Agreement,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 2021 (the “</w:t>
      </w: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by and among ArcLight Clean Transition Corp. II (which pursuant to the transactions contemplated under the Business Combination Agreement, will have changed its name to OPAL Fuels Inc., the “</w:t>
      </w:r>
      <w:r>
        <w:rPr>
          <w:rFonts w:ascii="Arial" w:cs="Arial" w:eastAsia="Arial" w:hAnsi="Arial"/>
          <w:sz w:val="16"/>
          <w:szCs w:val="16"/>
          <w:b w:val="1"/>
          <w:bCs w:val="1"/>
          <w:i w:val="1"/>
          <w:iCs w:val="1"/>
          <w:color w:val="auto"/>
        </w:rPr>
        <w:t>Managing Member</w:t>
      </w:r>
      <w:r>
        <w:rPr>
          <w:rFonts w:ascii="Arial" w:cs="Arial" w:eastAsia="Arial" w:hAnsi="Arial"/>
          <w:sz w:val="16"/>
          <w:szCs w:val="16"/>
          <w:color w:val="auto"/>
        </w:rPr>
        <w:t>”), the Company, and Opal HoldCo LLC, the Managing Member has acquired equity interests of the Company, in exchange for the consideration described in the Business Combination Agreement, and the Managing Member has become the sole managing member of the Company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Business Combination, (i) the Common Units (as defined in the Existing Agreement) outstanding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effectiveness of this Agreement were cancelled and certain of the holders thereof received the number of Class B Units (as defined below) set forth opposite such Member’s name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in accordance with Section 2.5 of the Business Combination Agreement, and (ii) the Managing Member received the number of Class A Units (as defined below) set forth opposite the Managing Member’s name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in accordance with Section 2.5 of the Business Combination Agreement; and</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Business Combination Agreement, (i) the Members have agreed to amend and restate the Existing Agreement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as set forth herein and (ii) the Managing Member, by its execution and delivery of this Agreement, is hereby admitted to the Company as a Member and shall have the rights and obligations of the Managing Member as provided in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agreements of the parties set forth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Members and the Managing Member hereby agree to amend and restate the Existing Agreement to read in its entirety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Capitalized terms used herein without definition have the following meanings (such meanings being equally applicable to both the singular and plural form of the terms defined):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means, the Delaware Limited Liability Company Act, 6 Del. C. Section 18-101, et seq., as it may be amended from time to time.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Capital Account Balance</w:t>
      </w:r>
      <w:r>
        <w:rPr>
          <w:rFonts w:ascii="Arial" w:cs="Arial" w:eastAsia="Arial" w:hAnsi="Arial"/>
          <w:sz w:val="18"/>
          <w:szCs w:val="18"/>
          <w:color w:val="auto"/>
        </w:rPr>
        <w:t>” means, with respect to each Member, the balance in such Member’s Capital Account adjusted (i) by taking into account the adjustments, allocations and distributions described in Treasury Regulations Sections 1.704-1(b)(2)(ii)(d)(4), (5) and (6); and (ii) by adding to such balance such Member’s share of Company Minimum Gain and Member Nonrecourse Debt Minimum Gain, determined pursuant to Treasury Regulations Sections 1.704- 2(g) and 1.704-2(i)(5), and any amounts such Member is obligated to restore pursuant to any provision of this Agreement or by applicable Law. The foregoing definition of Adjusted Capital Account Balance is intended to comply with the provisions of Treasury Regulations Section 1.704- 1(b)(2)(ii)(d) and shall be interpreted consistently therewith.</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 specified Person, any other Person that directly, or indirectly through one or more intermediaries, Controls, is Controlled by, or is under common Control with, such specified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Appraiser FMV</w:t>
      </w:r>
      <w:r>
        <w:rPr>
          <w:rFonts w:ascii="Arial" w:cs="Arial" w:eastAsia="Arial" w:hAnsi="Arial"/>
          <w:sz w:val="18"/>
          <w:szCs w:val="18"/>
          <w:color w:val="auto"/>
        </w:rPr>
        <w:t>” means the fair market value of a share of Class A Common Stock as determined by an independent appraiser mutually agreed upon by the Managing Member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Assumed Tax Rate</w:t>
      </w:r>
      <w:r>
        <w:rPr>
          <w:rFonts w:ascii="Arial" w:cs="Arial" w:eastAsia="Arial" w:hAnsi="Arial"/>
          <w:sz w:val="18"/>
          <w:szCs w:val="18"/>
          <w:color w:val="auto"/>
        </w:rPr>
        <w:t>” means the highest effective marginal combined U.S. federal, state and local income tax rate (including, without limitation, the tax imposed under Section 1411 of the Code on net investment income) for a Fiscal Year prescribed for an individual or corporate resident in California or New York, New York (whichever results in the application of the highest state and local tax rate for a given type of income), and taking into account (a) the limitations imposed on the deductibility of expenses and other items, (b) the character (e.g., long-term or short-term capital gain or ordinary or exempt income) of the applicable income, and (c) the deductibility of state and local income taxes, to the extent applicable, but not taking into account any deduction under Section 199A of the Code or any similar state or local law), as determined in good faith by the Managing Member. For the avoidance of doubt, the Assumed Tax Rate shall be the same for all Members.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Cash</w:t>
      </w:r>
      <w:r>
        <w:rPr>
          <w:rFonts w:ascii="Arial" w:cs="Arial" w:eastAsia="Arial" w:hAnsi="Arial"/>
          <w:sz w:val="18"/>
          <w:szCs w:val="18"/>
          <w:color w:val="auto"/>
        </w:rPr>
        <w:t>”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Managing Member.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the separate capital account maintained for each Member in accordance with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Contribution</w:t>
      </w:r>
      <w:r>
        <w:rPr>
          <w:rFonts w:ascii="Arial" w:cs="Arial" w:eastAsia="Arial" w:hAnsi="Arial"/>
          <w:sz w:val="17"/>
          <w:szCs w:val="17"/>
          <w:color w:val="auto"/>
        </w:rPr>
        <w:t xml:space="preserve">” means, with respect to any Member, the aggregate amount of money contributed to the Company (including any deferred commitment to contribute money in the future) and the initial Carrying Value of any property (other than money), net of any liabilities assumed by the Company upon contribution or to which such property is subject, contributed to the Company pursuant to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Carrying Value</w:t>
      </w:r>
      <w:r>
        <w:rPr>
          <w:rFonts w:ascii="Arial" w:cs="Arial" w:eastAsia="Arial" w:hAnsi="Arial"/>
          <w:sz w:val="16"/>
          <w:szCs w:val="16"/>
          <w:color w:val="auto"/>
        </w:rPr>
        <w:t xml:space="preserve">” means, with respect to any Company asset, the asset’s adjusted basis for U.S. federal income tax purposes, except that the initial carrying value of assets contributed to the Company shall be their respective gross fair market values on the date of contribution as determined by the Managing Member in its reasonable discretion, and the Carrying Values of all Company assets shall be adjusted to equal their respective fair market values, in accordance with the rules set forth in Treasury Regulations Section 1.704-1(b)(2)(iv)(f), except as otherwise provided herein, as of: (a) the date of the acquisition of any additional limited liability company interest in the Company by any new or existing Member in exchange for more than a de minimis Capital Contribution or the issuance by the Company of a noncompensatory option (other than an option for a de minimis interest in the Company); (b) the date of the distribution of more than a de minimis amount of Company assets to a Member as consideration for an interest in the Company; (c) the liquidation of the Company within the meaning of Treasury Regulations Section 1.704- 1(b)(2)(ii)(g); (d) in connection with the grant of an interest in the Company (other than a de minimis interest) as consideration for the provision of services to or for the benefit of the Company by an existing member acting in a partner capacity, or by a new Member acting in a partner capacity in anticipation of being a Member, (e) the acquisition of an interest in the Company upon the exercise of a noncompensatory option in accordance with Treasury Regulations Section 1.704- 1(b)(2)(iv)(s); (f) the deemed Conversion (as defined below) of any Earnout Units (as defined below) into Class B Units in accordance with principles similar to those set forth in Treasury Regulations Section 1.704-1(b)(2)(iv)(s); (g) on the Effective Date in connection with the closing of the transactions contemplated by the Business Combination Agreement; and (h) any other date specified in the Treasury Regulations;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adjustments pursuant to clauses (a), (b), and (d) above shall be made only if such adjustments are deemed necessary or appropriate by the Managing Member in its reasonable discretion to reflect the relative economic interests of the Members; and </w:t>
      </w:r>
      <w:r>
        <w:rPr>
          <w:rFonts w:ascii="Arial" w:cs="Arial" w:eastAsia="Arial" w:hAnsi="Arial"/>
          <w:sz w:val="16"/>
          <w:szCs w:val="16"/>
          <w:i w:val="1"/>
          <w:iCs w:val="1"/>
          <w:color w:val="auto"/>
        </w:rPr>
        <w:t>provided further</w:t>
      </w:r>
      <w:r>
        <w:rPr>
          <w:rFonts w:ascii="Arial" w:cs="Arial" w:eastAsia="Arial" w:hAnsi="Arial"/>
          <w:sz w:val="16"/>
          <w:szCs w:val="16"/>
          <w:color w:val="auto"/>
        </w:rPr>
        <w:t>, if any noncompensatory option is outstanding, Carrying Values shall be adjusted in accordance with Treasury Regulations Sections 1.704-1(b)(2)(iv)(f)(1) and 1.704-1(b)(2)(iv)(h)(2). If any Earnout Units are outstanding upon the occurrence of an event described in this paragraph (a) through (h) (other than, if applicable, the Earnout Units undergoing a Conversion that gives rise to the occurrence of such event), the Company shall adjust the Carrying Values of its properties in accordance with principles similar to those set forth in Treasury Regulations Section 1.704-1(b)(2)(iv)(h)(2), as though such Earnout Units were noncompensatory options. The Carrying Value of any Company asset distributed to any Member shall be adjusted immediately before such distribution to equal its fair market value. In the case of any asset that has a Carrying Value that differs from its adjusted tax basis, Carrying Value shall be adjusted by the amount of depreciation calculated for purposes of the definition of “</w:t>
      </w:r>
      <w:r>
        <w:rPr>
          <w:rFonts w:ascii="Arial" w:cs="Arial" w:eastAsia="Arial" w:hAnsi="Arial"/>
          <w:sz w:val="16"/>
          <w:szCs w:val="16"/>
          <w:b w:val="1"/>
          <w:bCs w:val="1"/>
          <w:i w:val="1"/>
          <w:iCs w:val="1"/>
          <w:color w:val="auto"/>
        </w:rPr>
        <w:t>Profits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xml:space="preserve">” rather than the amount of depreciation determined for U.S. federal income tax purposes, and depreciation shall be calculated by reference to Carrying Value rather than tax basis once Carrying Value differs from tax basis. The Carrying Value of Company assets shall be increased (or decreased) to reflect any adjustments to the adjusted basis of such assets pursuant to Section 734(b) of the Code, but only to the extent that such adjustments are taken into account in determining Capital Accounts pursuant to Treasury Regulations Section 1.704-1(b)(2)(iv)(m);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Carrying Values shall not be adjusted pursuant to this sentence to the extent that the Managing Member reasonably determines that an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pursuant to the first sentence of this definition is necessary or appropriate in connection with the transaction that would otherwise result in an adjustment pursuant to this sentence.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Exchange Class A 5-Day VWAP</w:t>
      </w:r>
      <w:r>
        <w:rPr>
          <w:rFonts w:ascii="Arial" w:cs="Arial" w:eastAsia="Arial" w:hAnsi="Arial"/>
          <w:sz w:val="18"/>
          <w:szCs w:val="18"/>
          <w:color w:val="auto"/>
        </w:rPr>
        <w:t>” means the arithmetic average of the VWAP for each of the five consecutive Trading Days ending on the Trading Day immediately prior to the Exchange Notice Date (in the case of an Unrestricted Exchange) or the Exchange Date (in the case of any other Exchange).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Exchange Payment</w:t>
      </w:r>
      <w:r>
        <w:rPr>
          <w:rFonts w:ascii="Arial" w:cs="Arial" w:eastAsia="Arial" w:hAnsi="Arial"/>
          <w:sz w:val="18"/>
          <w:szCs w:val="18"/>
          <w:color w:val="auto"/>
        </w:rPr>
        <w:t xml:space="preserve">” means with respect to a particular Exchange for which the Managing Member has elected to make a Cash Exchange Payment in accordance with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170" w:lineRule="exact"/>
        <w:rPr>
          <w:sz w:val="20"/>
          <w:szCs w:val="20"/>
          <w:color w:val="auto"/>
        </w:rPr>
      </w:pPr>
    </w:p>
    <w:p>
      <w:pPr>
        <w:jc w:val="both"/>
        <w:ind w:firstLine="1304"/>
        <w:spacing w:after="0" w:line="257" w:lineRule="auto"/>
        <w:tabs>
          <w:tab w:leader="none" w:pos="156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shares of Class A Common Stock trade on a National Securities Exchange or automated or electronic quotation system, an amount of cash equal to the product of: (i) the number of shares of Class A Common Stock that would have been received by the Exchanging Member in the Exchange for that portion of the Exchanged Units subject to the Exchange set forth in the Cash Exchange Notice if the Company or the Managing Member, as applicable, had paid the Stock Exchange Payment with respect to such number of Exchanged Units, and (ii) the Cash Exchange Class A 5-Day VWAP;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136" w:name="page137"/>
    <w:bookmarkEnd w:id="136"/>
    <w:p>
      <w:pPr>
        <w:jc w:val="both"/>
        <w:ind w:firstLine="1304"/>
        <w:spacing w:after="0" w:line="254" w:lineRule="auto"/>
        <w:tabs>
          <w:tab w:leader="none" w:pos="163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shares of Class A Common Stock are not then traded on a National Securities Exchange or automated or electronic quotation system, as applicable, an amount of cash equal to the product of (i) the number of shares of Class A Common Stock that would have been received by the Exchanging Member in the Exchange for that portion of the Exchanged Units subject to the Exchange set forth in the Cash Exchange Notice if the Company or the Managing Member, as applicable, had paid the Stock Exchange Payment with respect to such number of Exchanged Units, and (ii) the Appraiser FMV of one (1) share of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Formation of the Company as filed in the office of the Secretary of State of the State of Delaware on December 30,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Designations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xml:space="preserve">” has the meaning set forth in the Tax Receivable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any event that constitutes both a Corporation Offer and a Change of Control of the Managing Member shall be considered a Corporation Offer for purposes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means the classes or series of Units into which the limited liability company interests in the Company may be classified or divided from time to time by the Managing Member pursuant to the provisions of this Agreement. As of the date of this Agreement the only authorized Classes are the Series A Preferred Units, the Series A-1 Preferred Units, Class A Units and Class B Units. For all purposes hereunder and under the Act, only such Classes expressly established under this Agreement, including by the Managing Member in accordance with this Agreement, shall be deemed to be a class of limited liability company interests in the Company. For the avoidance of doubt, to the extent that the Managing Member holds limited liability company interests of any Class, the Managing Member shall not be deemed to hold a separate Class of such interests from any other Member because it is the Managing Member.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Class A common stock of the Managing Member, par value $0.0001 per share.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Percentage Interest</w:t>
      </w:r>
      <w:r>
        <w:rPr>
          <w:rFonts w:ascii="Arial" w:cs="Arial" w:eastAsia="Arial" w:hAnsi="Arial"/>
          <w:sz w:val="18"/>
          <w:szCs w:val="18"/>
          <w:color w:val="auto"/>
        </w:rPr>
        <w:t>” means, with respect to any Member, the quotient obtained by dividing the aggregate number of Class A Units then owned by such Member by the aggregate number of Class A Units then owned by all Members.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A/B Percentage Interest</w:t>
      </w:r>
      <w:r>
        <w:rPr>
          <w:rFonts w:ascii="Arial" w:cs="Arial" w:eastAsia="Arial" w:hAnsi="Arial"/>
          <w:sz w:val="17"/>
          <w:szCs w:val="17"/>
          <w:color w:val="auto"/>
        </w:rPr>
        <w:t>” means, with respect to any Member, the quotient obtained by dividing the aggregate number of Class A Units and Class B Units then owned by such Member by the aggregate number of Class A Units and Class B Units then owned by all Members.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Units</w:t>
      </w:r>
      <w:r>
        <w:rPr>
          <w:rFonts w:ascii="Arial" w:cs="Arial" w:eastAsia="Arial" w:hAnsi="Arial"/>
          <w:sz w:val="18"/>
          <w:szCs w:val="18"/>
          <w:color w:val="auto"/>
        </w:rPr>
        <w:t>” means the Units of limited liability company interest in the Company designated as the “Class A Units” herein and having the rights pertaining thereto as are set forth in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 Capital Account Amount</w:t>
      </w:r>
      <w:r>
        <w:rPr>
          <w:rFonts w:ascii="Arial" w:cs="Arial" w:eastAsia="Arial" w:hAnsi="Arial"/>
          <w:sz w:val="18"/>
          <w:szCs w:val="18"/>
          <w:color w:val="auto"/>
        </w:rPr>
        <w:t>” means, from time to time, the Capital Account a Member would have if such Member held a single Class A Unit.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means the Class B common stock of the Managing Member, par value $0.0001 per share.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Percentage Interest</w:t>
      </w:r>
      <w:r>
        <w:rPr>
          <w:rFonts w:ascii="Arial" w:cs="Arial" w:eastAsia="Arial" w:hAnsi="Arial"/>
          <w:sz w:val="18"/>
          <w:szCs w:val="18"/>
          <w:color w:val="auto"/>
        </w:rPr>
        <w:t>” means, with respect to any Member, the quotient obtained by dividing the aggregate number of Class B Units then owned by such Member by the aggregate number of Class B Units then owned by all Members.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Units</w:t>
      </w:r>
      <w:r>
        <w:rPr>
          <w:rFonts w:ascii="Arial" w:cs="Arial" w:eastAsia="Arial" w:hAnsi="Arial"/>
          <w:sz w:val="18"/>
          <w:szCs w:val="18"/>
          <w:color w:val="auto"/>
        </w:rPr>
        <w:t>” means the Units of limited liability company interest in the Company designated as the “Class B Units” herein and having the rights pertaining thereto as are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Common Stock</w:t>
      </w:r>
      <w:r>
        <w:rPr>
          <w:rFonts w:ascii="Arial" w:cs="Arial" w:eastAsia="Arial" w:hAnsi="Arial"/>
          <w:sz w:val="18"/>
          <w:szCs w:val="18"/>
          <w:color w:val="auto"/>
        </w:rPr>
        <w:t>” means the Class C common stock of the Managing Member, par value $0.0001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D Common Stock</w:t>
      </w:r>
      <w:r>
        <w:rPr>
          <w:rFonts w:ascii="Arial" w:cs="Arial" w:eastAsia="Arial" w:hAnsi="Arial"/>
          <w:sz w:val="18"/>
          <w:szCs w:val="18"/>
          <w:color w:val="auto"/>
        </w:rPr>
        <w:t>” means the Class D common stock of the Managing Member, par value $0.0001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of this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Minimum Gain</w:t>
      </w:r>
      <w:r>
        <w:rPr>
          <w:rFonts w:ascii="Arial" w:cs="Arial" w:eastAsia="Arial" w:hAnsi="Arial"/>
          <w:sz w:val="18"/>
          <w:szCs w:val="18"/>
          <w:color w:val="auto"/>
        </w:rPr>
        <w:t>” has the meaning ascribed to the term “partnership minimum gain” set forth in Treasury Regulations Sections 1.704-2(b)(2) and 1.704-2(d).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Contingencies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“Controlled by” and “under common Control with”) means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7.04(d)(ii)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Transaction</w:t>
      </w:r>
      <w:r>
        <w:rPr>
          <w:rFonts w:ascii="Arial" w:cs="Arial" w:eastAsia="Arial" w:hAnsi="Arial"/>
          <w:sz w:val="18"/>
          <w:szCs w:val="18"/>
          <w:color w:val="auto"/>
        </w:rPr>
        <w:t>” means any liquidation, dissolution or winding up of the Company (whether occurring through one transaction or a series of related transactions, and whether voluntary or involuntary) and any other sale, redemption or Transfer of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Individual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Disabling Event</w:t>
      </w:r>
      <w:r>
        <w:rPr>
          <w:rFonts w:ascii="Arial" w:cs="Arial" w:eastAsia="Arial" w:hAnsi="Arial"/>
          <w:sz w:val="18"/>
          <w:szCs w:val="18"/>
          <w:color w:val="auto"/>
        </w:rPr>
        <w:t>” means the Managing Member ceasing to be the Managing Member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Participants</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7.04(d)(ii)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mortgage, hypothecation, claim, lien, encumbrance, conditional sales or other title retention agreement, right of first refusal, preemptive right, pledge, option, charge, security interest or other similar interest, easement, judgment or imperfection of title of any nature whatsoever.</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Blackout Period</w:t>
      </w:r>
      <w:r>
        <w:rPr>
          <w:rFonts w:ascii="Arial" w:cs="Arial" w:eastAsia="Arial" w:hAnsi="Arial"/>
          <w:sz w:val="18"/>
          <w:szCs w:val="18"/>
          <w:color w:val="auto"/>
        </w:rPr>
        <w:t xml:space="preserve">” means (a) any “black out” or similar period under the Managing Member’s policies covering trading in the Managing Member’s securities to which the applicable Exchanging Member is subject (or will be subject at such time as it owns shares of Class A Common Stock or Class C Common Stock), which period restricts the ability of such Exchanging Member to immediately resell shares of Class A Common Stock or Class C Common Stock to be delivered to such Exchanging Member in connection with a Stock Exchange Payment and (b) the period of time commencing on (i) the date of the declaration of a dividend by the Managing Member and ending on the first day following (ii) the record date determined by the Managing Member with respect to such dividend declared pursuant to clause (i), which period of time shall be no longer than ten Business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 Exchange Blackout Period with respect to clause (b) of this definition occur more than four times per calendar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Date</w:t>
      </w:r>
      <w:r>
        <w:rPr>
          <w:rFonts w:ascii="Arial" w:cs="Arial" w:eastAsia="Arial" w:hAnsi="Arial"/>
          <w:sz w:val="17"/>
          <w:szCs w:val="17"/>
          <w:color w:val="auto"/>
        </w:rPr>
        <w:t xml:space="preserve">” means, in the case of any Unrestricted Exchange, the date that is five Business Days after the date the Exchange Notice is given pursuant to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unless the Exchanging Member submits a written request to extend such date and the Managing Member in its sole discretion agrees in writing to such extension, and in any other case, the Quarterly Exchange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Exchange Date for any Exchange with respect to which the Managing Member elects to make a Stock Exchange Payment would otherwise fall within any Exchange Blackout Period, then the Exchange Date shall occur on the next Business Day following the end of such Exchange Blackout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 Date</w:t>
      </w:r>
      <w:r>
        <w:rPr>
          <w:rFonts w:ascii="Arial" w:cs="Arial" w:eastAsia="Arial" w:hAnsi="Arial"/>
          <w:sz w:val="18"/>
          <w:szCs w:val="18"/>
          <w:color w:val="auto"/>
        </w:rPr>
        <w:t xml:space="preserve">” means, with respect to an Exchange, the date the applicable Exchange Notice is delivered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11.01(b)</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xml:space="preserve">” means, at any time, the number of shares of Class A Common Stock or Class C Common Stock for which an Exchanged Unit is entitled to be exchanged at such time in accordance with ARTICLE XI. On Effective Date, the Exchange Rate shall be one-for-one, subject to adjustment pursuant to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Exchanged Units</w:t>
      </w:r>
      <w:r>
        <w:rPr>
          <w:rFonts w:ascii="Arial" w:cs="Arial" w:eastAsia="Arial" w:hAnsi="Arial"/>
          <w:sz w:val="18"/>
          <w:szCs w:val="18"/>
          <w:color w:val="auto"/>
        </w:rPr>
        <w:t>” means any Class B Units to be Exchanged for the Cash Exchange Payment or Stock Exchange Payment, as applicable, on the applicable Exchange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Exchanging Member</w:t>
      </w:r>
      <w:r>
        <w:rPr>
          <w:rFonts w:ascii="Arial" w:cs="Arial" w:eastAsia="Arial" w:hAnsi="Arial"/>
          <w:sz w:val="17"/>
          <w:szCs w:val="17"/>
          <w:color w:val="auto"/>
        </w:rPr>
        <w:t xml:space="preserve">” means, with respect to any Exchange, the Holder exchanging Units pursuant to </w:t>
      </w:r>
      <w:r>
        <w:rPr>
          <w:rFonts w:ascii="Arial" w:cs="Arial" w:eastAsia="Arial" w:hAnsi="Arial"/>
          <w:sz w:val="17"/>
          <w:szCs w:val="17"/>
          <w:u w:val="single" w:color="auto"/>
          <w:color w:val="auto"/>
        </w:rPr>
        <w:t>Section 11.01(a)</w:t>
      </w:r>
      <w:r>
        <w:rPr>
          <w:rFonts w:ascii="Arial" w:cs="Arial" w:eastAsia="Arial" w:hAnsi="Arial"/>
          <w:sz w:val="17"/>
          <w:szCs w:val="17"/>
          <w:color w:val="auto"/>
        </w:rPr>
        <w:t xml:space="preserve"> of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Group</w:t>
      </w:r>
      <w:r>
        <w:rPr>
          <w:rFonts w:ascii="Arial" w:cs="Arial" w:eastAsia="Arial" w:hAnsi="Arial"/>
          <w:sz w:val="18"/>
          <w:szCs w:val="18"/>
          <w:color w:val="auto"/>
        </w:rPr>
        <w:t>” means, with respect to a Person who is an individual, (a) such Person’s spouse and direct descendants (whether natural or adopted) (collectively, for purposes of this definition, “relatives”), and (b) any trust, the trustee of which is such Person and which at all times is and remains solely for the benefit of such Person and/or such Person’s relatives.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unless otherwise determined by the Managing Member in its sole discretion in accordance with </w:t>
      </w:r>
      <w:r>
        <w:rPr>
          <w:rFonts w:ascii="Arial" w:cs="Arial" w:eastAsia="Arial" w:hAnsi="Arial"/>
          <w:sz w:val="18"/>
          <w:szCs w:val="18"/>
          <w:u w:val="single" w:color="auto"/>
          <w:color w:val="auto"/>
        </w:rPr>
        <w:t>Section 12.12</w:t>
      </w:r>
      <w:r>
        <w:rPr>
          <w:rFonts w:ascii="Arial" w:cs="Arial" w:eastAsia="Arial" w:hAnsi="Arial"/>
          <w:sz w:val="18"/>
          <w:szCs w:val="18"/>
          <w:color w:val="auto"/>
        </w:rPr>
        <w:t>, any twelve-month period commencing on January 1 and ending on December 31.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accounting principles generally accepted in the United States of America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Income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Internal Revenue Service.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Managing Member, (b) any additional or substitute Managing Member, (c) any Person who is or was a Partnership Representative, officer or director of the Managing Member or any additional or substitute Managing Member, (d) any Person that is required to be indemnified by the Managing Member as an “indemnitee” in accordance with the certificate of incorporation and/or bylaws of the Managing Member as in effect from time to time, (e) any officer or director of the Managing Member or any additional or substitute Managing Member who is or was serving at the request of the Managing Member or any additional or substitute Managing Member as an officer, director, employee, member, Member, Partnership Representative, agent, fiduciary or trustee of another Person; provided, that a Person shall not be an Indemnitee by reason of providing, on a fee-for-services basis, trustee, fiduciary or custodial services, (f) any Officer, (g) any other Person the Managing Member in its sole discretion designates as an “Indemnitee” for purposes of this Agreement, (h) any former officer, director or manager of the Company pursuant to Section 5.15 of the Business Combination Agreement and (i) any heir, executor or administrator with respect to Persons named in clauses (a) through (h).</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Managing Member</w:t>
      </w:r>
      <w:r>
        <w:rPr>
          <w:rFonts w:ascii="Arial" w:cs="Arial" w:eastAsia="Arial" w:hAnsi="Arial"/>
          <w:sz w:val="16"/>
          <w:szCs w:val="16"/>
          <w:color w:val="auto"/>
        </w:rPr>
        <w:t>” means OPAL Fuels Inc., a corporation incorporated under the laws of the State of Delaware, or any successor Managing Member admitted to the Company in accordance with the terms of this Agreement, in its capacity as the managing member of the Company.</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Managing Member Charter</w:t>
      </w:r>
      <w:r>
        <w:rPr>
          <w:rFonts w:ascii="Arial" w:cs="Arial" w:eastAsia="Arial" w:hAnsi="Arial"/>
          <w:sz w:val="18"/>
          <w:szCs w:val="18"/>
          <w:color w:val="auto"/>
        </w:rPr>
        <w:t>” means the certificate of incorporation (or equivalent organizational document) as filed with the secretary of state (or equivalent governmental body or department) of the state in which the Managing Member is incorporated or formed, as applicable, as in effect and amended from time to time.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xml:space="preserve">” means, at any time, each Person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in each case, for so long as he, she or it remains a Member of the Company as provided hereunder.</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Member Nonrecourse Debt Minimum Gain</w:t>
      </w:r>
      <w:r>
        <w:rPr>
          <w:rFonts w:ascii="Arial" w:cs="Arial" w:eastAsia="Arial" w:hAnsi="Arial"/>
          <w:sz w:val="16"/>
          <w:szCs w:val="16"/>
          <w:color w:val="auto"/>
        </w:rPr>
        <w:t>” 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1.704-2(b)(3)) determined in accordance with Treasury Regulations Section 1.704-2(i)(3).</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Deductions</w:t>
      </w:r>
      <w:r>
        <w:rPr>
          <w:rFonts w:ascii="Arial" w:cs="Arial" w:eastAsia="Arial" w:hAnsi="Arial"/>
          <w:sz w:val="18"/>
          <w:szCs w:val="18"/>
          <w:color w:val="auto"/>
        </w:rPr>
        <w:t>” has the meaning ascribed to the term “partner nonrecourse deductions” set forth in Treasury Regulations Section 1.704-2(i)(2).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 Required Tax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any of The Nasdaq Global Select Market, The Nasdaq Global Market and The Nasdaq Capital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National Securities Exchange</w:t>
      </w:r>
      <w:r>
        <w:rPr>
          <w:rFonts w:ascii="Arial" w:cs="Arial" w:eastAsia="Arial" w:hAnsi="Arial"/>
          <w:sz w:val="17"/>
          <w:szCs w:val="17"/>
          <w:color w:val="auto"/>
        </w:rPr>
        <w:t>” means a securities exchange that has registered with the SEC under Section 6 of the Exchange Act.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Non-Foreign Person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Deductions</w:t>
      </w:r>
      <w:r>
        <w:rPr>
          <w:rFonts w:ascii="Arial" w:cs="Arial" w:eastAsia="Arial" w:hAnsi="Arial"/>
          <w:sz w:val="18"/>
          <w:szCs w:val="18"/>
          <w:color w:val="auto"/>
        </w:rPr>
        <w:t>” has the meaning set forth in Treasury Regulations Section 1.704-2(b)(1). The amount of Nonrecourse Deductions of the Company for a Fiscal Year equals the net increase, if any, in the amount of Company Minimum Gain of the Company during that fiscal year, determined according to the provisions of Treasury Regulations Section 1.704- 2(c).</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means each individual designated as an officer of the Company by the Managing Member pursuant to and in accordance with the provisions of </w:t>
      </w:r>
      <w:r>
        <w:rPr>
          <w:rFonts w:ascii="Arial" w:cs="Arial" w:eastAsia="Arial" w:hAnsi="Arial"/>
          <w:sz w:val="18"/>
          <w:szCs w:val="18"/>
          <w:u w:val="single" w:color="auto"/>
          <w:color w:val="auto"/>
        </w:rPr>
        <w:t>Section 3.04</w:t>
      </w:r>
      <w:r>
        <w:rPr>
          <w:rFonts w:ascii="Arial" w:cs="Arial" w:eastAsia="Arial" w:hAnsi="Arial"/>
          <w:sz w:val="18"/>
          <w:szCs w:val="18"/>
          <w:color w:val="auto"/>
        </w:rPr>
        <w:t>, subject to any resolutions of the Managing Member appointing such Person as an officer of the Company or relating to such appointment.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 Representative</w:t>
      </w:r>
      <w:r>
        <w:rPr>
          <w:rFonts w:ascii="Arial" w:cs="Arial" w:eastAsia="Arial" w:hAnsi="Arial"/>
          <w:sz w:val="18"/>
          <w:szCs w:val="18"/>
          <w:color w:val="auto"/>
        </w:rPr>
        <w:t>” means OPAL HoldCo LLC or such other Person as may be appointed from time to time by holders of a majority of the Class B Units held by Original Members who hold Class B Units at the time of determination.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 xml:space="preserve">” means (a) the Members of the Company as of immediately prior to the Effective Time (as defined in the Business Combination Agreement) of the Business Combination and (b) any Affiliate of such Member who becomes a Member of the Company in accordance with this Agreement pursuant to a Transfer permitted by </w:t>
      </w:r>
      <w:r>
        <w:rPr>
          <w:rFonts w:ascii="Arial" w:cs="Arial" w:eastAsia="Arial" w:hAnsi="Arial"/>
          <w:sz w:val="18"/>
          <w:szCs w:val="18"/>
          <w:u w:val="single" w:color="auto"/>
          <w:color w:val="auto"/>
        </w:rPr>
        <w:t>Section 8.01(d)</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Paired Interest</w:t>
      </w:r>
      <w:r>
        <w:rPr>
          <w:rFonts w:ascii="Arial" w:cs="Arial" w:eastAsia="Arial" w:hAnsi="Arial"/>
          <w:sz w:val="18"/>
          <w:szCs w:val="18"/>
          <w:color w:val="auto"/>
        </w:rPr>
        <w:t>” means one Class B Unit, on the one hand, and one share of Class B Common Stock or one share of Class D Common Stock, on the other hand.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Partnership Representative</w:t>
      </w:r>
      <w:r>
        <w:rPr>
          <w:rFonts w:ascii="Arial" w:cs="Arial" w:eastAsia="Arial" w:hAnsi="Arial"/>
          <w:sz w:val="16"/>
          <w:szCs w:val="16"/>
          <w:color w:val="auto"/>
        </w:rPr>
        <w:t xml:space="preserve">” has means any Person acting as “tax matters partner” or the “partnership representative”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Vesting ACT Shares</w:t>
      </w:r>
      <w:r>
        <w:rPr>
          <w:rFonts w:ascii="Arial" w:cs="Arial" w:eastAsia="Arial" w:hAnsi="Arial"/>
          <w:sz w:val="18"/>
          <w:szCs w:val="18"/>
          <w:color w:val="auto"/>
        </w:rPr>
        <w:t>” means certain shares of Class A Common Stock, originated from the conversion of Class B ordinary shares of ArcLight Clean Transition Corp. II in the ACT Share Conversion (as such term is defined in the Business Combination Agreement), which (following the Effective Date) are subject to vesting and forfeiture in accordance with the terms of that certain Sponsor Letter Agreement, dated December 2, 2021, by and among the Company, the Managing Members and the other parties named therein.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Exchange Event</w:t>
      </w:r>
      <w:r>
        <w:rPr>
          <w:rFonts w:ascii="Arial" w:cs="Arial" w:eastAsia="Arial" w:hAnsi="Arial"/>
          <w:sz w:val="16"/>
          <w:szCs w:val="16"/>
          <w:color w:val="auto"/>
        </w:rPr>
        <w:t>” means any of the following events, which has occurred or is occurring, or is otherwise satisfied, as of the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1540" w:hanging="236"/>
        <w:spacing w:after="0"/>
        <w:tabs>
          <w:tab w:leader="none" w:pos="154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Exchange is part of one or more Exchanges by a Member and any related persons (within the meaning of Section 267(b) or 707(b)</w:t>
      </w:r>
    </w:p>
    <w:p>
      <w:pPr>
        <w:spacing w:after="0" w:line="46" w:lineRule="exact"/>
        <w:rPr>
          <w:rFonts w:ascii="Arial" w:cs="Arial" w:eastAsia="Arial" w:hAnsi="Arial"/>
          <w:sz w:val="16"/>
          <w:szCs w:val="16"/>
          <w:color w:val="auto"/>
        </w:rPr>
      </w:pPr>
    </w:p>
    <w:p>
      <w:pPr>
        <w:ind w:firstLine="8"/>
        <w:spacing w:after="0" w:line="260" w:lineRule="auto"/>
        <w:tabs>
          <w:tab w:leader="none" w:pos="28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of the Code) that is part of a “block transfer” within the meaning of Treasury Regulations Section 1.7704-1(e)(2) (for this purpose, treating the Managing Member as a “general partner” within the meaning of Treasury Regulations Section 1.7704-1(k)(1));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both"/>
        <w:ind w:firstLine="1304"/>
        <w:spacing w:after="0" w:line="286" w:lineRule="auto"/>
        <w:tabs>
          <w:tab w:leader="none" w:pos="156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the Exchange is in connection with a Corporation Offer or a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Exchange pursuant to this clause (b) shall be effective immediately prior to the consummation of the closing of such Corporation Offer or such Change of Control date (and, for the avoidance of doubt, shall not be effective if such Corporation Offer is not consummated or such Change of Control does not occur); or</w:t>
      </w:r>
    </w:p>
    <w:p>
      <w:pPr>
        <w:spacing w:after="0" w:line="165" w:lineRule="exact"/>
        <w:rPr>
          <w:rFonts w:ascii="Arial" w:cs="Arial" w:eastAsia="Arial" w:hAnsi="Arial"/>
          <w:sz w:val="17"/>
          <w:szCs w:val="17"/>
          <w:color w:val="auto"/>
        </w:rPr>
      </w:pPr>
    </w:p>
    <w:p>
      <w:pPr>
        <w:jc w:val="both"/>
        <w:ind w:firstLine="1304"/>
        <w:spacing w:after="0" w:line="311" w:lineRule="auto"/>
        <w:tabs>
          <w:tab w:leader="none" w:pos="155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Exchange is permitted by the Managing Member, in its sole discretion, in connection with circumstances not otherwise set forth herein, if the Managing Member determines, after consultation with its outside legal counsel and tax advisor, that the Company would not be treated as a “publicly traded partnership” under Section 7704 of the Code (or any successor or similar provision) as a result of or in connection with such Exchange.</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Primary Indemnification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Private Placement Safe Harbor</w:t>
      </w:r>
      <w:r>
        <w:rPr>
          <w:rFonts w:ascii="Arial" w:cs="Arial" w:eastAsia="Arial" w:hAnsi="Arial"/>
          <w:sz w:val="17"/>
          <w:szCs w:val="17"/>
          <w:color w:val="auto"/>
        </w:rPr>
        <w:t>” means the “private placement” safe harbor set forth in Treasury Regulations Section 1.7704-1(h)(1).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has the meaning set forth in Section 10.02(a).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Profits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xml:space="preserve">” means, for each Fiscal Year or other period, the taxable income or loss of the Company, or particular items thereof, determined in accordance with the accounting method used by the Company for U.S. federal income tax purposes with the following adjustments: (a) all items of income, gain, loss or deduction allocated pursuant to Section 5.05 shall not be taken into account in computing such taxable income or loss (but the amounts of items to be specially allocated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determined by applying rules analogous to those set forth in this definition of “Profits” and “Losses”); (b) any income of the Company that is exempt from U.S. federal income taxation and not otherwise taken into account in computing Profits and Losses shall be added to such taxable income or loss; (c) if the Carrying Value of any asset differs from its adjusted tax basis for U.S.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U.S. federal income tax purposes, the amount of depreciation, amortization or cost recovery deductions with respect to such asset for purposes of determining Profits and Losses, if any, shall be an amount which bears the same ratio to such Carrying Value as the U.S. federal income tax depreciation, amortization or other cost recovery deductions bears to such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U.S. federal income tax depreciation, amortization or other cost recovery deduction is zero, the Managing Member may use any reasonable method for purposes of determining depreciation, amortization or other cost recovery deductions in calculating Profits and Losses); (f) to the extent that an adjustment to the adjusted tax basis of any Company asset pursuant to Section 734(b) of the Code is required pursuant to Treasury Regulations Section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such taxable income or loss and (g) except for items in clause</w:t>
      </w:r>
    </w:p>
    <w:p>
      <w:pPr>
        <w:spacing w:after="0" w:line="11" w:lineRule="exact"/>
        <w:rPr>
          <w:sz w:val="20"/>
          <w:szCs w:val="20"/>
          <w:color w:val="auto"/>
        </w:rPr>
      </w:pPr>
    </w:p>
    <w:p>
      <w:pPr>
        <w:ind w:firstLine="8"/>
        <w:spacing w:after="0" w:line="260" w:lineRule="auto"/>
        <w:tabs>
          <w:tab w:leader="none" w:pos="2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above, any expenditures of the Company not deductible in computing taxable income or loss, not properly capitalizable and not otherwise taken into account in computing Profits and Losses pursuant to this definition shall be treated as deductible items.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648"/>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Quarterly Exchange Date</w:t>
      </w:r>
      <w:r>
        <w:rPr>
          <w:rFonts w:ascii="Arial" w:cs="Arial" w:eastAsia="Arial" w:hAnsi="Arial"/>
          <w:sz w:val="18"/>
          <w:szCs w:val="18"/>
          <w:color w:val="auto"/>
        </w:rPr>
        <w:t>” means either (a) for each fiscal quarter, the first Business Day occurring after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expiration of the applicable Quarterly Exchange Notice Period or (b) such other date as the Managing Member shall determine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date is at least 60 days after the expiration of the Quarterly Exchange Notice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Managing Member shall use commercially reasonable efforts to ensure that at least one Quarterly Exchange Date occurs each fiscal quarter.</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Quarterly Exchange Notice Period</w:t>
      </w:r>
      <w:r>
        <w:rPr>
          <w:rFonts w:ascii="Arial" w:cs="Arial" w:eastAsia="Arial" w:hAnsi="Arial"/>
          <w:sz w:val="18"/>
          <w:szCs w:val="18"/>
          <w:color w:val="auto"/>
        </w:rPr>
        <w:t xml:space="preserve">” means, for each fiscal quarter, the period commencing on the third Business Day after the day on which the Managing Member releases its earnings for the prior fiscal period, beginning with the first such date that falls on or after the waiver or expiration of any contractual lock-up period relating to the shares of the Managing Member that may be applicable to a Member (or such other date within such quarter as the Managing Member shall determine in its sole discretion) and ending five Business Days thereafter. Notwithstanding the foregoing, the Managing Member may change the definition of “Quarterly Exchange Notice Period” with respect to any Quarterly Exchange Notice Period scheduled to occur in a calendar quarter subsequent to the then-current calendar quarter if (a) the revised definition provides for a Quarterly Exchange Notice Period occurring at least once in each calendar quarter, (b) the first Quarterly Exchange Notice Period pursuant to the revised definition will occur no less than ten Business Days from the date the written notice of such change is sent to each Member (other than the Managing Member) and (c) the revised definition, together with the revised Quarterly Exchange Date resulting therefrom, do not materially adversely affect the ability of the Holders to exercise their Exchange rights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Retraction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Revised Partnership Audit Provisions</w:t>
      </w:r>
      <w:r>
        <w:rPr>
          <w:rFonts w:ascii="Arial" w:cs="Arial" w:eastAsia="Arial" w:hAnsi="Arial"/>
          <w:sz w:val="18"/>
          <w:szCs w:val="18"/>
          <w:color w:val="auto"/>
        </w:rPr>
        <w:t>” means Sections 6221 through 6241 of the Code, as in effect for taxable years of the Company beginning after December 31, 2017, together with any subsequent amendments thereto, Treasury Regulations promulgated thereunder, and published administrative interpretations thereof, and any comparable provisions of state or local tax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Secondary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Preferred Units</w:t>
      </w:r>
      <w:r>
        <w:rPr>
          <w:rFonts w:ascii="Arial" w:cs="Arial" w:eastAsia="Arial" w:hAnsi="Arial"/>
          <w:sz w:val="18"/>
          <w:szCs w:val="18"/>
          <w:color w:val="auto"/>
        </w:rPr>
        <w:t>” means the Units of limited liability company interest in the Company designated as the “Series A Preferred Units” herein and having the rights pertaining thereto as are set forth in this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A-1 Preferred Units</w:t>
      </w:r>
      <w:r>
        <w:rPr>
          <w:rFonts w:ascii="Arial" w:cs="Arial" w:eastAsia="Arial" w:hAnsi="Arial"/>
          <w:sz w:val="18"/>
          <w:szCs w:val="18"/>
          <w:color w:val="auto"/>
        </w:rPr>
        <w:t>” means the Units of limited liability company interest in the Company designated as the “Series A-1 Preferred Units” herein and having the rights pertaining thereto as are set forth in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Similar Law</w:t>
      </w:r>
      <w:r>
        <w:rPr>
          <w:rFonts w:ascii="Arial" w:cs="Arial" w:eastAsia="Arial" w:hAnsi="Arial"/>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Section 4975 of the Code.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Exchange Payment</w:t>
      </w:r>
      <w:r>
        <w:rPr>
          <w:rFonts w:ascii="Arial" w:cs="Arial" w:eastAsia="Arial" w:hAnsi="Arial"/>
          <w:sz w:val="16"/>
          <w:szCs w:val="16"/>
          <w:color w:val="auto"/>
        </w:rPr>
        <w:t>” means, with respect to the portion of any Exchange for which a Cash Exchange Notice is not delivered by the Managing Member, on behalf of the Company, a number of shares of Class A Common Stock (to the extent the Exchanging Member has surrendered shares of Class B Common Stock) or Class C Common Stock (to the extent that the Exchanging Member has surrendered shares of Class D Common Stock), in each case equal to the product of the number of Exchanged Units multiplied by the Exchange Rate. For the avoidance of doubt, in the event that the Exchanging Member has surrendered shares of (a) Class B Common Stock, the Exchanging Member shall be entitled to receive shares of Class A Common Stock and (b) Class D Common Stock, the Exchanging Member shall be entitled to receive shares of Class C Common Stock.</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limited liability company, partnership, association, joint venture or other business entity of which (a) if a corporation, at least 50%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joint venture or other business entity (other than a corporation), at least 50% of the partnership, joint venture or other similar ownership interest thereof (whether voting or economic) is at the time owned or controlled, directly or indirectly, by that Person or one or more Subsidiaries of that Person or a combination thereof. For purposes hereof, a Person or Persons shall be deemed to have at least 50% ownership interest in a limited liability company, partnership, association or other business entity (other than a corporation) if such Person or Persons shall be allocated at least 50%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Successor Shares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Advances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Estimation Period</w:t>
      </w:r>
      <w:r>
        <w:rPr>
          <w:rFonts w:ascii="Arial" w:cs="Arial" w:eastAsia="Arial" w:hAnsi="Arial"/>
          <w:sz w:val="18"/>
          <w:szCs w:val="18"/>
          <w:color w:val="auto"/>
        </w:rPr>
        <w:t>” shall mean each period from January 1 through March 31, from April 1 through May 31, from June 1 through August 31, and from September 1 through December 31 of each taxable year.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that certain Tax Receivable Agreement, dated as of or about the date hereof, by and among, the Managing Member, the TRA Party Representative (as defined therein) and each of the TRA Parties, as amended from time to time.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Transaction</w:t>
      </w:r>
      <w:r>
        <w:rPr>
          <w:rFonts w:ascii="Arial" w:cs="Arial" w:eastAsia="Arial" w:hAnsi="Arial"/>
          <w:sz w:val="16"/>
          <w:szCs w:val="16"/>
          <w:color w:val="auto"/>
        </w:rPr>
        <w:t xml:space="preserve">”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hand, (b) a sale, lease, exchange or other transfer of all or substantially all of the assets of the Managing Member, whether in a single transaction or a series of related transactions, (c) a reclassification, recapitalization or change of the outstanding shares of Class A Common Stock or Class C Common Stock (other than a change in par value, or from par value to no par value, or as a result of a stock split, stock dividend or similar subdivision), (d) the adoption of any plan of liquidation or dissolution of the Managing Member, or (e) a direct or indirect Transfer of all or any portion of the Managing Member’s interest in the Company, other than a Transfer effected in accordance with </w:t>
      </w:r>
      <w:r>
        <w:rPr>
          <w:rFonts w:ascii="Arial" w:cs="Arial" w:eastAsia="Arial" w:hAnsi="Arial"/>
          <w:sz w:val="16"/>
          <w:szCs w:val="16"/>
          <w:u w:val="single" w:color="auto"/>
          <w:color w:val="auto"/>
        </w:rPr>
        <w:t>Section 3.07(a)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3.07(b)</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the Nasdaq Stock Market or such other principal United States securities exchange on which the shares of Class A Common Stock are listed, quoted or admitted to trading and is open for the transaction of business (unless such trading shall have been suspended for the entire day).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in respect of any Unit, property or other asset, any sale, assignment, transfer, distribution, exchange, mortgage, pledge, hypothecation or other disposition thereof, whether voluntarily or by operation of Law, directly or indirectly, in whole or in part, including, without limitation, the exchange of any Unit for any other security or the entry into any swap or other arrangement that transfers to another, in whole or in part, any of the economic consequences of ownership of any Unit, whether any such transaction is to be settled by delivery of such securities, in cash or otherwise. The term “Transferred” shall have a meaning correlative to the foregoing.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means any Person that is a permitted transferee of a Member’s interest in the Company, or part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 Parties</w:t>
      </w:r>
      <w:r>
        <w:rPr>
          <w:rFonts w:ascii="Arial" w:cs="Arial" w:eastAsia="Arial" w:hAnsi="Arial"/>
          <w:sz w:val="18"/>
          <w:szCs w:val="18"/>
          <w:color w:val="auto"/>
        </w:rPr>
        <w:t>” has the meaning set forth in the Tax Receivable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income tax regulations, including temporary and proposed regulations, promulgated under the Code, as such regulations may be amended from time to time (including corresponding provisions of succeeding regulations).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means the Class A Units, the Class B Units, the Series A Preferred Units, the Series A-1 Preferred Units and any other Class of Units that is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Exchanges</w:t>
      </w:r>
      <w:r>
        <w:rPr>
          <w:rFonts w:ascii="Arial" w:cs="Arial" w:eastAsia="Arial" w:hAnsi="Arial"/>
          <w:sz w:val="18"/>
          <w:szCs w:val="18"/>
          <w:color w:val="auto"/>
        </w:rPr>
        <w:t>” means any Exchange that is in connection with a Permitted Exchange Event or that occurs during a period in which the Company meets the requirements of the Private Placement Safe Harbor.</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w:t>
      </w:r>
      <w:r>
        <w:rPr>
          <w:rFonts w:ascii="Arial" w:cs="Arial" w:eastAsia="Arial" w:hAnsi="Arial"/>
          <w:sz w:val="17"/>
          <w:szCs w:val="17"/>
          <w:color w:val="auto"/>
        </w:rPr>
        <w:t>” means the daily per share volume-weighted average price of shares of Class A Common Stock on the Nasdaq Stock Market or such other principal United States securities exchange on which the shares of Class A Common Stock are listed, quoted or admitted to trading, as displayed under the heading “Bloomberg VWAP” on the Bloomberg page designated for the shares of Class A Common Stock (or its equivalent successor if such page is not available) in respect of the period from the open of trading on such Trading Day until the close of trading on such Trading Day (or if such volume-weighted average price is unavailable, (a) the per share volume-weighted average price of a share of Class A Common Stock on such Trading Day (determined without regard to afterhours trading or any other trading outside the regular trading session or trading hours) or (b) if such determination is not feasible, the market price per share of Class A Common Stock, in either case, as determined by a nationally recognized independent investment banking firm retained in good faith for this purpose by the Managing Member).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FORMATION, TERM, PURPOSE AND POWERS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b w:val="1"/>
          <w:bCs w:val="1"/>
          <w:color w:val="auto"/>
        </w:rPr>
        <w:t>Formation.</w:t>
      </w:r>
      <w:r>
        <w:rPr>
          <w:rFonts w:ascii="Arial" w:cs="Arial" w:eastAsia="Arial" w:hAnsi="Arial"/>
          <w:sz w:val="17"/>
          <w:szCs w:val="17"/>
          <w:color w:val="auto"/>
        </w:rPr>
        <w:t xml:space="preserve"> The Company was formed as a limited liability company under the provisions of the Act by the filing of the Certificate on December 30, 2020. If requested by the Managing Member, the Members shall promptly execute all certificates and other documents consistent with the terms of this Agreement necessary for the Managing Member to accomplish all filing, recording, publishing and other acts as may be appropriate to comply with all requirements for (a) the formation and operation of a limited liability company under the laws of the State of Delaware, (b) if the Managing Member in its sole discretion deems it advisable, the operation of the Company as a limited liability company, or entity in which the Members have limited liability, in all jurisdictions where the Company proposes to operate and (c) all other filings required to be made by the Company. The rights, powers, duties, obligations and liabilities of the Members shall be determined pursuant to the Act and this Agreement. To the extent that the rights, powers, duties, obligations and liabilities of any Member are different by reason of any provision of this Agreement than they would be in the absence of such provision, this Agreement shall, to the extent permitted by the Act, control. The execution, delivery and filing of the Certificate and each amendment thereto is hereby ratified, approved and confirmed by the Members.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both"/>
        <w:ind w:firstLine="648"/>
        <w:spacing w:after="0" w:line="258"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Name.</w:t>
      </w:r>
      <w:r>
        <w:rPr>
          <w:rFonts w:ascii="Arial" w:cs="Arial" w:eastAsia="Arial" w:hAnsi="Arial"/>
          <w:sz w:val="18"/>
          <w:szCs w:val="18"/>
          <w:color w:val="auto"/>
        </w:rPr>
        <w:t xml:space="preserve"> The name of the Company shall be, and the business of the Company shall be conducted under the name of “Opal Fuels LLC” and all Company business shall be conducted in that name or in such other names that comply with applicable law as the Managing Member in its sole discretion may select from time to time. Subject to the Act, the Managing Member in its sole discretion may change the name of the Company (and amend this Agreement to reflect such change) at any time and from time to time without the consent of any other Person. Prompt notification of any such change shall be given to all Members.</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Term.</w:t>
      </w:r>
      <w:r>
        <w:rPr>
          <w:rFonts w:ascii="Arial" w:cs="Arial" w:eastAsia="Arial" w:hAnsi="Arial"/>
          <w:sz w:val="18"/>
          <w:szCs w:val="18"/>
          <w:color w:val="auto"/>
        </w:rPr>
        <w:t xml:space="preserve"> The term of the Company commenced on the date of the filing of the Certificate, and the term shall continue until the dissolution of the Company in accordance with </w:t>
      </w:r>
      <w:r>
        <w:rPr>
          <w:rFonts w:ascii="Arial" w:cs="Arial" w:eastAsia="Arial" w:hAnsi="Arial"/>
          <w:sz w:val="18"/>
          <w:szCs w:val="18"/>
          <w:u w:val="single" w:color="auto"/>
          <w:color w:val="auto"/>
        </w:rPr>
        <w:t>ARTICLE IX</w:t>
      </w:r>
      <w:r>
        <w:rPr>
          <w:rFonts w:ascii="Arial" w:cs="Arial" w:eastAsia="Arial" w:hAnsi="Arial"/>
          <w:sz w:val="18"/>
          <w:szCs w:val="18"/>
          <w:color w:val="auto"/>
        </w:rPr>
        <w:t>. The existence of the Company shall continue until cancellation of the Certificate in the manner required by the Act.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b w:val="1"/>
          <w:bCs w:val="1"/>
          <w:color w:val="auto"/>
        </w:rPr>
        <w:t>Offices.</w:t>
      </w:r>
      <w:r>
        <w:rPr>
          <w:rFonts w:ascii="Arial" w:cs="Arial" w:eastAsia="Arial" w:hAnsi="Arial"/>
          <w:sz w:val="18"/>
          <w:szCs w:val="18"/>
          <w:color w:val="auto"/>
        </w:rPr>
        <w:t xml:space="preserve"> The Company may have offices at such places either within or outside the State of Delaware as the Managing Member from time to time may select in its sole discretion. As of the date hereof, the principal place of business and office of the Company is located at c/o OPAL Fuels LLC, One North Lexington Avenue, Suite 1450, White Plains, NY 10601, Attention: Office of General Counsel.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b w:val="1"/>
          <w:bCs w:val="1"/>
          <w:color w:val="auto"/>
        </w:rPr>
        <w:t>Agent for Service of Process; Existence and Good Standing; Foreign Qualification.</w:t>
      </w:r>
    </w:p>
    <w:p>
      <w:pPr>
        <w:spacing w:after="0" w:line="229" w:lineRule="exact"/>
        <w:rPr>
          <w:sz w:val="20"/>
          <w:szCs w:val="20"/>
          <w:color w:val="auto"/>
        </w:rPr>
      </w:pPr>
    </w:p>
    <w:p>
      <w:pPr>
        <w:jc w:val="both"/>
        <w:ind w:firstLine="980"/>
        <w:spacing w:after="0" w:line="263" w:lineRule="auto"/>
        <w:tabs>
          <w:tab w:leader="none" w:pos="121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registered office of the Company in the State of Delaware shall be located at CORPORATION TRUST CENTER 1209 ORANGE ST, WILMINGTON, DE 19801. The name of the registered agent of the Company for service of process on the Company in the State of Delaware at such address shall be THE CORPORATION TRUST COMPANY.</w:t>
      </w:r>
    </w:p>
    <w:p>
      <w:pPr>
        <w:spacing w:after="0" w:line="183" w:lineRule="exact"/>
        <w:rPr>
          <w:rFonts w:ascii="Arial" w:cs="Arial" w:eastAsia="Arial" w:hAnsi="Arial"/>
          <w:sz w:val="18"/>
          <w:szCs w:val="18"/>
          <w:color w:val="auto"/>
        </w:rPr>
      </w:pPr>
    </w:p>
    <w:p>
      <w:pPr>
        <w:jc w:val="both"/>
        <w:ind w:firstLine="980"/>
        <w:spacing w:after="0" w:line="270" w:lineRule="auto"/>
        <w:tabs>
          <w:tab w:leader="none" w:pos="124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82"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b w:val="1"/>
          <w:bCs w:val="1"/>
          <w:color w:val="auto"/>
        </w:rPr>
        <w:t>Business Purpose.</w:t>
      </w:r>
      <w:r>
        <w:rPr>
          <w:rFonts w:ascii="Arial" w:cs="Arial" w:eastAsia="Arial" w:hAnsi="Arial"/>
          <w:sz w:val="18"/>
          <w:szCs w:val="18"/>
          <w:color w:val="auto"/>
        </w:rPr>
        <w:t xml:space="preserve"> The Company was formed for the object and purpose of, and the nature and character of the business to be conducted by the Company is, engaging in any lawful act or activity for which limited liability companies may be formed under the Act.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2.07 </w:t>
      </w:r>
      <w:r>
        <w:rPr>
          <w:rFonts w:ascii="Arial" w:cs="Arial" w:eastAsia="Arial" w:hAnsi="Arial"/>
          <w:sz w:val="17"/>
          <w:szCs w:val="17"/>
          <w:b w:val="1"/>
          <w:bCs w:val="1"/>
          <w:color w:val="auto"/>
        </w:rPr>
        <w:t>Powers of the Company.</w:t>
      </w:r>
      <w:r>
        <w:rPr>
          <w:rFonts w:ascii="Arial" w:cs="Arial" w:eastAsia="Arial" w:hAnsi="Arial"/>
          <w:sz w:val="17"/>
          <w:szCs w:val="17"/>
          <w:color w:val="auto"/>
        </w:rPr>
        <w:t xml:space="preserve"> Subject to the limitations set forth in this Agreement, the Company will possess and may exercise all of the powers and privileges granted to it by the Act including, without limitation,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w:t>
      </w:r>
      <w:r>
        <w:rPr>
          <w:rFonts w:ascii="Arial" w:cs="Arial" w:eastAsia="Arial" w:hAnsi="Arial"/>
          <w:sz w:val="17"/>
          <w:szCs w:val="17"/>
          <w:u w:val="single" w:color="auto"/>
          <w:color w:val="auto"/>
        </w:rPr>
        <w:t>Section 2.06</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b w:val="1"/>
          <w:bCs w:val="1"/>
          <w:color w:val="auto"/>
        </w:rPr>
        <w:t>Members; Reclassification; Admission of New Members.</w:t>
      </w:r>
      <w:r>
        <w:rPr>
          <w:rFonts w:ascii="Arial" w:cs="Arial" w:eastAsia="Arial" w:hAnsi="Arial"/>
          <w:sz w:val="18"/>
          <w:szCs w:val="18"/>
          <w:color w:val="auto"/>
        </w:rPr>
        <w:t xml:space="preserve"> Each of the Persons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as the same may be amended from time to time in accordance with this Agreement, by virtue of its execution this Agreement, are admitted as Members of the Company. The rights, duties and liabilities of the Members shall be as provided in the Act, except as is otherwise expressly provided herein, and the Members consent to the variation of such rights, duties and liabilities as provided herein. Subject to </w:t>
      </w:r>
      <w:r>
        <w:rPr>
          <w:rFonts w:ascii="Arial" w:cs="Arial" w:eastAsia="Arial" w:hAnsi="Arial"/>
          <w:sz w:val="18"/>
          <w:szCs w:val="18"/>
          <w:u w:val="single" w:color="auto"/>
          <w:color w:val="auto"/>
        </w:rPr>
        <w:t>Section 8.07</w:t>
      </w:r>
      <w:r>
        <w:rPr>
          <w:rFonts w:ascii="Arial" w:cs="Arial" w:eastAsia="Arial" w:hAnsi="Arial"/>
          <w:sz w:val="18"/>
          <w:szCs w:val="18"/>
          <w:color w:val="auto"/>
        </w:rPr>
        <w:t xml:space="preserve"> with respect to substitute Members, a Person may be admitted from time to time as a new Member with the written consent of the Managing Member in its sole discretion.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w:t>
      </w:r>
      <w:r>
        <w:rPr>
          <w:rFonts w:ascii="Arial" w:cs="Arial" w:eastAsia="Arial" w:hAnsi="Arial"/>
          <w:sz w:val="18"/>
          <w:szCs w:val="18"/>
          <w:u w:val="single" w:color="auto"/>
          <w:color w:val="auto"/>
        </w:rPr>
        <w:t>Section 8.06</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b w:val="1"/>
          <w:bCs w:val="1"/>
          <w:color w:val="auto"/>
        </w:rPr>
        <w:t>Resignation.</w:t>
      </w:r>
      <w:r>
        <w:rPr>
          <w:rFonts w:ascii="Arial" w:cs="Arial" w:eastAsia="Arial" w:hAnsi="Arial"/>
          <w:sz w:val="18"/>
          <w:szCs w:val="18"/>
          <w:color w:val="auto"/>
        </w:rPr>
        <w:t xml:space="preserve"> No Member shall have the right to resign as a member of the Company other than following the Transfer of all Units owned by such Member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color w:val="auto"/>
        </w:rPr>
        <w:t>Representations of Members.</w:t>
      </w:r>
      <w:r>
        <w:rPr>
          <w:rFonts w:ascii="Arial" w:cs="Arial" w:eastAsia="Arial" w:hAnsi="Arial"/>
          <w:sz w:val="16"/>
          <w:szCs w:val="16"/>
          <w:color w:val="auto"/>
        </w:rPr>
        <w:t xml:space="preserve"> Each Member severally (and not jointly) represents and warrants to the Company and each other Member as of the date of such Member’s admittance to the Company and as of each subsequent date that such Member acquires any additional Units that:</w:t>
      </w:r>
    </w:p>
    <w:p>
      <w:pPr>
        <w:spacing w:after="0" w:line="116" w:lineRule="exact"/>
        <w:rPr>
          <w:sz w:val="20"/>
          <w:szCs w:val="20"/>
          <w:color w:val="auto"/>
        </w:rPr>
      </w:pPr>
    </w:p>
    <w:p>
      <w:pPr>
        <w:ind w:left="1220" w:hanging="240"/>
        <w:spacing w:after="0"/>
        <w:tabs>
          <w:tab w:leader="none" w:pos="12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Organization; Authority</w:t>
      </w:r>
    </w:p>
    <w:p>
      <w:pPr>
        <w:spacing w:after="0" w:line="229" w:lineRule="exact"/>
        <w:rPr>
          <w:rFonts w:ascii="Arial" w:cs="Arial" w:eastAsia="Arial" w:hAnsi="Arial"/>
          <w:sz w:val="18"/>
          <w:szCs w:val="18"/>
          <w:color w:val="auto"/>
        </w:rPr>
      </w:pPr>
    </w:p>
    <w:p>
      <w:pPr>
        <w:jc w:val="both"/>
        <w:ind w:left="340" w:firstLine="964"/>
        <w:spacing w:after="0" w:line="254" w:lineRule="auto"/>
        <w:tabs>
          <w:tab w:leader="none" w:pos="153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the extent it is not a natural person, (A) it is duly incorporated, organized or formed, as applicable, validly existing and in good standing (if applicable) under the Laws of the jurisdiction of its incorporation, organization or formation, as applicable, and if required by Law is duly qualified to conduct business and is in good standing in the jurisdiction of its principal place of business (if not incorporated, organized or formed, as applicable, in such jurisdiction), and (B) has full corporate, limited liability company, partnership, trust or other applicable power and authority to execute and deliver this Agreement and to perform its obligations under this Agreement and all necessary actions by the board of directors, shareholders, managers, members, partners, trustees, beneficiaries or other Persons necessary for the due authorization, execution, delivery and performance of this Agreement by that Member have been duly taken.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left="340" w:firstLine="964"/>
        <w:spacing w:after="0" w:line="263" w:lineRule="auto"/>
        <w:tabs>
          <w:tab w:leader="none" w:pos="159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It has duly executed and delivered this Agreement, and this Agreement is enforceable against such Member in accordance with its terms, subject to bankruptcy, moratorium, insolvency and other Laws generally affecting creditors’ rights and general principles of equity (whether applied in a proceeding in a court of law or equity).</w:t>
      </w:r>
    </w:p>
    <w:p>
      <w:pPr>
        <w:spacing w:after="0" w:line="179" w:lineRule="exact"/>
        <w:rPr>
          <w:rFonts w:ascii="Arial" w:cs="Arial" w:eastAsia="Arial" w:hAnsi="Arial"/>
          <w:sz w:val="18"/>
          <w:szCs w:val="18"/>
          <w:color w:val="auto"/>
        </w:rPr>
      </w:pPr>
    </w:p>
    <w:p>
      <w:pPr>
        <w:jc w:val="both"/>
        <w:ind w:firstLine="980"/>
        <w:spacing w:after="0" w:line="266" w:lineRule="auto"/>
        <w:tabs>
          <w:tab w:leader="none" w:pos="1254"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Non-Contravention. </w:t>
      </w:r>
      <w:r>
        <w:rPr>
          <w:rFonts w:ascii="Arial" w:cs="Arial" w:eastAsia="Arial" w:hAnsi="Arial"/>
          <w:sz w:val="18"/>
          <w:szCs w:val="18"/>
          <w:color w:val="auto"/>
        </w:rPr>
        <w:t>Its authorization, execution, delivery, and performance of this Agreement does not breach or conflict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default under (i) such Member’s charter or other governing documents to the extent it is not a natural person, (ii) any material obligation under any other material agreement to which that Member is a party or by which it is bound or (iii) applicable Law.</w:t>
      </w:r>
    </w:p>
    <w:p>
      <w:pPr>
        <w:spacing w:after="0" w:line="175" w:lineRule="exact"/>
        <w:rPr>
          <w:rFonts w:ascii="Arial" w:cs="Arial" w:eastAsia="Arial" w:hAnsi="Arial"/>
          <w:sz w:val="18"/>
          <w:szCs w:val="18"/>
          <w:color w:val="auto"/>
        </w:rPr>
      </w:pPr>
    </w:p>
    <w:p>
      <w:pPr>
        <w:jc w:val="both"/>
        <w:ind w:firstLine="980"/>
        <w:spacing w:after="0" w:line="281" w:lineRule="auto"/>
        <w:tabs>
          <w:tab w:leader="none" w:pos="1216" w:val="left"/>
        </w:tabs>
        <w:numPr>
          <w:ilvl w:val="0"/>
          <w:numId w:val="152"/>
        </w:numPr>
        <w:rPr>
          <w:rFonts w:ascii="Arial" w:cs="Arial" w:eastAsia="Arial" w:hAnsi="Arial"/>
          <w:sz w:val="17"/>
          <w:szCs w:val="17"/>
          <w:color w:val="auto"/>
        </w:rPr>
      </w:pPr>
      <w:r>
        <w:rPr>
          <w:rFonts w:ascii="Arial" w:cs="Arial" w:eastAsia="Arial" w:hAnsi="Arial"/>
          <w:sz w:val="17"/>
          <w:szCs w:val="17"/>
          <w:b w:val="1"/>
          <w:bCs w:val="1"/>
          <w:color w:val="auto"/>
        </w:rPr>
        <w:t xml:space="preserve">Due Inquiry. </w:t>
      </w:r>
      <w:r>
        <w:rPr>
          <w:rFonts w:ascii="Arial" w:cs="Arial" w:eastAsia="Arial" w:hAnsi="Arial"/>
          <w:sz w:val="17"/>
          <w:szCs w:val="17"/>
          <w:color w:val="auto"/>
        </w:rPr>
        <w:t>To the extent such Member has acquired Units directly from the Company, it has had, prior to the execution and delivery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and received all such information about the Company and the Units as it has requested.</w:t>
      </w:r>
    </w:p>
    <w:p>
      <w:pPr>
        <w:spacing w:after="0" w:line="164" w:lineRule="exact"/>
        <w:rPr>
          <w:rFonts w:ascii="Arial" w:cs="Arial" w:eastAsia="Arial" w:hAnsi="Arial"/>
          <w:sz w:val="17"/>
          <w:szCs w:val="17"/>
          <w:color w:val="auto"/>
        </w:rPr>
      </w:pPr>
    </w:p>
    <w:p>
      <w:pPr>
        <w:jc w:val="both"/>
        <w:ind w:firstLine="980"/>
        <w:spacing w:after="0" w:line="303" w:lineRule="auto"/>
        <w:tabs>
          <w:tab w:leader="none" w:pos="1227"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Purpose of Investment. </w:t>
      </w:r>
      <w:r>
        <w:rPr>
          <w:rFonts w:ascii="Arial" w:cs="Arial" w:eastAsia="Arial" w:hAnsi="Arial"/>
          <w:sz w:val="16"/>
          <w:szCs w:val="16"/>
          <w:color w:val="auto"/>
        </w:rPr>
        <w:t>It is acquiring and holding its Units solely for investment purposes, for its own account and not for the account or</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any other Person and not with a view towards the distribution or dissemination thereof, did not decide to enter into this Agreement as a result of any general solicitation or general advertising within the meaning of Rule 502 of Regulation D under the Securities Act, and acknowledges and understands that no United States federal or state agency has passed upon or made any recommendation or endorsement of the offering of any Units.</w:t>
      </w:r>
    </w:p>
    <w:p>
      <w:pPr>
        <w:spacing w:after="0" w:line="150" w:lineRule="exact"/>
        <w:rPr>
          <w:rFonts w:ascii="Arial" w:cs="Arial" w:eastAsia="Arial" w:hAnsi="Arial"/>
          <w:sz w:val="16"/>
          <w:szCs w:val="16"/>
          <w:color w:val="auto"/>
        </w:rPr>
      </w:pPr>
    </w:p>
    <w:p>
      <w:pPr>
        <w:jc w:val="both"/>
        <w:ind w:firstLine="980"/>
        <w:spacing w:after="0" w:line="292" w:lineRule="auto"/>
        <w:tabs>
          <w:tab w:leader="none" w:pos="1216"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It understands the Units are being Transferred in a transaction not involving a public offering within the meaning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Securities Act and the Units will comprise “</w:t>
      </w:r>
      <w:r>
        <w:rPr>
          <w:rFonts w:ascii="Arial" w:cs="Arial" w:eastAsia="Arial" w:hAnsi="Arial"/>
          <w:sz w:val="16"/>
          <w:szCs w:val="16"/>
          <w:b w:val="1"/>
          <w:bCs w:val="1"/>
          <w:i w:val="1"/>
          <w:iCs w:val="1"/>
          <w:color w:val="auto"/>
        </w:rPr>
        <w:t>restricted securities</w:t>
      </w:r>
      <w:r>
        <w:rPr>
          <w:rFonts w:ascii="Arial" w:cs="Arial" w:eastAsia="Arial" w:hAnsi="Arial"/>
          <w:sz w:val="16"/>
          <w:szCs w:val="16"/>
          <w:color w:val="auto"/>
        </w:rPr>
        <w:t>” within the meaning of Rule 144(a)(3) under the Securities Act which shall not be sold, pledged, hypothecated or otherwise Transferred except in accordance with the terms of this Agreement and applicable Law. It agrees that, if in the future it decides to offer, resell, pledge or otherwise Transfer any portion of its Units, such Units may be offered, resold, pledged or otherwise Transferred only pursuant to an effective registration statement under the Securities Act or an applicable exemption from registration and/or qualification under the Securities Act and applicable state securities Laws, and as a condition precedent to any such Transfer, it may be required to deliver to the Company an opinion of counsel satisfactory to the Company, and agrees, absent registration or an exemption with respect to its Units, not to resell any such Units.</w:t>
      </w:r>
    </w:p>
    <w:p>
      <w:pPr>
        <w:spacing w:after="0" w:line="161" w:lineRule="exact"/>
        <w:rPr>
          <w:rFonts w:ascii="Arial" w:cs="Arial" w:eastAsia="Arial" w:hAnsi="Arial"/>
          <w:sz w:val="16"/>
          <w:szCs w:val="16"/>
          <w:color w:val="auto"/>
        </w:rPr>
      </w:pPr>
    </w:p>
    <w:p>
      <w:pPr>
        <w:jc w:val="both"/>
        <w:ind w:firstLine="980"/>
        <w:spacing w:after="0" w:line="272" w:lineRule="auto"/>
        <w:tabs>
          <w:tab w:leader="none" w:pos="1197" w:val="left"/>
        </w:tabs>
        <w:numPr>
          <w:ilvl w:val="0"/>
          <w:numId w:val="152"/>
        </w:numPr>
        <w:rPr>
          <w:rFonts w:ascii="Arial" w:cs="Arial" w:eastAsia="Arial" w:hAnsi="Arial"/>
          <w:sz w:val="17"/>
          <w:szCs w:val="17"/>
          <w:color w:val="auto"/>
        </w:rPr>
      </w:pPr>
      <w:r>
        <w:rPr>
          <w:rFonts w:ascii="Arial" w:cs="Arial" w:eastAsia="Arial" w:hAnsi="Arial"/>
          <w:sz w:val="17"/>
          <w:szCs w:val="17"/>
          <w:b w:val="1"/>
          <w:bCs w:val="1"/>
          <w:color w:val="auto"/>
        </w:rPr>
        <w:t xml:space="preserve">Investor Status. </w:t>
      </w:r>
      <w:r>
        <w:rPr>
          <w:rFonts w:ascii="Arial" w:cs="Arial" w:eastAsia="Arial" w:hAnsi="Arial"/>
          <w:sz w:val="17"/>
          <w:szCs w:val="17"/>
          <w:color w:val="auto"/>
        </w:rPr>
        <w:t>It (i) has adequate means of providing for its current needs and possible contingencies, is able to bear the economic risks</w:t>
      </w:r>
      <w:r>
        <w:rPr>
          <w:rFonts w:ascii="Arial" w:cs="Arial" w:eastAsia="Arial" w:hAnsi="Arial"/>
          <w:sz w:val="17"/>
          <w:szCs w:val="17"/>
          <w:b w:val="1"/>
          <w:bCs w:val="1"/>
          <w:color w:val="auto"/>
        </w:rPr>
        <w:t xml:space="preserve"> </w:t>
      </w:r>
      <w:r>
        <w:rPr>
          <w:rFonts w:ascii="Arial" w:cs="Arial" w:eastAsia="Arial" w:hAnsi="Arial"/>
          <w:sz w:val="17"/>
          <w:szCs w:val="17"/>
          <w:color w:val="auto"/>
        </w:rPr>
        <w:t>of its investment for an indefinite period of time and has a sufficient net worth to sustain a loss of its entire investment in the Company in the event such loss should occur, (ii) is sophisticated in financial matters and has such knowledge and experience in financial and business matters as to be capable of evaluating the merits and risks of an investment in the Company, (iii) is, or is controlled by, an “</w:t>
      </w:r>
      <w:r>
        <w:rPr>
          <w:rFonts w:ascii="Arial" w:cs="Arial" w:eastAsia="Arial" w:hAnsi="Arial"/>
          <w:sz w:val="17"/>
          <w:szCs w:val="17"/>
          <w:b w:val="1"/>
          <w:bCs w:val="1"/>
          <w:i w:val="1"/>
          <w:iCs w:val="1"/>
          <w:color w:val="auto"/>
        </w:rPr>
        <w:t>accredited investor,</w:t>
      </w:r>
      <w:r>
        <w:rPr>
          <w:rFonts w:ascii="Arial" w:cs="Arial" w:eastAsia="Arial" w:hAnsi="Arial"/>
          <w:sz w:val="17"/>
          <w:szCs w:val="17"/>
          <w:color w:val="auto"/>
        </w:rPr>
        <w:t>” as that term is defined in Rule 501(a) of Regulation D, promulgated under the Securities Act, and acknowledges the issuance of Units under this Agreement is being made in reliance on a private placement exemption to “</w:t>
      </w:r>
      <w:r>
        <w:rPr>
          <w:rFonts w:ascii="Arial" w:cs="Arial" w:eastAsia="Arial" w:hAnsi="Arial"/>
          <w:sz w:val="17"/>
          <w:szCs w:val="17"/>
          <w:b w:val="1"/>
          <w:bCs w:val="1"/>
          <w:i w:val="1"/>
          <w:iCs w:val="1"/>
          <w:color w:val="auto"/>
        </w:rPr>
        <w:t>accredited investors</w:t>
      </w:r>
      <w:r>
        <w:rPr>
          <w:rFonts w:ascii="Arial" w:cs="Arial" w:eastAsia="Arial" w:hAnsi="Arial"/>
          <w:sz w:val="17"/>
          <w:szCs w:val="17"/>
          <w:color w:val="auto"/>
        </w:rPr>
        <w:t>” within the meaning of Section 501(a) of Regulation D under the Securities Act or similar exemptions under federal and state Law, and (iv) is treated as a single partner within the meaning of Treasury Regulations Section 1.7704-1(h) (determined taking into account the rules of Treasury Regulations Section 1.7704-1(h)(3)).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ind w:left="50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MANAGEMENT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color w:val="auto"/>
        </w:rPr>
        <w:t>Managing Member.</w:t>
      </w:r>
    </w:p>
    <w:p>
      <w:pPr>
        <w:spacing w:after="0" w:line="229" w:lineRule="exact"/>
        <w:rPr>
          <w:sz w:val="20"/>
          <w:szCs w:val="20"/>
          <w:color w:val="auto"/>
        </w:rPr>
      </w:pPr>
    </w:p>
    <w:p>
      <w:pPr>
        <w:ind w:right="20" w:firstLine="980"/>
        <w:spacing w:after="0" w:line="277" w:lineRule="auto"/>
        <w:tabs>
          <w:tab w:leader="none" w:pos="123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business, property and affairs of the Company shall be managed under the sole, absolute and exclusive direction of the Managing Member, which may from time to time delegate authority to Officers or to others to act on behalf of the Company.</w:t>
      </w:r>
    </w:p>
    <w:p>
      <w:pPr>
        <w:spacing w:after="0" w:line="170" w:lineRule="exact"/>
        <w:rPr>
          <w:rFonts w:ascii="Arial" w:cs="Arial" w:eastAsia="Arial" w:hAnsi="Arial"/>
          <w:sz w:val="18"/>
          <w:szCs w:val="18"/>
          <w:color w:val="auto"/>
        </w:rPr>
      </w:pPr>
    </w:p>
    <w:p>
      <w:pPr>
        <w:ind w:firstLine="980"/>
        <w:spacing w:after="0" w:line="308" w:lineRule="auto"/>
        <w:tabs>
          <w:tab w:leader="none" w:pos="122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Without limiting the foregoing provisions of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Managing Member shall have the general power to manage or cause the management of the Company (which may be delegated to Officers of the Company), including, without limitation, the following powers:</w:t>
      </w:r>
    </w:p>
    <w:p>
      <w:pPr>
        <w:spacing w:after="0" w:line="146" w:lineRule="exact"/>
        <w:rPr>
          <w:rFonts w:ascii="Arial" w:cs="Arial" w:eastAsia="Arial" w:hAnsi="Arial"/>
          <w:sz w:val="17"/>
          <w:szCs w:val="17"/>
          <w:color w:val="auto"/>
        </w:rPr>
      </w:pPr>
    </w:p>
    <w:p>
      <w:pPr>
        <w:ind w:left="1520" w:hanging="216"/>
        <w:spacing w:after="0"/>
        <w:tabs>
          <w:tab w:leader="none" w:pos="15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develop and prepare a business plan each year which will set forth the operating goals and plans for the Company;</w:t>
      </w:r>
    </w:p>
    <w:p>
      <w:pPr>
        <w:spacing w:after="0" w:line="225" w:lineRule="exact"/>
        <w:rPr>
          <w:rFonts w:ascii="Arial" w:cs="Arial" w:eastAsia="Arial" w:hAnsi="Arial"/>
          <w:sz w:val="18"/>
          <w:szCs w:val="18"/>
          <w:color w:val="auto"/>
        </w:rPr>
      </w:pPr>
    </w:p>
    <w:p>
      <w:pPr>
        <w:ind w:left="340" w:right="20" w:firstLine="964"/>
        <w:spacing w:after="0" w:line="277" w:lineRule="auto"/>
        <w:tabs>
          <w:tab w:leader="none" w:pos="157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execute and deliver or to authorize the execution and delivery of contracts, deeds, leases, licenses, instruments of transfer and other documents on behalf of the Company;</w:t>
      </w:r>
    </w:p>
    <w:p>
      <w:pPr>
        <w:spacing w:after="0" w:line="170" w:lineRule="exact"/>
        <w:rPr>
          <w:rFonts w:ascii="Arial" w:cs="Arial" w:eastAsia="Arial" w:hAnsi="Arial"/>
          <w:sz w:val="18"/>
          <w:szCs w:val="18"/>
          <w:color w:val="auto"/>
        </w:rPr>
      </w:pPr>
    </w:p>
    <w:p>
      <w:pPr>
        <w:ind w:left="340" w:firstLine="964"/>
        <w:spacing w:after="0" w:line="277" w:lineRule="auto"/>
        <w:tabs>
          <w:tab w:leader="none" w:pos="165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make any expenditures, to lend or borrow money, to assume or guarantee, or otherwise contract for, indebtedness and other liabilities, to issue evidences of indebtedness and to incur any other obligations;</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establish and enforce limits of authority and internal controls with respect to all personnel and functions;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engage attorneys, consultants and accountants for the Company;</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develop or cause to be developed accounting procedures for the maintenance of the Company’s books of account; and</w:t>
      </w:r>
    </w:p>
    <w:p>
      <w:pPr>
        <w:spacing w:after="0" w:line="236" w:lineRule="exact"/>
        <w:rPr>
          <w:rFonts w:ascii="Arial" w:cs="Arial" w:eastAsia="Arial" w:hAnsi="Arial"/>
          <w:sz w:val="17"/>
          <w:szCs w:val="17"/>
          <w:color w:val="auto"/>
        </w:rPr>
      </w:pPr>
    </w:p>
    <w:p>
      <w:pPr>
        <w:ind w:left="1660" w:hanging="356"/>
        <w:spacing w:after="0"/>
        <w:tabs>
          <w:tab w:leader="none" w:pos="16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do all such other acts as shall be authorized in this Agreement or by the Members in writing from time to time.</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The Managing Member shall not be entitled to any compensation for services rendered to the Company in its capacity as Managing Member.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648"/>
        <w:spacing w:after="0" w:line="287"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b w:val="1"/>
          <w:bCs w:val="1"/>
          <w:color w:val="auto"/>
        </w:rPr>
        <w:t>Expenses.</w:t>
      </w:r>
      <w:r>
        <w:rPr>
          <w:rFonts w:ascii="Arial" w:cs="Arial" w:eastAsia="Arial" w:hAnsi="Arial"/>
          <w:sz w:val="16"/>
          <w:szCs w:val="16"/>
          <w:color w:val="auto"/>
        </w:rPr>
        <w:t xml:space="preserve"> The Company shall pay, or cause to be paid, all costs, fees, operating expenses and other expenses of the Company (including the costs, fees and expenses of attorneys, accountants or other professionals) incurred in pursuing and conducting, or otherwise related to, the activities of the Company. The Company shall also, in the sole discretion of the Managing Member, bear and/or reimburse the Managing Member for (i) any costs, fees or expenses incurred by the Managing Member in connection with serving as the Managing Member and (ii) all other expenses allocable to the Company or otherwise incurred by the Managing Member in connection with operating the Company’s business (including expenses allocated to the Managing Member by its Affiliates).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 Managing Member may cause the Company to pay or bear all expenses of the Managing Member, including, without limitation, compensation and meeting costs of any Board or similar body of the Managing Member, any salary, bonus, incentive compensation and other amounts paid to any Person including Affiliates of the Managing Member to perform services for the Company, litigation costs and damages arising from litigation, accounting and legal costs and franchise taxes. Reimbursements pursuant to this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shall be in addition to any reimbursement to the Managing Member as a result of indemnification pursuant to </w:t>
      </w:r>
      <w:r>
        <w:rPr>
          <w:rFonts w:ascii="Arial" w:cs="Arial" w:eastAsia="Arial" w:hAnsi="Arial"/>
          <w:sz w:val="16"/>
          <w:szCs w:val="16"/>
          <w:u w:val="single" w:color="auto"/>
          <w:color w:val="auto"/>
        </w:rPr>
        <w:t>Section 10.02</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3.04 </w:t>
      </w:r>
      <w:r>
        <w:rPr>
          <w:rFonts w:ascii="Arial" w:cs="Arial" w:eastAsia="Arial" w:hAnsi="Arial"/>
          <w:sz w:val="16"/>
          <w:szCs w:val="16"/>
          <w:b w:val="1"/>
          <w:bCs w:val="1"/>
          <w:color w:val="auto"/>
        </w:rPr>
        <w:t>Officers.</w:t>
      </w:r>
      <w:r>
        <w:rPr>
          <w:rFonts w:ascii="Arial" w:cs="Arial" w:eastAsia="Arial" w:hAnsi="Arial"/>
          <w:sz w:val="16"/>
          <w:szCs w:val="16"/>
          <w:color w:val="auto"/>
        </w:rPr>
        <w:t xml:space="preserve"> Subject to the direction and oversight of the Managing Member, the day- to-day administration of the business of the Company may be carried out by persons who may be designated as officers by the Managing Member, with titles including but not limited to “assistant secretary,” “assistant treasurer,” “chairman,” “chief executive officer,” “chief financial officer,” “chief operating officer,” “director,” “general counsel,” “general manager,” “managing director,” “president,” “principal accounting officer,” “secretary,” “senior chairman,” “senior managing director,” “treasurer,” “vice chairman,” “executive vice president” or “vice president,” and as and to the extent authorized by the Managing Member in its sole discretion. The officers of the Company shall have such titles and powers and perform such duties as shall be determined from time to time by the Managing Member and otherwise as shall customarily pertain to such offices. Any number of offices may be held by the same person. In its sole discretion, the Managing Member may choose not to fill any office for any period as it may deem advisable. All officers and other persons providing services to or for the benefit of the Company shall be subject to the supervision and direction of the Managing Member and may be removed, with or without cause, from such office by the Managing Member and the authority, duties or responsibilities of any employee, agent or officer of the Company may be suspended by the Managing Member from time to time, in each case in the sole discretion of the Managing Member. The Managing Member shall not cease to be Managing Member of the Company as a result of the delegation of any duties hereunder. No officer of the Company, in his or her capacity as such, shall be considered a Managing Member of the Company by agreement, as a result of the performance of his or her duties hereunder or otherwise.</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b w:val="1"/>
          <w:bCs w:val="1"/>
          <w:color w:val="auto"/>
        </w:rPr>
        <w:t>Authority of Members.</w:t>
      </w:r>
      <w:r>
        <w:rPr>
          <w:rFonts w:ascii="Arial" w:cs="Arial" w:eastAsia="Arial" w:hAnsi="Arial"/>
          <w:sz w:val="16"/>
          <w:szCs w:val="16"/>
          <w:color w:val="auto"/>
        </w:rPr>
        <w:t xml:space="preserve"> No Member (other than the Managing Member), in its, his or her capacity as such, shall participate in or have any control over the business of the Company. Except as expressly provided herein, the Units do not confer any rights upon the Members to participate in the affairs of the Company described in this Agreement. Except as expressly provided herein or in any Certificate of Designations, no Member (other than the Members holding Class A Units) shall have any right to vote on any matter involving the Company, including with respect to any merger, consolidation, combination or conversion of the Company, or any other matter that a Member might otherwise have the ability to vote on or consent with respect to under the Act, at law, in equity or otherwise. Except as otherwise expressly set forth in this Agreement or any Certificate of Designations,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or by separate agreement with the Company, no Member who is not also the Managing Member (and acting in such capacity) shall take any part in the management or control of the operation or business of the Company in his, her or its capacity as a Member, nor shall any Member who is not also the Managing Member (and acting in such capacity) have any right, authority or power to act for or on behalf of or bind the Company in his, her or its capacity as a Member in any respect or assume any obligation or responsibility of the Company or of any other Member. Notwithstanding the foregoing, the Managing Member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16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3.06 </w:t>
      </w:r>
      <w:r>
        <w:rPr>
          <w:rFonts w:ascii="Arial" w:cs="Arial" w:eastAsia="Arial" w:hAnsi="Arial"/>
          <w:sz w:val="17"/>
          <w:szCs w:val="17"/>
          <w:b w:val="1"/>
          <w:bCs w:val="1"/>
          <w:color w:val="auto"/>
        </w:rPr>
        <w:t>Action by Written Consent or Ratification.</w:t>
      </w:r>
      <w:r>
        <w:rPr>
          <w:rFonts w:ascii="Arial" w:cs="Arial" w:eastAsia="Arial" w:hAnsi="Arial"/>
          <w:sz w:val="17"/>
          <w:szCs w:val="17"/>
          <w:color w:val="auto"/>
        </w:rPr>
        <w:t xml:space="preserve"> Any action required or permitted to be taken by the Members pursuant to this Agreement shall be taken if all Members whose consent or ratification is required consent thereto or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89" w:lineRule="auto"/>
        <w:rPr>
          <w:sz w:val="20"/>
          <w:szCs w:val="20"/>
          <w:color w:val="auto"/>
        </w:rPr>
      </w:pPr>
      <w:r>
        <w:rPr>
          <w:rFonts w:ascii="Arial" w:cs="Arial" w:eastAsia="Arial" w:hAnsi="Arial"/>
          <w:sz w:val="17"/>
          <w:szCs w:val="17"/>
          <w:color w:val="auto"/>
        </w:rPr>
        <w:t xml:space="preserve">3.07 </w:t>
      </w:r>
      <w:r>
        <w:rPr>
          <w:rFonts w:ascii="Arial" w:cs="Arial" w:eastAsia="Arial" w:hAnsi="Arial"/>
          <w:sz w:val="17"/>
          <w:szCs w:val="17"/>
          <w:b w:val="1"/>
          <w:bCs w:val="1"/>
          <w:color w:val="auto"/>
        </w:rPr>
        <w:t>Restrictions on Termination Transactions.</w:t>
      </w:r>
      <w:r>
        <w:rPr>
          <w:rFonts w:ascii="Arial" w:cs="Arial" w:eastAsia="Arial" w:hAnsi="Arial"/>
          <w:sz w:val="17"/>
          <w:szCs w:val="17"/>
          <w:color w:val="auto"/>
        </w:rPr>
        <w:t xml:space="preserve"> The Managing Member shall not engage in, or cause or permit, a Termination Transaction, unless either (x) the Termination Transaction has been approved by Members holding a majority of the Class B Units held by all Members (excluding the Managing Member and any Members controlled by the Managing Member) or (y) the following conditions are satisfied:</w:t>
      </w:r>
    </w:p>
    <w:p>
      <w:pPr>
        <w:spacing w:after="0" w:line="162" w:lineRule="exact"/>
        <w:rPr>
          <w:sz w:val="20"/>
          <w:szCs w:val="20"/>
          <w:color w:val="auto"/>
        </w:rPr>
      </w:pPr>
    </w:p>
    <w:p>
      <w:pPr>
        <w:jc w:val="both"/>
        <w:ind w:firstLine="980"/>
        <w:spacing w:after="0" w:line="267" w:lineRule="auto"/>
        <w:tabs>
          <w:tab w:leader="none" w:pos="122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in connection with any such Termination Transaction: (i) each holder of Class B Units (other than the Managing Member and its wholly owned Subsidiaries) will receive, or will have the right to elect to receive, for each Class B Unit an amount of cash, securities or other property equal to the product of (A) the number of shares of Class A Common Stock or Class C Common Stock into which a Class B Unit is then exchangeable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of this Agreement and (B) the greatest amount of cash, securities or other property paid to a holder of one share of Class A Common Stock or Class C Common Stock, as applicable, in consideration of one share of Class A Common Stock or Class C Common Stock, as applicable, pursuant to the terms of such Termination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condition set forth in this </w:t>
      </w:r>
      <w:r>
        <w:rPr>
          <w:rFonts w:ascii="Arial" w:cs="Arial" w:eastAsia="Arial" w:hAnsi="Arial"/>
          <w:sz w:val="17"/>
          <w:szCs w:val="17"/>
          <w:u w:val="single" w:color="auto"/>
          <w:color w:val="auto"/>
        </w:rPr>
        <w:t>Section 3.07(a)(i)</w:t>
      </w:r>
      <w:r>
        <w:rPr>
          <w:rFonts w:ascii="Arial" w:cs="Arial" w:eastAsia="Arial" w:hAnsi="Arial"/>
          <w:sz w:val="17"/>
          <w:szCs w:val="17"/>
          <w:color w:val="auto"/>
        </w:rPr>
        <w:t xml:space="preserve"> shall be deemed to have been satisfied if, in connection with such Termination Transaction, a purchase, tender or exchange offer shall have been made to and accepted by the holders of a majority of the outstanding shares of Class A Common Stock and Class C Common Stock, voting a single class in accordance with the Managing Member Charter, and each holder of Class B Units (other than the Managing Member and its wholly owned subsidiaries) will receive, or will have the right to elect to receive, the greatest amount of cash, securities or other property which such holder of Class B Units would have received had such Class B Units been exchanged for shares of Class A Common Stock or Class C Common Stock in an Exchange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immediately prior to the expiration of such purchase, tender or exchange offer, such holder of Class B Units had thereupon accepted such purchase, tender or exchange offer and then such Termination Transaction shall have been consummated (the fair market value, at the time of the Termination Transaction, of the amount specified herein with respect to each Class B Unit is referred to as the “</w:t>
      </w:r>
      <w:r>
        <w:rPr>
          <w:rFonts w:ascii="Arial" w:cs="Arial" w:eastAsia="Arial" w:hAnsi="Arial"/>
          <w:sz w:val="17"/>
          <w:szCs w:val="17"/>
          <w:b w:val="1"/>
          <w:bCs w:val="1"/>
          <w:i w:val="1"/>
          <w:iCs w:val="1"/>
          <w:color w:val="auto"/>
        </w:rPr>
        <w:t>Transaction Consideration</w:t>
      </w:r>
      <w:r>
        <w:rPr>
          <w:rFonts w:ascii="Arial" w:cs="Arial" w:eastAsia="Arial" w:hAnsi="Arial"/>
          <w:sz w:val="17"/>
          <w:szCs w:val="17"/>
          <w:color w:val="auto"/>
        </w:rPr>
        <w:t>”); and (ii) the Company receives an opinion from nationally recognized tax counsel to the effect that such Termination Transaction will be tax-free to each holder of Class B Units and Class A Units (including the Managing Member and its wholly owned Subsidiaries unless waived by the Managing Member) for U.S. federal income tax purposes (except to the extent of cash, marketable securities or other property received); or</w:t>
      </w:r>
    </w:p>
    <w:p>
      <w:pPr>
        <w:spacing w:after="0" w:line="191" w:lineRule="exact"/>
        <w:rPr>
          <w:rFonts w:ascii="Arial" w:cs="Arial" w:eastAsia="Arial" w:hAnsi="Arial"/>
          <w:sz w:val="17"/>
          <w:szCs w:val="17"/>
          <w:color w:val="auto"/>
        </w:rPr>
      </w:pPr>
    </w:p>
    <w:p>
      <w:pPr>
        <w:jc w:val="both"/>
        <w:ind w:firstLine="980"/>
        <w:spacing w:after="0" w:line="267" w:lineRule="auto"/>
        <w:tabs>
          <w:tab w:leader="none" w:pos="125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all of the following conditions are met: (i) substantially all of the assets directly or indirectly owned by the Company prior to the announcement of the Termination Transaction are, immediately after the Termination Transaction, owned directly or indirectly by (A) the Company or (B) another limited liability company or limited partnership organized or existing under the laws of the United States, any state thereof, the District of Columbia, or any territory thereof, which is the survivor of a merger, consolidation or combination of assets with the Company (in each case, the “</w:t>
      </w:r>
      <w:r>
        <w:rPr>
          <w:rFonts w:ascii="Arial" w:cs="Arial" w:eastAsia="Arial" w:hAnsi="Arial"/>
          <w:sz w:val="17"/>
          <w:szCs w:val="17"/>
          <w:b w:val="1"/>
          <w:bCs w:val="1"/>
          <w:i w:val="1"/>
          <w:iCs w:val="1"/>
          <w:color w:val="auto"/>
        </w:rPr>
        <w:t>Surviving Company</w:t>
      </w:r>
      <w:r>
        <w:rPr>
          <w:rFonts w:ascii="Arial" w:cs="Arial" w:eastAsia="Arial" w:hAnsi="Arial"/>
          <w:sz w:val="17"/>
          <w:szCs w:val="17"/>
          <w:color w:val="auto"/>
        </w:rPr>
        <w:t>”); (ii) the Surviving Company is classified as a partnership for U.S. Federal income tax purposes; (iii) the Members (other than entities controlled by the Managing Member) that held Class B Units immediately prior to the consummation of such Termination Transaction own a percentage interest of the Surviving Company based on the proportion of the relative fair market value of the net assets of the Company to the other net assets of the Surviving Company immediately prior to the consummation of such transaction; (iv) the rights of such Members with respect to the Surviving Company are at least as favorable as those of Members holding Class B Units (including any rights under the Tax Receivable Agreement, unless such Termination Transaction constitutes a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xml:space="preserve">” for purposes of the Tax Receivable Agreement or otherwise results in payments of cash to the TRA Parties equivalent to (and in lieu of) the payments that would be required to be made to such TRA Parties if such Termination Transaction did constitute a “Change of Control” for such purposes) immediately prior to the consummation of such transaction (except to the extent that any such rights are consistent with clause (v) below) and as those applicable to any other Members (not including the Managing Member); and (v) such rights include the right, to the same extent provided to holders of Class B Units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of this Agreement, to exchange their interests in the Surviving Company (together with voting securities of the Managing Member or its successor) for: (1) a number of publicly traded common equity securities with a fair market value, as of the date of consummation of such Termination Transaction, equal to the Transaction Consideration, subject to antidilution adjustments comparable to those set forth in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Successor Shares Amount</w:t>
      </w:r>
      <w:r>
        <w:rPr>
          <w:rFonts w:ascii="Arial" w:cs="Arial" w:eastAsia="Arial" w:hAnsi="Arial"/>
          <w:sz w:val="17"/>
          <w:szCs w:val="17"/>
          <w:color w:val="auto"/>
        </w:rPr>
        <w:t xml:space="preserve">”); and/or (2) cash in an amount equal to the fair market value of the Successor Shares Amount at the time of such exchange, determined in a manner consistent with the definition of “Cash Exchange Payment” as set forth in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of this Agreement.</w:t>
      </w:r>
    </w:p>
    <w:p>
      <w:pPr>
        <w:spacing w:after="0" w:line="188" w:lineRule="exact"/>
        <w:rPr>
          <w:rFonts w:ascii="Arial" w:cs="Arial" w:eastAsia="Arial" w:hAnsi="Arial"/>
          <w:sz w:val="17"/>
          <w:szCs w:val="17"/>
          <w:color w:val="auto"/>
        </w:rPr>
      </w:pPr>
    </w:p>
    <w:p>
      <w:pPr>
        <w:jc w:val="both"/>
        <w:ind w:firstLine="980"/>
        <w:spacing w:after="0" w:line="263" w:lineRule="auto"/>
        <w:tabs>
          <w:tab w:leader="none" w:pos="123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 connection with any Termination Transaction permitted by </w:t>
      </w:r>
      <w:r>
        <w:rPr>
          <w:rFonts w:ascii="Arial" w:cs="Arial" w:eastAsia="Arial" w:hAnsi="Arial"/>
          <w:sz w:val="18"/>
          <w:szCs w:val="18"/>
          <w:u w:val="single" w:color="auto"/>
          <w:color w:val="auto"/>
        </w:rPr>
        <w:t>Section 3.07(b)</w:t>
      </w:r>
      <w:r>
        <w:rPr>
          <w:rFonts w:ascii="Arial" w:cs="Arial" w:eastAsia="Arial" w:hAnsi="Arial"/>
          <w:sz w:val="18"/>
          <w:szCs w:val="18"/>
          <w:color w:val="auto"/>
        </w:rPr>
        <w:t xml:space="preserve"> hereof, the relative fair market values shall be reasonably determined by the Managing Member as of the time of such transaction and, to the extent applicable, shall be no less favorable to the Members than the relative values reflected in the terms of such transaction.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b w:val="1"/>
          <w:bCs w:val="1"/>
          <w:color w:val="auto"/>
        </w:rPr>
        <w:t>Distributions.</w:t>
      </w:r>
    </w:p>
    <w:p>
      <w:pPr>
        <w:spacing w:after="0" w:line="225" w:lineRule="exact"/>
        <w:rPr>
          <w:sz w:val="20"/>
          <w:szCs w:val="20"/>
          <w:color w:val="auto"/>
        </w:rPr>
      </w:pPr>
    </w:p>
    <w:p>
      <w:pPr>
        <w:jc w:val="both"/>
        <w:ind w:firstLine="980"/>
        <w:spacing w:after="0" w:line="292" w:lineRule="auto"/>
        <w:tabs>
          <w:tab w:leader="none" w:pos="1230"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 xml:space="preserve">Operating Distributions. </w:t>
      </w:r>
      <w:r>
        <w:rPr>
          <w:rFonts w:ascii="Arial" w:cs="Arial" w:eastAsia="Arial" w:hAnsi="Arial"/>
          <w:sz w:val="16"/>
          <w:szCs w:val="16"/>
          <w:color w:val="auto"/>
        </w:rPr>
        <w:t>Except as may otherwise be set forth in any Certificate of Designations, the Managing Member,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discretion, may authorize distributions (to the extent of Available Cash) by the Company to the holders of Class A Units and Class B Units at any time and from time to time. Subject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with respect to Tax Distributions and further subject to the provisions of any Certificate of Designations, all Distributions by the Company shall be made or allocated to holders of Class A Units and Class B Units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number of such Units held by each such holder. For the avoidance of doubt, (i) the Managing Member may authorize distributions to holders of preferred Units in accordance with the terms the applicable Certificate of Designations and (ii) no holder of preferred Units shall have any right to receive any distribution pursuant to this Agreement and shall only be entitled to the rights and privileges set forth in the applicable Certificate of Designations.</w:t>
      </w:r>
    </w:p>
    <w:p>
      <w:pPr>
        <w:spacing w:after="0" w:line="161" w:lineRule="exact"/>
        <w:rPr>
          <w:rFonts w:ascii="Arial" w:cs="Arial" w:eastAsia="Arial" w:hAnsi="Arial"/>
          <w:sz w:val="16"/>
          <w:szCs w:val="16"/>
          <w:color w:val="auto"/>
        </w:rPr>
      </w:pPr>
    </w:p>
    <w:p>
      <w:pPr>
        <w:ind w:left="1240" w:hanging="260"/>
        <w:spacing w:after="0"/>
        <w:tabs>
          <w:tab w:leader="none" w:pos="12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Tax Distributions.</w:t>
      </w:r>
    </w:p>
    <w:p>
      <w:pPr>
        <w:spacing w:after="0" w:line="229" w:lineRule="exact"/>
        <w:rPr>
          <w:rFonts w:ascii="Arial" w:cs="Arial" w:eastAsia="Arial" w:hAnsi="Arial"/>
          <w:sz w:val="18"/>
          <w:szCs w:val="18"/>
          <w:color w:val="auto"/>
        </w:rPr>
      </w:pPr>
    </w:p>
    <w:p>
      <w:pPr>
        <w:jc w:val="both"/>
        <w:ind w:left="340" w:firstLine="1288"/>
        <w:spacing w:after="0" w:line="285" w:lineRule="auto"/>
        <w:tabs>
          <w:tab w:leader="none" w:pos="187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With respect to each Member holding Class A Units or Class B Units, the Company shall calculate the excess of (x)(A) the Income Amount allocated or allocable to such Member with respect to such Units for the Tax Estimation Period in question and for all preceding Tax Estimation Periods, if any, within the taxable year containing such Tax Estimation Period multiplied by (B) the Assumed Tax Rate over (y) the aggregate amount of all prior Tax Distributions in respect of such taxable year and any Distributions made to such Member with respect to such Units pursuant to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w:t>
      </w:r>
      <w:r>
        <w:rPr>
          <w:rFonts w:ascii="Arial" w:cs="Arial" w:eastAsia="Arial" w:hAnsi="Arial"/>
          <w:sz w:val="16"/>
          <w:szCs w:val="16"/>
          <w:color w:val="auto"/>
        </w:rPr>
        <w:t>, with 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Arial" w:cs="Arial" w:eastAsia="Arial" w:hAnsi="Arial"/>
          <w:sz w:val="16"/>
          <w:szCs w:val="16"/>
          <w:b w:val="1"/>
          <w:bCs w:val="1"/>
          <w:i w:val="1"/>
          <w:iCs w:val="1"/>
          <w:color w:val="auto"/>
        </w:rPr>
        <w:t>Member’s Required Tax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Managing Member may make adjustments in its reasonable discretion to reflect transactions occurring during the taxable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case of the Managing Member, the “Member’s Required Tax Distribution” shall be increased to the extent that the payment obligations of the Managing Member under the Tax Receivable Agreement with respect to any Tax Estimation Period exceed the Managing Member’s available cash (taking into account its obligations or reserves for the payment of taxes, liabilities, expenses, and other corporate purposes). For purposes of this Agreement, the “</w:t>
      </w:r>
      <w:r>
        <w:rPr>
          <w:rFonts w:ascii="Arial" w:cs="Arial" w:eastAsia="Arial" w:hAnsi="Arial"/>
          <w:sz w:val="16"/>
          <w:szCs w:val="16"/>
          <w:b w:val="1"/>
          <w:bCs w:val="1"/>
          <w:i w:val="1"/>
          <w:iCs w:val="1"/>
          <w:color w:val="auto"/>
        </w:rPr>
        <w:t>Income Amount</w:t>
      </w:r>
      <w:r>
        <w:rPr>
          <w:rFonts w:ascii="Arial" w:cs="Arial" w:eastAsia="Arial" w:hAnsi="Arial"/>
          <w:sz w:val="16"/>
          <w:szCs w:val="16"/>
          <w:color w:val="auto"/>
        </w:rPr>
        <w:t xml:space="preserve">” for a Tax Estimation Period shall equal, with respect to any Member holding Class A Units or Class B Units, the net taxable income of the Company allocated or allocable to such Member with respect to such Units for such Tax Estimation Period (excluding any compensation paid to a Member outside of this Agreement and any Certificate of Designations, but including for the avoidance of doubt any income allocated or allocable to a Member pursuant to Section 704(c)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net taxable income shall be determined without regard to any special adjustment of tax items as a result of any election under Section 754 of the Code, including any adjustment pursuant to Section 734 and 743 of the Code.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left="340" w:firstLine="1288"/>
        <w:spacing w:after="0" w:line="271" w:lineRule="auto"/>
        <w:tabs>
          <w:tab w:leader="none" w:pos="189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At least five (5) days before the quarterly due date for payment by corporations or individuals (whichever is earlier) on a calendar year under the Code, the Company shall distribute (to the extent of Available Cash) to the Members holding Class A Units or Class B Units,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upon the number of such Units held by each such Member an amount of cash sufficient to provide each such Member with a distribution at least equal to such Member’s Required Tax Distribution (with amounts distributed pursuant to this </w:t>
      </w:r>
      <w:r>
        <w:rPr>
          <w:rFonts w:ascii="Arial" w:cs="Arial" w:eastAsia="Arial" w:hAnsi="Arial"/>
          <w:sz w:val="17"/>
          <w:szCs w:val="17"/>
          <w:u w:val="single" w:color="auto"/>
          <w:color w:val="auto"/>
        </w:rPr>
        <w:t>Section 4.01(b)</w:t>
      </w:r>
      <w:r>
        <w:rPr>
          <w:rFonts w:ascii="Arial" w:cs="Arial" w:eastAsia="Arial" w:hAnsi="Arial"/>
          <w:sz w:val="17"/>
          <w:szCs w:val="17"/>
          <w:color w:val="auto"/>
        </w:rPr>
        <w:t>, “</w:t>
      </w:r>
      <w:r>
        <w:rPr>
          <w:rFonts w:ascii="Arial" w:cs="Arial" w:eastAsia="Arial" w:hAnsi="Arial"/>
          <w:sz w:val="17"/>
          <w:szCs w:val="17"/>
          <w:b w:val="1"/>
          <w:bCs w:val="1"/>
          <w:i w:val="1"/>
          <w:iCs w:val="1"/>
          <w:color w:val="auto"/>
        </w:rPr>
        <w:t>Tax Distributions</w:t>
      </w:r>
      <w:r>
        <w:rPr>
          <w:rFonts w:ascii="Arial" w:cs="Arial" w:eastAsia="Arial" w:hAnsi="Arial"/>
          <w:sz w:val="17"/>
          <w:szCs w:val="17"/>
          <w:color w:val="auto"/>
        </w:rPr>
        <w:t xml:space="preserve">”) (in the event there is insufficient Available Cash to distribute to each such Member their Member’s Required Tax Distribution in full, then the Company shall distribute such Tax Distributions pro rata to each such Member holding Class A Units or Class B Units based on the relative amount of each such Member’s Required Tax Distribution assuming such amounts were paid in full). Any Tax Distributions shall be treated in all respects as advances against future distributions pursuant to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340" w:firstLine="1288"/>
        <w:spacing w:after="0" w:line="311" w:lineRule="auto"/>
        <w:tabs>
          <w:tab w:leader="none" w:pos="19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no Tax Distributions will be required to be made with respect to items arising with respect to any Covered Transaction, although any unpaid Tax Distributions with respect to any Tax Estimation Period, or portion thereof, ending before a Covered Transaction shall continue to be required to be paid prior to any Distributions being made under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145" w:lineRule="exact"/>
        <w:rPr>
          <w:sz w:val="20"/>
          <w:szCs w:val="20"/>
          <w:color w:val="auto"/>
        </w:rPr>
      </w:pPr>
    </w:p>
    <w:p>
      <w:pPr>
        <w:jc w:val="both"/>
        <w:ind w:firstLine="980"/>
        <w:spacing w:after="0" w:line="266" w:lineRule="auto"/>
        <w:tabs>
          <w:tab w:leader="none" w:pos="1216"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Special Distribution</w:t>
      </w:r>
      <w:r>
        <w:rPr>
          <w:rFonts w:ascii="Arial" w:cs="Arial" w:eastAsia="Arial" w:hAnsi="Arial"/>
          <w:sz w:val="18"/>
          <w:szCs w:val="18"/>
          <w:color w:val="auto"/>
        </w:rPr>
        <w:t>. The Managing Member shall, on the date hereof, cause the Company to distribute the Contributed ACT Shares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 in defined in the Business Combination Agreement) to the holders of Class B Units in accordance with Schedule II to the Business Combination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b w:val="1"/>
          <w:bCs w:val="1"/>
          <w:color w:val="auto"/>
        </w:rPr>
        <w:t>Liquidation Distribution.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with respect to Tax Distributions and the provisions of any Certificate of Designations, all Distributions by the Company, and all proceeds (whether received by the Company or directly by the Members) in connection with dissolution of the Company shall be made or allocated among the holders of Class A Units and Class B Units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number of such Units held by each such holder.</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b w:val="1"/>
          <w:bCs w:val="1"/>
          <w:color w:val="auto"/>
        </w:rPr>
        <w:t>Limitations on Distribution.</w:t>
      </w:r>
      <w:r>
        <w:rPr>
          <w:rFonts w:ascii="Arial" w:cs="Arial" w:eastAsia="Arial" w:hAnsi="Arial"/>
          <w:sz w:val="18"/>
          <w:szCs w:val="18"/>
          <w:color w:val="auto"/>
        </w:rPr>
        <w:t xml:space="preserve"> Notwithstanding any provision to the contrary contained in this Agreement, the Managing Member shall not make a distribution to any Member if such distribution would violate (a) Section 18-607 of the Act, (b) other applicable Law or (c) the terms of any credit agreement or other third-party agreement or arrangement to which the Company is a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clause (c) above shall not prohibit or otherwise restrict any distribution to a Member holding Series A Preferred Units to the extent such distribution is not prohibited by Section 12 of the Certificate of Designations with respect to the Series A Preferred Units.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b w:val="1"/>
          <w:bCs w:val="1"/>
          <w:color w:val="auto"/>
        </w:rPr>
        <w:t>Performance Vesting ACT Shares.</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to the contrary, for all purposes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any distributions that would be made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in respect of the Class A Units issued to the Managing Member that correspond to Performance Vesting ACT Shares that have not satisfied the vesting criteria described in the Sponsor Letter Agreement at the time such distribution is made shall be held back and recorded by the Company and such amounts shall either be (i) released to the Managing Member at such time (if any) as the corresponding Performance Vesting ACT Shares satisfy the vesting criteria set forth in Sponsor Letter Agreement or (ii) released to the Company at such time as the corresponding Performance Vesting ACT Shares are forfeited to the Company in accordance with the terms of the Sponsor Letter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firstLine="648"/>
        <w:spacing w:after="0" w:line="256" w:lineRule="auto"/>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b w:val="1"/>
          <w:bCs w:val="1"/>
          <w:color w:val="auto"/>
        </w:rPr>
        <w:t>Use of Distribution Funds.</w:t>
      </w:r>
      <w:r>
        <w:rPr>
          <w:rFonts w:ascii="Arial" w:cs="Arial" w:eastAsia="Arial" w:hAnsi="Arial"/>
          <w:sz w:val="18"/>
          <w:szCs w:val="18"/>
          <w:color w:val="auto"/>
        </w:rPr>
        <w:t xml:space="preserve"> The Managing Member shall use distributions received from the Company for payment of taxes, for obligations under the Tax Receivable Agreement, for liabilities or expenses, to loan funds to the Company in accordance with this Agreement, to contribute funds to the Company in exchange for additional Class A Units in accordance with the terms of this Agreement, for the payment of dividends to its shareholders or for other general corporate purposes, in each case as determined in the sole discretion of the Managing Member;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Managing Member may not use such distributions to acquire any Units, except as otherwise expressly provided in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any Certificate of Designations (but subject to the terms of any Certificate of Designations).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CONTRIBUTIONS; CAPITAL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ALLOCATIONS; TAX MATTERS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b w:val="1"/>
          <w:bCs w:val="1"/>
          <w:color w:val="auto"/>
        </w:rPr>
        <w:t>Initial Capital Contributions.</w:t>
      </w:r>
      <w:r>
        <w:rPr>
          <w:rFonts w:ascii="Arial" w:cs="Arial" w:eastAsia="Arial" w:hAnsi="Arial"/>
          <w:sz w:val="18"/>
          <w:szCs w:val="18"/>
          <w:color w:val="auto"/>
        </w:rPr>
        <w:t xml:space="preserve"> The Members have made, on or prior to the date hereof, Capital Contributions and, in exchange, the Company has issued to the Members the number of Class A Units, as specified in the books and records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b w:val="1"/>
          <w:bCs w:val="1"/>
          <w:color w:val="auto"/>
        </w:rPr>
        <w:t>No Additional Capital Contributions.</w:t>
      </w:r>
      <w:r>
        <w:rPr>
          <w:rFonts w:ascii="Arial" w:cs="Arial" w:eastAsia="Arial" w:hAnsi="Arial"/>
          <w:sz w:val="18"/>
          <w:szCs w:val="18"/>
          <w:color w:val="auto"/>
        </w:rPr>
        <w:t xml:space="preserve"> No Member shall be required to make additional Capital Contributions to the Company without the consent of such Member or permitted to make additional capital contributions to the Company without the consent of the Managing Member, which may be granted or withheld in its sole discretion.</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5.03 </w:t>
      </w:r>
      <w:r>
        <w:rPr>
          <w:rFonts w:ascii="Arial" w:cs="Arial" w:eastAsia="Arial" w:hAnsi="Arial"/>
          <w:sz w:val="17"/>
          <w:szCs w:val="17"/>
          <w:b w:val="1"/>
          <w:bCs w:val="1"/>
          <w:color w:val="auto"/>
        </w:rPr>
        <w:t>Capital Accounts.</w:t>
      </w:r>
      <w:r>
        <w:rPr>
          <w:rFonts w:ascii="Arial" w:cs="Arial" w:eastAsia="Arial" w:hAnsi="Arial"/>
          <w:sz w:val="17"/>
          <w:szCs w:val="17"/>
          <w:color w:val="auto"/>
        </w:rPr>
        <w:t xml:space="preserve"> A separate capital account (a “</w:t>
      </w:r>
      <w:r>
        <w:rPr>
          <w:rFonts w:ascii="Arial" w:cs="Arial" w:eastAsia="Arial" w:hAnsi="Arial"/>
          <w:sz w:val="17"/>
          <w:szCs w:val="17"/>
          <w:b w:val="1"/>
          <w:bCs w:val="1"/>
          <w:i w:val="1"/>
          <w:iCs w:val="1"/>
          <w:color w:val="auto"/>
        </w:rPr>
        <w:t>Capital Account</w:t>
      </w:r>
      <w:r>
        <w:rPr>
          <w:rFonts w:ascii="Arial" w:cs="Arial" w:eastAsia="Arial" w:hAnsi="Arial"/>
          <w:sz w:val="17"/>
          <w:szCs w:val="17"/>
          <w:color w:val="auto"/>
        </w:rPr>
        <w:t xml:space="preserve">”) shall be established and maintained for each Member in accordance with the provisions of Treasury Regulations Section 1.704-1(b)(2)(iv) and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The Company may adjust the Capital Accounts of its Members to reflect revaluations of the property of any Subsidiary of the Company that is treated as a partnership (or entity disregarded from a partnership) for U.S. federal income tax purposes. The Capital Account of each Member shall be credited with such Member’s Capital Contributions, if any, all Profits allocated to such Member pursuant to </w:t>
      </w:r>
      <w:r>
        <w:rPr>
          <w:rFonts w:ascii="Arial" w:cs="Arial" w:eastAsia="Arial" w:hAnsi="Arial"/>
          <w:sz w:val="17"/>
          <w:szCs w:val="17"/>
          <w:u w:val="single" w:color="auto"/>
          <w:color w:val="auto"/>
        </w:rPr>
        <w:t>Section 5.04</w:t>
      </w:r>
      <w:r>
        <w:rPr>
          <w:rFonts w:ascii="Arial" w:cs="Arial" w:eastAsia="Arial" w:hAnsi="Arial"/>
          <w:sz w:val="17"/>
          <w:szCs w:val="17"/>
          <w:color w:val="auto"/>
        </w:rPr>
        <w:t xml:space="preserve"> and any items of income or gain which are specially allocated pursuant to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and shall be debited with all Losses allocated to such Member pursuant to </w:t>
      </w:r>
      <w:r>
        <w:rPr>
          <w:rFonts w:ascii="Arial" w:cs="Arial" w:eastAsia="Arial" w:hAnsi="Arial"/>
          <w:sz w:val="17"/>
          <w:szCs w:val="17"/>
          <w:u w:val="single" w:color="auto"/>
          <w:color w:val="auto"/>
        </w:rPr>
        <w:t>Section 5.04</w:t>
      </w:r>
      <w:r>
        <w:rPr>
          <w:rFonts w:ascii="Arial" w:cs="Arial" w:eastAsia="Arial" w:hAnsi="Arial"/>
          <w:sz w:val="17"/>
          <w:szCs w:val="17"/>
          <w:color w:val="auto"/>
        </w:rPr>
        <w:t xml:space="preserve">, any items of loss or deduction of the Company specially allocated to such Member pursuant to </w:t>
      </w:r>
      <w:r>
        <w:rPr>
          <w:rFonts w:ascii="Arial" w:cs="Arial" w:eastAsia="Arial" w:hAnsi="Arial"/>
          <w:sz w:val="17"/>
          <w:szCs w:val="17"/>
          <w:u w:val="single" w:color="auto"/>
          <w:color w:val="auto"/>
        </w:rPr>
        <w:t>Section 5.05</w:t>
      </w:r>
      <w:r>
        <w:rPr>
          <w:rFonts w:ascii="Arial" w:cs="Arial" w:eastAsia="Arial" w:hAnsi="Arial"/>
          <w:sz w:val="17"/>
          <w:szCs w:val="17"/>
          <w:color w:val="auto"/>
        </w:rPr>
        <w:t>, and all cash and the Carrying Value of any property (net of liabilities assumed by such Member and the liabilities to which such property is subject) distributed by the Company to such Member. Any references in any section of this Agreement to the Capital Account of a Member shall be deemed to refer to such Capital Account as the same may be credited or debited from time to time as set forth above. In the event of any transfer of any interest in the Company in accordance with the terms of this Agreement, the Transferee shall succeed to the Capital Account of the transferor to the extent it relates to the transferred interest.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48"/>
        <w:spacing w:after="0" w:line="271" w:lineRule="auto"/>
        <w:rPr>
          <w:sz w:val="20"/>
          <w:szCs w:val="20"/>
          <w:color w:val="auto"/>
        </w:rPr>
      </w:pPr>
      <w:r>
        <w:rPr>
          <w:rFonts w:ascii="Arial" w:cs="Arial" w:eastAsia="Arial" w:hAnsi="Arial"/>
          <w:sz w:val="17"/>
          <w:szCs w:val="17"/>
          <w:color w:val="auto"/>
        </w:rPr>
        <w:t xml:space="preserve">5.04 </w:t>
      </w:r>
      <w:r>
        <w:rPr>
          <w:rFonts w:ascii="Arial" w:cs="Arial" w:eastAsia="Arial" w:hAnsi="Arial"/>
          <w:sz w:val="17"/>
          <w:szCs w:val="17"/>
          <w:b w:val="1"/>
          <w:bCs w:val="1"/>
          <w:color w:val="auto"/>
        </w:rPr>
        <w:t>Allocations of Profits and Losses.</w:t>
      </w:r>
      <w:r>
        <w:rPr>
          <w:rFonts w:ascii="Arial" w:cs="Arial" w:eastAsia="Arial" w:hAnsi="Arial"/>
          <w:sz w:val="17"/>
          <w:szCs w:val="17"/>
          <w:color w:val="auto"/>
        </w:rPr>
        <w:t xml:space="preserve"> Except as otherwise provided in this Agreement, Profits and Losses (and, to the extent necessary, individual items of income, gain or loss or deduction of the Company) shall be allocated in a manner such that the Capital Account of each Member after giving effect to the special allocations set forth in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is, as nearly as possible, equal (proportionately) to (i) the distributions that would be made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if the Company were dissolved, its affairs wound up and its assets sold for cash equal to their Carrying Value, all Company liabilities were satisfied in cash in accordance with their terms (limited with respect to each nonrecourse liability to the Carrying Value of the assets securing such liability) and all remaining or resulting cash was distributed to the Members in accordance with </w:t>
      </w:r>
      <w:r>
        <w:rPr>
          <w:rFonts w:ascii="Arial" w:cs="Arial" w:eastAsia="Arial" w:hAnsi="Arial"/>
          <w:sz w:val="17"/>
          <w:szCs w:val="17"/>
          <w:u w:val="single" w:color="auto"/>
          <w:color w:val="auto"/>
        </w:rPr>
        <w:t>Section 9.03</w:t>
      </w:r>
      <w:r>
        <w:rPr>
          <w:rFonts w:ascii="Arial" w:cs="Arial" w:eastAsia="Arial" w:hAnsi="Arial"/>
          <w:sz w:val="17"/>
          <w:szCs w:val="17"/>
          <w:color w:val="auto"/>
        </w:rPr>
        <w:t>, minus (ii) such Member’s share of Company Minimum Gain and Member Nonrecourse Debt Minimum Gain, computed immediately prior to the hypothetical sale of assets. Notwithstanding the foregoing, the Managing Member shall make such adjustments to Capital Accounts as it determines in its reasonable discretion to be appropriate to ensure allocations are made in accordance with a Member’s interest in the Company.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b w:val="1"/>
          <w:bCs w:val="1"/>
          <w:color w:val="auto"/>
        </w:rPr>
        <w:t>Special Allocations.</w:t>
      </w:r>
      <w:r>
        <w:rPr>
          <w:rFonts w:ascii="Arial" w:cs="Arial" w:eastAsia="Arial" w:hAnsi="Arial"/>
          <w:sz w:val="18"/>
          <w:szCs w:val="18"/>
          <w:color w:val="auto"/>
        </w:rPr>
        <w:t xml:space="preserve"> Notwithstanding any other provision in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jc w:val="both"/>
        <w:ind w:firstLine="980"/>
        <w:spacing w:after="0" w:line="273" w:lineRule="auto"/>
        <w:tabs>
          <w:tab w:leader="none" w:pos="1243" w:val="left"/>
        </w:tabs>
        <w:numPr>
          <w:ilvl w:val="0"/>
          <w:numId w:val="158"/>
        </w:numPr>
        <w:rPr>
          <w:rFonts w:ascii="Arial" w:cs="Arial" w:eastAsia="Arial" w:hAnsi="Arial"/>
          <w:sz w:val="17"/>
          <w:szCs w:val="17"/>
          <w:color w:val="auto"/>
        </w:rPr>
      </w:pPr>
      <w:r>
        <w:rPr>
          <w:rFonts w:ascii="Arial" w:cs="Arial" w:eastAsia="Arial" w:hAnsi="Arial"/>
          <w:sz w:val="17"/>
          <w:szCs w:val="17"/>
          <w:b w:val="1"/>
          <w:bCs w:val="1"/>
          <w:color w:val="auto"/>
        </w:rPr>
        <w:t xml:space="preserve">Minimum Gain Chargeback. </w:t>
      </w:r>
      <w:r>
        <w:rPr>
          <w:rFonts w:ascii="Arial" w:cs="Arial" w:eastAsia="Arial" w:hAnsi="Arial"/>
          <w:sz w:val="17"/>
          <w:szCs w:val="17"/>
          <w:color w:val="auto"/>
        </w:rPr>
        <w:t>If there is a net decrease in Company Minimum Gain or Member Nonrecourse Debt Minimum Gain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(determined in accordance with the principles of Treasury Regulations Sections 1.704-2(d) and 1.704-2(i)) during any Company taxable year, the Members shall be specially allocated items of Company income and gain for such year (and, if necessary, subsequent years) in an amount equal to their respective shares of such net decrease during such year, determined pursuant to Treasury Regulations Section 1.704-2(i) (4). The items to be so allocated shall be determined in accordance with Treasury Regulations Sections 1.704-2(i)(4) and 1.704-2(j)(2). This </w:t>
      </w:r>
      <w:r>
        <w:rPr>
          <w:rFonts w:ascii="Arial" w:cs="Arial" w:eastAsia="Arial" w:hAnsi="Arial"/>
          <w:sz w:val="17"/>
          <w:szCs w:val="17"/>
          <w:u w:val="single" w:color="auto"/>
          <w:color w:val="auto"/>
        </w:rPr>
        <w:t>Section 5.05(a)</w:t>
      </w:r>
      <w:r>
        <w:rPr>
          <w:rFonts w:ascii="Arial" w:cs="Arial" w:eastAsia="Arial" w:hAnsi="Arial"/>
          <w:sz w:val="17"/>
          <w:szCs w:val="17"/>
          <w:color w:val="auto"/>
        </w:rPr>
        <w:t xml:space="preserve">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71" w:lineRule="exact"/>
        <w:rPr>
          <w:rFonts w:ascii="Arial" w:cs="Arial" w:eastAsia="Arial" w:hAnsi="Arial"/>
          <w:sz w:val="17"/>
          <w:szCs w:val="17"/>
          <w:color w:val="auto"/>
        </w:rPr>
      </w:pPr>
    </w:p>
    <w:p>
      <w:pPr>
        <w:jc w:val="both"/>
        <w:ind w:firstLine="980"/>
        <w:spacing w:after="0" w:line="255" w:lineRule="auto"/>
        <w:tabs>
          <w:tab w:leader="none" w:pos="125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Qualified Income Offset. </w:t>
      </w:r>
      <w:r>
        <w:rPr>
          <w:rFonts w:ascii="Arial" w:cs="Arial" w:eastAsia="Arial" w:hAnsi="Arial"/>
          <w:sz w:val="18"/>
          <w:szCs w:val="18"/>
          <w:color w:val="auto"/>
        </w:rPr>
        <w:t>If any Member unexpectedly receives any adjustments, allocations, or distributions described in Treasury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Regulations Section 1.704- 1(b)(2)(ii)(d)(4), (5) or (6), items of Company income and gain shall be specially allocated to such Member in an amount and manner sufficient to eliminate the deficit balance in such Member’s Adjusted Capital Account Balance created by such adjustments, allocations or distributions as promptly as possible;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allocation pursuant to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shall be made only to the extent that a Member would have a deficit Adjusted Capital Account Balance in excess of such sum after all other allocations provided for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have been tentatively made as if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were not in this Agreement.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is intended to comply with the “qualified income offset” requirement of the Code and shall be interpreted consistently therewith.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980"/>
        <w:spacing w:after="0" w:line="294" w:lineRule="auto"/>
        <w:tabs>
          <w:tab w:leader="none" w:pos="1216"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 xml:space="preserve">Gross Income Allocation. </w:t>
      </w:r>
      <w:r>
        <w:rPr>
          <w:rFonts w:ascii="Arial" w:cs="Arial" w:eastAsia="Arial" w:hAnsi="Arial"/>
          <w:sz w:val="16"/>
          <w:szCs w:val="16"/>
          <w:color w:val="auto"/>
        </w:rPr>
        <w:t>If any Member has a deficit Capital Account at the end of any Fiscal Year which is in excess of the sum of (i)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amount such Member is obligated to restore, if any, pursuant to any provision of this Agreement, and (ii) the amount such Member is deemed to be obligated to restore pursuant to the penultimate sentences of Treasury Regulations Sections 1.704-2(g)(1) and 1.704-2(i)(5), each such Member shall be specially allocated items of Company income and gain in the amount of such excess as quickly as possible;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allocation pursuant to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shall be made only if and to the extent that a Member would have a deficit Capital Account in excess of such sum after all other allocations provided for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have been tentatively made as if </w:t>
      </w:r>
      <w:r>
        <w:rPr>
          <w:rFonts w:ascii="Arial" w:cs="Arial" w:eastAsia="Arial" w:hAnsi="Arial"/>
          <w:sz w:val="16"/>
          <w:szCs w:val="16"/>
          <w:u w:val="single" w:color="auto"/>
          <w:color w:val="auto"/>
        </w:rPr>
        <w:t>Section 5.05(b)</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were not in this Agreement.</w:t>
      </w:r>
    </w:p>
    <w:p>
      <w:pPr>
        <w:spacing w:after="0" w:line="159" w:lineRule="exact"/>
        <w:rPr>
          <w:rFonts w:ascii="Arial" w:cs="Arial" w:eastAsia="Arial" w:hAnsi="Arial"/>
          <w:sz w:val="16"/>
          <w:szCs w:val="16"/>
          <w:color w:val="auto"/>
        </w:rPr>
      </w:pPr>
    </w:p>
    <w:p>
      <w:pPr>
        <w:ind w:right="20" w:firstLine="980"/>
        <w:spacing w:after="0" w:line="282" w:lineRule="auto"/>
        <w:tabs>
          <w:tab w:leader="none" w:pos="1254"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Nonrecourse Deductions. </w:t>
      </w:r>
      <w:r>
        <w:rPr>
          <w:rFonts w:ascii="Arial" w:cs="Arial" w:eastAsia="Arial" w:hAnsi="Arial"/>
          <w:sz w:val="18"/>
          <w:szCs w:val="18"/>
          <w:color w:val="auto"/>
        </w:rPr>
        <w:t>Nonrecourse Deductions shall be allocated to the Members holding Class A Units and Class B Units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their respective Class A/B Percentage Interest.</w:t>
      </w:r>
    </w:p>
    <w:p>
      <w:pPr>
        <w:spacing w:after="0" w:line="161" w:lineRule="exact"/>
        <w:rPr>
          <w:rFonts w:ascii="Arial" w:cs="Arial" w:eastAsia="Arial" w:hAnsi="Arial"/>
          <w:sz w:val="18"/>
          <w:szCs w:val="18"/>
          <w:color w:val="auto"/>
        </w:rPr>
      </w:pPr>
    </w:p>
    <w:p>
      <w:pPr>
        <w:jc w:val="both"/>
        <w:ind w:firstLine="980"/>
        <w:spacing w:after="0" w:line="266" w:lineRule="auto"/>
        <w:tabs>
          <w:tab w:leader="none" w:pos="1216"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Member Nonrecourse Deductions. </w:t>
      </w:r>
      <w:r>
        <w:rPr>
          <w:rFonts w:ascii="Arial" w:cs="Arial" w:eastAsia="Arial" w:hAnsi="Arial"/>
          <w:sz w:val="18"/>
          <w:szCs w:val="18"/>
          <w:color w:val="auto"/>
        </w:rPr>
        <w:t>Member Nonrecourse Deductions for any taxable period shall be allocated to the Member who bears</w:t>
      </w:r>
      <w:r>
        <w:rPr>
          <w:rFonts w:ascii="Arial" w:cs="Arial" w:eastAsia="Arial" w:hAnsi="Arial"/>
          <w:sz w:val="18"/>
          <w:szCs w:val="18"/>
          <w:b w:val="1"/>
          <w:bCs w:val="1"/>
          <w:color w:val="auto"/>
        </w:rPr>
        <w:t xml:space="preserve"> </w:t>
      </w:r>
      <w:r>
        <w:rPr>
          <w:rFonts w:ascii="Arial" w:cs="Arial" w:eastAsia="Arial" w:hAnsi="Arial"/>
          <w:sz w:val="18"/>
          <w:szCs w:val="18"/>
          <w:color w:val="auto"/>
        </w:rPr>
        <w:t>the economic risk of loss with respect to the liability to which such Member Nonrecourse Deductions are attributable in accordance with Treasury Regulations Section 1.704-2(i)(1).</w:t>
      </w:r>
    </w:p>
    <w:p>
      <w:pPr>
        <w:spacing w:after="0" w:line="175" w:lineRule="exact"/>
        <w:rPr>
          <w:rFonts w:ascii="Arial" w:cs="Arial" w:eastAsia="Arial" w:hAnsi="Arial"/>
          <w:sz w:val="18"/>
          <w:szCs w:val="18"/>
          <w:color w:val="auto"/>
        </w:rPr>
      </w:pPr>
    </w:p>
    <w:p>
      <w:pPr>
        <w:jc w:val="both"/>
        <w:ind w:firstLine="980"/>
        <w:spacing w:after="0" w:line="255" w:lineRule="auto"/>
        <w:tabs>
          <w:tab w:leader="none" w:pos="121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Section 754 Adjustments. </w:t>
      </w:r>
      <w:r>
        <w:rPr>
          <w:rFonts w:ascii="Arial" w:cs="Arial" w:eastAsia="Arial" w:hAnsi="Arial"/>
          <w:sz w:val="18"/>
          <w:szCs w:val="18"/>
          <w:color w:val="auto"/>
        </w:rPr>
        <w:t>To the extent an adjustment to the adjusted tax basis of any Company asset, pursuant to Section 734(b)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743(b) of the Code is required, pursuant to Treasury Regulations Section 1.704-1(b)(2)(iv)(m)(2) or Section 1.704- 1(b)(2)(iv)(m)(4),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 Section 1.704- 1(b)(2)(iv)(m)(4) applies.</w:t>
      </w:r>
    </w:p>
    <w:p>
      <w:pPr>
        <w:spacing w:after="0" w:line="188" w:lineRule="exact"/>
        <w:rPr>
          <w:rFonts w:ascii="Arial" w:cs="Arial" w:eastAsia="Arial" w:hAnsi="Arial"/>
          <w:sz w:val="18"/>
          <w:szCs w:val="18"/>
          <w:color w:val="auto"/>
        </w:rPr>
      </w:pPr>
    </w:p>
    <w:p>
      <w:pPr>
        <w:jc w:val="both"/>
        <w:ind w:firstLine="980"/>
        <w:spacing w:after="0" w:line="261" w:lineRule="auto"/>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Ameliorative Allocations. </w:t>
      </w:r>
      <w:r>
        <w:rPr>
          <w:rFonts w:ascii="Arial" w:cs="Arial" w:eastAsia="Arial" w:hAnsi="Arial"/>
          <w:sz w:val="18"/>
          <w:szCs w:val="18"/>
          <w:color w:val="auto"/>
        </w:rPr>
        <w:t>Any special allocations of income or gain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5.05(a)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b w:val="1"/>
          <w:bCs w:val="1"/>
          <w:color w:val="auto"/>
        </w:rPr>
        <w:t xml:space="preserve"> </w:t>
      </w:r>
      <w:r>
        <w:rPr>
          <w:rFonts w:ascii="Arial" w:cs="Arial" w:eastAsia="Arial" w:hAnsi="Arial"/>
          <w:sz w:val="18"/>
          <w:szCs w:val="18"/>
          <w:color w:val="auto"/>
        </w:rPr>
        <w:t>hereof shall be taken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account in computing subsequent allocations pursuant to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5.05(g)</w:t>
      </w:r>
      <w:r>
        <w:rPr>
          <w:rFonts w:ascii="Arial" w:cs="Arial" w:eastAsia="Arial" w:hAnsi="Arial"/>
          <w:sz w:val="18"/>
          <w:szCs w:val="18"/>
          <w:color w:val="auto"/>
        </w:rPr>
        <w:t xml:space="preserve">, so that the net amount of any items so allocated and all other items allocated to each Member shall, to the extent possible, be equal to the net amount that would have been allocated to each Member if such allocations pursuant to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had not occurred.</w:t>
      </w:r>
    </w:p>
    <w:p>
      <w:pPr>
        <w:spacing w:after="0" w:line="179" w:lineRule="exact"/>
        <w:rPr>
          <w:rFonts w:ascii="Arial" w:cs="Arial" w:eastAsia="Arial" w:hAnsi="Arial"/>
          <w:sz w:val="18"/>
          <w:szCs w:val="18"/>
          <w:color w:val="auto"/>
        </w:rPr>
      </w:pPr>
    </w:p>
    <w:p>
      <w:pPr>
        <w:jc w:val="both"/>
        <w:ind w:firstLine="980"/>
        <w:spacing w:after="0" w:line="261" w:lineRule="auto"/>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Allocations Relating to Taxable Issuance of Units. </w:t>
      </w:r>
      <w:r>
        <w:rPr>
          <w:rFonts w:ascii="Arial" w:cs="Arial" w:eastAsia="Arial" w:hAnsi="Arial"/>
          <w:sz w:val="18"/>
          <w:szCs w:val="18"/>
          <w:color w:val="auto"/>
        </w:rPr>
        <w:t>Any income, gain, loss, or deduction realized as a direct or indirect result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Units by the Company to a Member (the “</w:t>
      </w:r>
      <w:r>
        <w:rPr>
          <w:rFonts w:ascii="Arial" w:cs="Arial" w:eastAsia="Arial" w:hAnsi="Arial"/>
          <w:sz w:val="18"/>
          <w:szCs w:val="18"/>
          <w:b w:val="1"/>
          <w:bCs w:val="1"/>
          <w:i w:val="1"/>
          <w:iCs w:val="1"/>
          <w:color w:val="auto"/>
        </w:rPr>
        <w:t>Issuance Items</w:t>
      </w:r>
      <w:r>
        <w:rPr>
          <w:rFonts w:ascii="Arial" w:cs="Arial" w:eastAsia="Arial" w:hAnsi="Arial"/>
          <w:sz w:val="18"/>
          <w:szCs w:val="18"/>
          <w:color w:val="auto"/>
        </w:rPr>
        <w:t>”) shall be allocated among the Members so that, to the extent possible, the net amount of such Issuance Items, together with all other allocations under this Agreement to each Member shall be equal to the net amount that would have been allocated to each such Member if the Issuance Items had not been realized.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980"/>
        <w:spacing w:after="0" w:line="269" w:lineRule="auto"/>
        <w:tabs>
          <w:tab w:leader="none" w:pos="120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Allocations Relating to Earnout Units. </w:t>
      </w:r>
      <w:r>
        <w:rPr>
          <w:rFonts w:ascii="Arial" w:cs="Arial" w:eastAsia="Arial" w:hAnsi="Arial"/>
          <w:sz w:val="17"/>
          <w:szCs w:val="17"/>
          <w:color w:val="auto"/>
        </w:rPr>
        <w:t>Notwithstanding anything to the contrary contained in this Agreement, (1) no allocation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Profits or Losses or otherwise) shall be made in respect of any Earnout Units in determining Capital Accounts unless and until such Earnout Units undergo a Conversion into Class B Units and (2) in the event the Carrying Value of any Company asset is adjusted pursuant to clause (f) of the definition of Carrying Value, any Profits or Losses resulting from such adjustment shall, in accordance with principles similar to those set forth in Treasury Regulations Section 1.704-1(b)(2)(iv)(s) or in any other manner reasonably determined by the Managing Member, be allocated among the Members (including the Members who held the Earnout Units giving rise to such adjustment) such that the Capital Account balance relating to each Class B Unit (including any Earnout Units that have undergone a Conversion into Class B Units) is equal in amount (or as close to equal in amount as possible) immediately after making such allocation; provided, that if the foregoing allocations pursuant to clause (2) are insufficient to cause the Capital Account balance relating to each Class B Unit to be so equal in amount, then the Managing Member, in its reasonable discretion, shall cause a Capital Account reallocation in accordance with principles similar to those set forth in Treasury Regulations Section 1.704-1(b)(2)(iv)(s)(3) to cause the Capital Account balance relating to each Class B Unit to be so equal in amount.</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5.06 </w:t>
      </w:r>
      <w:r>
        <w:rPr>
          <w:rFonts w:ascii="Arial" w:cs="Arial" w:eastAsia="Arial" w:hAnsi="Arial"/>
          <w:sz w:val="17"/>
          <w:szCs w:val="17"/>
          <w:b w:val="1"/>
          <w:bCs w:val="1"/>
          <w:color w:val="auto"/>
        </w:rPr>
        <w:t>Tax Allocations.</w:t>
      </w:r>
      <w:r>
        <w:rPr>
          <w:rFonts w:ascii="Arial" w:cs="Arial" w:eastAsia="Arial" w:hAnsi="Arial"/>
          <w:sz w:val="17"/>
          <w:szCs w:val="17"/>
          <w:color w:val="auto"/>
        </w:rPr>
        <w:t xml:space="preserve"> For income tax purposes, each item of income, gain, loss and deduction of the Company shall be allocated among the Members in the same manner as the corresponding items of Profits and Losses and specially allocated items are allocated for Capital Account purposes;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any asset the Carrying Value of which differs from its adjusted tax basis for U.S. federal income tax purposes, income, gain,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loss and deduction with respect to such asset shall be allocated solely for income tax purposes in accordance with the principles of Sections 704(b) and (c) of the Code (in any manner determined by the Managing Member and permitted by the Code and Treasury Regulations;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prior written consent of Original Member Representative (and its successors or assigns) shall be required for use of any method other than the traditional method (without curative allocations) described in Treasury Regulations Section 1.704-3(b)) so as to take account of the difference between Carrying Value and adjusted basis of such asset. Notwithstanding the foregoing, the Managing Member shall make such allocations for tax purposes as it determines in its reasonable discretion to be appropriate to ensure allocations are made in accordance with a Member’s interest in the Company. If, as a result of an exercise of a noncompensatory option to acquire an interest in the Company, a Capital Account reallocation is required under Treasury Regulations Section 1.704-1(b)(2)(iv)(s)(3), the Company shall make corrective allocations pursuant to Treasury Regulations Section 1.704-1(b)(4)(x). If, pursuant to Section 5.05(i), the Managing Member causes a Capital Account reallocation in accordance with principles similar to those set forth in Treasury Regulations Section 1.704-1(b)(2)(iv)(s)(3), the Managing Member shall make corrective allocations in accordance with principles similar to those set forth in Treasury Regulations Section 1.704-1(b)(4)(x).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648"/>
        <w:spacing w:after="0" w:line="284" w:lineRule="auto"/>
        <w:rPr>
          <w:sz w:val="20"/>
          <w:szCs w:val="20"/>
          <w:color w:val="auto"/>
        </w:rPr>
      </w:pPr>
      <w:r>
        <w:rPr>
          <w:rFonts w:ascii="Arial" w:cs="Arial" w:eastAsia="Arial" w:hAnsi="Arial"/>
          <w:sz w:val="16"/>
          <w:szCs w:val="16"/>
          <w:color w:val="auto"/>
        </w:rPr>
        <w:t xml:space="preserve">5.07 </w:t>
      </w:r>
      <w:r>
        <w:rPr>
          <w:rFonts w:ascii="Arial" w:cs="Arial" w:eastAsia="Arial" w:hAnsi="Arial"/>
          <w:sz w:val="16"/>
          <w:szCs w:val="16"/>
          <w:b w:val="1"/>
          <w:bCs w:val="1"/>
          <w:color w:val="auto"/>
        </w:rPr>
        <w:t>Tax Advances.</w:t>
      </w:r>
      <w:r>
        <w:rPr>
          <w:rFonts w:ascii="Arial" w:cs="Arial" w:eastAsia="Arial" w:hAnsi="Arial"/>
          <w:sz w:val="16"/>
          <w:szCs w:val="16"/>
          <w:color w:val="auto"/>
        </w:rPr>
        <w:t xml:space="preserve"> If the Company or any other Person in which the Company holds an interest is required by Law to withhold or to make tax payments on behalf of or with respect to any Member, or the Company is subjected to tax itself (including any amounts withheld from amounts directly or indirectly payable to the Company or to any other Person in which the Company holds an interest) by reason of the status of any Member as such or that is specifically attributable to a Member (including federal, state, local or foreign withholding, personal property, unincorporated business or other taxes, the amount of any taxes arising under the Revised Partnership Audit Provisions, the amount of any taxes imposed under Section 1446(f) of the Code, and any interest, penalties, additions to tax, and expenses related to any such amounts) (“</w:t>
      </w:r>
      <w:r>
        <w:rPr>
          <w:rFonts w:ascii="Arial" w:cs="Arial" w:eastAsia="Arial" w:hAnsi="Arial"/>
          <w:sz w:val="16"/>
          <w:szCs w:val="16"/>
          <w:b w:val="1"/>
          <w:bCs w:val="1"/>
          <w:i w:val="1"/>
          <w:iCs w:val="1"/>
          <w:color w:val="auto"/>
        </w:rPr>
        <w:t>Tax Advances</w:t>
      </w:r>
      <w:r>
        <w:rPr>
          <w:rFonts w:ascii="Arial" w:cs="Arial" w:eastAsia="Arial" w:hAnsi="Arial"/>
          <w:sz w:val="16"/>
          <w:szCs w:val="16"/>
          <w:color w:val="auto"/>
        </w:rPr>
        <w:t xml:space="preserve">”), the Managing Member may cause the Company to withhold such amounts and cause the Company to make such tax payments as so required. All Tax Advances made on behalf of a Member shall be repaid by reducing the amount of the current or next succeeding distribution or distributions which would otherwise have been made to such Member or, if such distributions are not sufficient for that purpose, by so reducing the proceeds of liquidation otherwise payable to such Member. For all purposes of this Agreement such Member shall be treated as having received the amount of the distribution that is equal to the Tax Advance. Each Member hereby agrees to indemnify and hold harmless the Company and the other Members from and against any liability (including, without limitation, any liability for taxes, penalties, additions to tax or interest other than any penalties, additions to tax or interest imposed as a result of the Company’s failure to withhold or make a tax payment on behalf of such Member which withholding or payment is required pursuant to applicable Law) with respect to income attributable to or distributions or other payments to such Member. For the avoidance of doubt, any income taxes, penalties, additions to tax and interest payable by the Company or any fiscally transparent entity in which the Company owns an interest shall be treated as specifically attributable to the Members and shall be allocated among the Members such that the burden of (or any diminution in distributable proceeds resulting from) any such amounts is borne by those Members to whom such amounts are specifically attributable (whether as a result of their status, actions, inactions or otherwise, including pursuant to an allocation made under </w:t>
      </w:r>
      <w:r>
        <w:rPr>
          <w:rFonts w:ascii="Arial" w:cs="Arial" w:eastAsia="Arial" w:hAnsi="Arial"/>
          <w:sz w:val="16"/>
          <w:szCs w:val="16"/>
          <w:u w:val="single" w:color="auto"/>
          <w:color w:val="auto"/>
        </w:rPr>
        <w:t>Section 5.08</w:t>
      </w:r>
      <w:r>
        <w:rPr>
          <w:rFonts w:ascii="Arial" w:cs="Arial" w:eastAsia="Arial" w:hAnsi="Arial"/>
          <w:sz w:val="16"/>
          <w:szCs w:val="16"/>
          <w:color w:val="auto"/>
        </w:rPr>
        <w:t>), in each case, as reasonably determined by the Managing Member. For the avoidance of doubt, any taxes, penalties, and interest payable under the Revised Partnership Audit Provisions by the Company or any fiscally transparent entity in which the Company owns an interest shall be treated as specifically attributable to the Members of the Company, and the Managing Member shall use commercially reasonable efforts to allocate the burden of (or any diminution in distributable proceeds resulting from) any such taxes, penalties or interest to those Members to whom such amounts are specifically attributable (whether as a result of their status, actions, inactions or otherwise), as reasonably determined by the Managing Member.</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b w:val="1"/>
          <w:bCs w:val="1"/>
          <w:color w:val="auto"/>
        </w:rPr>
        <w:t>Partnership Representative.</w:t>
      </w:r>
    </w:p>
    <w:p>
      <w:pPr>
        <w:spacing w:after="0" w:line="229" w:lineRule="exact"/>
        <w:rPr>
          <w:sz w:val="20"/>
          <w:szCs w:val="20"/>
          <w:color w:val="auto"/>
        </w:rPr>
      </w:pPr>
    </w:p>
    <w:p>
      <w:pPr>
        <w:jc w:val="both"/>
        <w:ind w:firstLine="980"/>
        <w:spacing w:after="0" w:line="287" w:lineRule="auto"/>
        <w:tabs>
          <w:tab w:leader="none" w:pos="122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Original Member Representative is hereby designated as the Company’s “tax matters partner” for U.S. federal income tax purposes under Section 6231(a)(7) of the Code, as in effect for taxable years of the Company beginning on or before December 31, 2017, and as the Company’s “partnership representative” as that term is defined in the Revised Partnership Audit Provisions for taxable years of the Company beginning after December 31, 2017 and ending on or prior to December 31, 2021. The Managing Member is hereby designated as the “partnership representative” as that term is defined in Revised Partnership Audit Provisions for taxable years of the Company beginning on or after January 1, 2022. In addition, the Managing Member is hereby authorized to designate or remove any other Person selected by the Managing Member as the Partnership Representative. For each Fiscal Year in which the Partnership Representative is an entity, the Company shall appoint an individual identified by the Partnership Representative for such Fiscal Year to act on its behalf (the “</w:t>
      </w:r>
      <w:r>
        <w:rPr>
          <w:rFonts w:ascii="Arial" w:cs="Arial" w:eastAsia="Arial" w:hAnsi="Arial"/>
          <w:sz w:val="16"/>
          <w:szCs w:val="16"/>
          <w:b w:val="1"/>
          <w:bCs w:val="1"/>
          <w:i w:val="1"/>
          <w:iCs w:val="1"/>
          <w:color w:val="auto"/>
        </w:rPr>
        <w:t>Designated Individual</w:t>
      </w:r>
      <w:r>
        <w:rPr>
          <w:rFonts w:ascii="Arial" w:cs="Arial" w:eastAsia="Arial" w:hAnsi="Arial"/>
          <w:sz w:val="16"/>
          <w:szCs w:val="16"/>
          <w:color w:val="auto"/>
        </w:rPr>
        <w:t>”) in accordance with the applicable Treasury Regulations or analogous provisions of state or local Law. Each Member hereby expressly consents to such designations and agrees to take, and that each of the Company and the Managing Member is authorized to take (or cause the Company to take), such other actions as may be necessary or advisable pursuant to Treasury Regulations or other Internal Revenue Service or Treasury guidance or state or local Law to cause such designations or evidence such Member’s consent to such designations.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980"/>
        <w:spacing w:after="0" w:line="253" w:lineRule="auto"/>
        <w:tabs>
          <w:tab w:leader="none" w:pos="123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u w:val="single" w:color="auto"/>
          <w:color w:val="auto"/>
        </w:rPr>
        <w:t>Section 5.08</w:t>
      </w:r>
      <w:r>
        <w:rPr>
          <w:rFonts w:ascii="Arial" w:cs="Arial" w:eastAsia="Arial" w:hAnsi="Arial"/>
          <w:sz w:val="18"/>
          <w:szCs w:val="18"/>
          <w:color w:val="auto"/>
        </w:rPr>
        <w:t>, the Partnership Representative shall have the sole authority to act on behalf of the Company in connection with, make all relevant decisions regarding application of, and to exercise the rights and powers provided for in the Revised Partnership Audit Provisions, including making any elections under the Revised Partnership Audit Provisions or any decisions to settle, compromise, challenge, litigate or otherwise alter the defense of any action, audit or examination before the IRS or any other income tax authority (each, an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and to expend Company funds for professional services and other expenses reasonably incurred in connection therewith. Notwithstanding the foregoing or anything to the contrary in this Agreement, with respect to any “imputed underpayment” arising in connection with any Audit relating to any taxable year for which the Original Member Representative is the Partnership Representative, at the election of the Managing Member (in its reasonable discretion), the Original Member Representative shall be required to make (or cause to be made) an election under Section 6226(a) of the Code (or any analogous provision of state or local Law).</w:t>
      </w:r>
    </w:p>
    <w:p>
      <w:pPr>
        <w:spacing w:after="0" w:line="196" w:lineRule="exact"/>
        <w:rPr>
          <w:rFonts w:ascii="Arial" w:cs="Arial" w:eastAsia="Arial" w:hAnsi="Arial"/>
          <w:sz w:val="18"/>
          <w:szCs w:val="18"/>
          <w:color w:val="auto"/>
        </w:rPr>
      </w:pPr>
    </w:p>
    <w:p>
      <w:pPr>
        <w:jc w:val="both"/>
        <w:ind w:firstLine="980"/>
        <w:spacing w:after="0" w:line="284" w:lineRule="auto"/>
        <w:tabs>
          <w:tab w:leader="none" w:pos="12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Without limiting the foregoing, the Partnership Representative shall give prompt written notice to the Original Member Representative of the commencement of any Audit of the Company or any of its Subsidiaries the resolution of which would reasonably be expected to have a disproportionate (compared to the Managing Member) and material adverse effect on the Original Members. The Partnership Representative shall (i) keep the Original Member Representative reasonably informed of the material developments and status of any such Audit for taxable years beginning on or after January 1, 2022 (a “</w:t>
      </w:r>
      <w:r>
        <w:rPr>
          <w:rFonts w:ascii="Arial" w:cs="Arial" w:eastAsia="Arial" w:hAnsi="Arial"/>
          <w:sz w:val="16"/>
          <w:szCs w:val="16"/>
          <w:b w:val="1"/>
          <w:bCs w:val="1"/>
          <w:i w:val="1"/>
          <w:iCs w:val="1"/>
          <w:color w:val="auto"/>
        </w:rPr>
        <w:t>Specified Audit</w:t>
      </w:r>
      <w:r>
        <w:rPr>
          <w:rFonts w:ascii="Arial" w:cs="Arial" w:eastAsia="Arial" w:hAnsi="Arial"/>
          <w:sz w:val="16"/>
          <w:szCs w:val="16"/>
          <w:color w:val="auto"/>
        </w:rPr>
        <w:t xml:space="preserve">”), (ii) permit the Original Member Representative (or its designee) to participate (including using separate counsel), in each case at the Original Members’ sole cost and expense, in any such Specified Audit to the maximum extent permitted by the applicable tax authority, and (iii) promptly notify the Original Member Representative of receipt of a notice of a final partnership adjustment (or equivalent under applicable Laws) or a final decision of a court or IRS Independent Office of Appeals panel (or equivalent body under applicable Laws) with respect to such Specified Audit. The Partnership Representative or the Company shall promptly provide the Original Member Representative with copies of all material correspondence between the Partnership Representative or the Company (as applicable) and any governmental entity in connection with such Specified Audit and shall give the Original Member Representative a reasonable opportunity to review and comment on any material correspondence, submission (including settlement or compromise offers) or filing in connection with any such Specified Audit. Additionally, without limiting the final sentence of this Section 5.08(c), the Partnership Representative shall not (and the Company shall not (and shall not authorize the Partnership Representative to)) settle, compromise or abandon any Specified Audit in a manner that would reasonably be expected to have a disproportionate (compared to the Managing Member) and material adverse effect on the Original Members without the Original Member Representative’s prior written consent (which consent shall not be unreasonably withheld, delayed or conditioned). Without limiting the final sentence of this </w:t>
      </w:r>
      <w:r>
        <w:rPr>
          <w:rFonts w:ascii="Arial" w:cs="Arial" w:eastAsia="Arial" w:hAnsi="Arial"/>
          <w:sz w:val="16"/>
          <w:szCs w:val="16"/>
          <w:u w:val="single" w:color="auto"/>
          <w:color w:val="auto"/>
        </w:rPr>
        <w:t>Section 5.08(c)</w:t>
      </w:r>
      <w:r>
        <w:rPr>
          <w:rFonts w:ascii="Arial" w:cs="Arial" w:eastAsia="Arial" w:hAnsi="Arial"/>
          <w:sz w:val="16"/>
          <w:szCs w:val="16"/>
          <w:color w:val="auto"/>
        </w:rPr>
        <w:t xml:space="preserve">, the Partnership Representative shall obtain the prior written consent of the Original Member Representative (which consent shall not be unreasonably withheld, delayed or conditioned) before taking any material action under the Revised Partnership Audit Provisions that would reasonably be expected to have a disproportionate (compared to the Managing Member) and material adverse effect on the Original Members. Notwithstanding the foregoing, (i) each of the obligations of the Partnership Representative and the Company, and rights of the Original Member Representative and Original Members, under this </w:t>
      </w:r>
      <w:r>
        <w:rPr>
          <w:rFonts w:ascii="Arial" w:cs="Arial" w:eastAsia="Arial" w:hAnsi="Arial"/>
          <w:sz w:val="16"/>
          <w:szCs w:val="16"/>
          <w:u w:val="single" w:color="auto"/>
          <w:color w:val="auto"/>
        </w:rPr>
        <w:t>Section 5.08(c)</w:t>
      </w:r>
      <w:r>
        <w:rPr>
          <w:rFonts w:ascii="Arial" w:cs="Arial" w:eastAsia="Arial" w:hAnsi="Arial"/>
          <w:sz w:val="16"/>
          <w:szCs w:val="16"/>
          <w:color w:val="auto"/>
        </w:rPr>
        <w:t xml:space="preserve"> shall terminate and have no further force or effect from and after the date that the Original Members no longer own 20% of the combined Class A Units and Class B Units, and (ii) with respect to any “imputed underpayment” arising in connection with any Audit, at the election of the Managing Member (in its reasonable discretion), the Partnership Representative shall be required to make (or cause to be made) an election under Section 6226(a) of the Code (or any analogous provision of state or local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jc w:val="both"/>
        <w:ind w:firstLine="980"/>
        <w:spacing w:after="0" w:line="253" w:lineRule="auto"/>
        <w:tabs>
          <w:tab w:leader="none" w:pos="127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All expenses incurred by the Partnership Representative or Designated Individual in connection with its duties as partnership representative or designated individual, as applicable, shall be expenses of the Company (including, for the avoidance of doubt, any costs and expenses incurred in connection with any claims asserted against the Partnership Representative or Designated Individual, as applicable), and the Company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Company, any Member or any Affiliate thereof for any costs or losses to any Persons, any diminution in value or any liability whatsoever arising as a result of the performance of its duties pursuant to this </w:t>
      </w:r>
      <w:r>
        <w:rPr>
          <w:rFonts w:ascii="Arial" w:cs="Arial" w:eastAsia="Arial" w:hAnsi="Arial"/>
          <w:sz w:val="18"/>
          <w:szCs w:val="18"/>
          <w:u w:val="single" w:color="auto"/>
          <w:color w:val="auto"/>
        </w:rPr>
        <w:t>Section 5.08</w:t>
      </w:r>
      <w:r>
        <w:rPr>
          <w:rFonts w:ascii="Arial" w:cs="Arial" w:eastAsia="Arial" w:hAnsi="Arial"/>
          <w:sz w:val="18"/>
          <w:szCs w:val="18"/>
          <w:color w:val="auto"/>
        </w:rPr>
        <w:t xml:space="preserve"> absent (i) willful breach of any provision of this </w:t>
      </w:r>
      <w:r>
        <w:rPr>
          <w:rFonts w:ascii="Arial" w:cs="Arial" w:eastAsia="Arial" w:hAnsi="Arial"/>
          <w:sz w:val="18"/>
          <w:szCs w:val="18"/>
          <w:u w:val="single" w:color="auto"/>
          <w:color w:val="auto"/>
        </w:rPr>
        <w:t>Section 5.08</w:t>
      </w:r>
      <w:r>
        <w:rPr>
          <w:rFonts w:ascii="Arial" w:cs="Arial" w:eastAsia="Arial" w:hAnsi="Arial"/>
          <w:sz w:val="18"/>
          <w:szCs w:val="18"/>
          <w:color w:val="auto"/>
        </w:rPr>
        <w:t xml:space="preserve"> or (ii) bad faith, fraud, or willful misconduct on the part of the Partnership Representative or Designated Individual, as applicable.</w:t>
      </w:r>
    </w:p>
    <w:p>
      <w:pPr>
        <w:spacing w:after="0" w:line="19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5.09 </w:t>
      </w:r>
      <w:r>
        <w:rPr>
          <w:rFonts w:ascii="Arial" w:cs="Arial" w:eastAsia="Arial" w:hAnsi="Arial"/>
          <w:sz w:val="16"/>
          <w:szCs w:val="16"/>
          <w:b w:val="1"/>
          <w:bCs w:val="1"/>
          <w:color w:val="auto"/>
        </w:rPr>
        <w:t>Other Allocation Provisions.</w:t>
      </w:r>
      <w:r>
        <w:rPr>
          <w:rFonts w:ascii="Arial" w:cs="Arial" w:eastAsia="Arial" w:hAnsi="Arial"/>
          <w:sz w:val="16"/>
          <w:szCs w:val="16"/>
          <w:color w:val="auto"/>
        </w:rPr>
        <w:t xml:space="preserve"> Certain of the foregoing provisions and the other provisions of this Agreement relating to the maintenance of Capital Accounts are intended to comply with Treasury Regulations Section 1.704-1(b) and shall be interpreted and applied in a manner consistent with such regulations. In addition to amendments effected in accordance with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or otherwise in accordance with this Agreement, </w:t>
      </w:r>
      <w:r>
        <w:rPr>
          <w:rFonts w:ascii="Arial" w:cs="Arial" w:eastAsia="Arial" w:hAnsi="Arial"/>
          <w:sz w:val="16"/>
          <w:szCs w:val="16"/>
          <w:u w:val="single" w:color="auto"/>
          <w:color w:val="auto"/>
        </w:rPr>
        <w:t>Sections 5.03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5.04</w:t>
      </w:r>
      <w:r>
        <w:rPr>
          <w:rFonts w:ascii="Arial" w:cs="Arial" w:eastAsia="Arial" w:hAnsi="Arial"/>
          <w:sz w:val="16"/>
          <w:szCs w:val="16"/>
          <w:color w:val="auto"/>
        </w:rPr>
        <w:t xml:space="preserve"> may also, so long as any such amendment does not materially change the relative economic interests of the Members, be amended at any time by the Managing Member if necessary, in the opinion of tax counsel to the Company, to comply with such regulations or any applicable Law.</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5.07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5.08</w:t>
      </w:r>
      <w:r>
        <w:rPr>
          <w:rFonts w:ascii="Arial" w:cs="Arial" w:eastAsia="Arial" w:hAnsi="Arial"/>
          <w:sz w:val="18"/>
          <w:szCs w:val="18"/>
          <w:color w:val="auto"/>
        </w:rPr>
        <w:t xml:space="preserve"> shall be interpreted to apply to Members and former Members and shall survive the Transfer of a Member’s Units and the termination, dissolution, liquidation and winding up of the Company and, for this purpose to the extent not prohibited by applicable Law, the Company shall be treated as continuing in existence.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AND RECORDS; REPORTS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b w:val="1"/>
          <w:bCs w:val="1"/>
          <w:color w:val="auto"/>
        </w:rPr>
        <w:t>Books and Records.</w:t>
      </w:r>
    </w:p>
    <w:p>
      <w:pPr>
        <w:spacing w:after="0" w:line="229" w:lineRule="exact"/>
        <w:rPr>
          <w:sz w:val="20"/>
          <w:szCs w:val="20"/>
          <w:color w:val="auto"/>
        </w:rPr>
      </w:pPr>
    </w:p>
    <w:p>
      <w:pPr>
        <w:ind w:firstLine="980"/>
        <w:spacing w:after="0" w:line="277" w:lineRule="auto"/>
        <w:tabs>
          <w:tab w:leader="none" w:pos="121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At all times during the continuance of the Company, the Company shall prepare and maintain separate books of account for the Company in accordance with GAAP.</w:t>
      </w:r>
    </w:p>
    <w:p>
      <w:pPr>
        <w:spacing w:after="0" w:line="170" w:lineRule="exact"/>
        <w:rPr>
          <w:rFonts w:ascii="Arial" w:cs="Arial" w:eastAsia="Arial" w:hAnsi="Arial"/>
          <w:sz w:val="18"/>
          <w:szCs w:val="18"/>
          <w:color w:val="auto"/>
        </w:rPr>
      </w:pPr>
    </w:p>
    <w:p>
      <w:pPr>
        <w:ind w:firstLine="980"/>
        <w:spacing w:after="0" w:line="342" w:lineRule="auto"/>
        <w:tabs>
          <w:tab w:leader="none" w:pos="124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Except as limited by </w:t>
      </w:r>
      <w:r>
        <w:rPr>
          <w:rFonts w:ascii="Arial" w:cs="Arial" w:eastAsia="Arial" w:hAnsi="Arial"/>
          <w:sz w:val="16"/>
          <w:szCs w:val="16"/>
          <w:u w:val="single" w:color="auto"/>
          <w:color w:val="auto"/>
        </w:rPr>
        <w:t>Section 6.01(c)</w:t>
      </w:r>
      <w:r>
        <w:rPr>
          <w:rFonts w:ascii="Arial" w:cs="Arial" w:eastAsia="Arial" w:hAnsi="Arial"/>
          <w:sz w:val="16"/>
          <w:szCs w:val="16"/>
          <w:color w:val="auto"/>
        </w:rPr>
        <w:t>, each Member shall have the right to receive, for a purpose reasonably related to such Member’s interest as a Member in the Company, upon reasonable written demand stating the purpose of such demand and at such Member’s own expense:</w:t>
      </w:r>
    </w:p>
    <w:p>
      <w:pPr>
        <w:spacing w:after="0" w:line="123" w:lineRule="exact"/>
        <w:rPr>
          <w:rFonts w:ascii="Arial" w:cs="Arial" w:eastAsia="Arial" w:hAnsi="Arial"/>
          <w:sz w:val="16"/>
          <w:szCs w:val="16"/>
          <w:color w:val="auto"/>
        </w:rPr>
      </w:pPr>
    </w:p>
    <w:p>
      <w:pPr>
        <w:ind w:firstLine="1628"/>
        <w:spacing w:after="0" w:line="277" w:lineRule="auto"/>
        <w:tabs>
          <w:tab w:leader="none" w:pos="185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 copy of the Certificate and this Agreement and all amendments thereto, together with a copy of the executed copies of all powers of attorney pursuant to which the Certificate and this Agreement and all amendments thereto have been executed; and</w:t>
      </w:r>
    </w:p>
    <w:p>
      <w:pPr>
        <w:spacing w:after="0" w:line="170" w:lineRule="exact"/>
        <w:rPr>
          <w:rFonts w:ascii="Arial" w:cs="Arial" w:eastAsia="Arial" w:hAnsi="Arial"/>
          <w:sz w:val="18"/>
          <w:szCs w:val="18"/>
          <w:color w:val="auto"/>
        </w:rPr>
      </w:pPr>
    </w:p>
    <w:p>
      <w:pPr>
        <w:ind w:left="1900" w:hanging="272"/>
        <w:spacing w:after="0"/>
        <w:tabs>
          <w:tab w:leader="none" w:pos="19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copies of the Company’s U.S. federal income tax returns for the three most recent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980"/>
        <w:spacing w:after="0" w:line="272" w:lineRule="auto"/>
        <w:tabs>
          <w:tab w:leader="none" w:pos="121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without limitation, information as to the Units held by any other Member. With respect to any schedules, annexes or exhibits to this Agreement, each Member (other than the Managing Member) shall only be entitled to receive and review any such schedules, annexes and exhibits relating to such Member and shall not be entitled to receive or review any schedules, annexes or exhibits relating to any other Member (other than the Managing Member).</w:t>
      </w:r>
    </w:p>
    <w:p>
      <w:pPr>
        <w:spacing w:after="0" w:line="177" w:lineRule="exact"/>
        <w:rPr>
          <w:rFonts w:ascii="Arial" w:cs="Arial" w:eastAsia="Arial" w:hAnsi="Arial"/>
          <w:sz w:val="17"/>
          <w:szCs w:val="17"/>
          <w:color w:val="auto"/>
        </w:rPr>
      </w:pPr>
    </w:p>
    <w:p>
      <w:pPr>
        <w:jc w:val="both"/>
        <w:ind w:firstLine="980"/>
        <w:spacing w:after="0" w:line="269" w:lineRule="auto"/>
        <w:tabs>
          <w:tab w:leader="none" w:pos="122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The Managing Member shall cause to be prepared and filed all necessary federal and state income tax returns for the Company, including making any tax elections. The Company, within 90 days of the close of each Fiscal Year, shall use commercially reasonable efforts to furnish to each Member that was a Member during such Fiscal Year a Schedule K-1 and such other tax information reasonably required for federal, state and local income tax reporting purposes. The Company shall use commercially reasonable efforts to provide to each Person that was a Member during the Fiscal Year (a) by May 15th, August 15th and November 15th of such Fiscal Year, with an estimate of the taxable income, gains, deductions, losses and other items for, respectively, the first, second and third fiscal quarters that such Person will be required to include in its taxable income and (b) by February 15th of such Fiscal Year, with an estimate of the taxable income, gains, deductions, losses and other items of such Person to be reflected on the Schedule K-1 of such Person for the prior Fiscal Year. The Company also shall provide the Members with such other information as may be reasonably requested for purposes of allowing the Members to prepare and file their own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costs or expenses with respect to the foregoing shall be borne by the requesting Member.</w:t>
      </w:r>
    </w:p>
    <w:p>
      <w:pPr>
        <w:spacing w:after="0" w:line="185" w:lineRule="exact"/>
        <w:rPr>
          <w:rFonts w:ascii="Arial" w:cs="Arial" w:eastAsia="Arial" w:hAnsi="Arial"/>
          <w:sz w:val="17"/>
          <w:szCs w:val="17"/>
          <w:color w:val="auto"/>
        </w:rPr>
      </w:pPr>
    </w:p>
    <w:p>
      <w:pPr>
        <w:ind w:firstLine="980"/>
        <w:spacing w:after="0" w:line="277" w:lineRule="auto"/>
        <w:tabs>
          <w:tab w:leader="none" w:pos="12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shall make the following elections on the appropriate tax returns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election described in clause (ii) below cannot be rescinded without the prior written consent of the Original Member Representative):</w:t>
      </w:r>
    </w:p>
    <w:p>
      <w:pPr>
        <w:spacing w:after="0" w:line="170" w:lineRule="exact"/>
        <w:rPr>
          <w:rFonts w:ascii="Arial" w:cs="Arial" w:eastAsia="Arial" w:hAnsi="Arial"/>
          <w:sz w:val="18"/>
          <w:szCs w:val="18"/>
          <w:color w:val="auto"/>
        </w:rPr>
      </w:pPr>
    </w:p>
    <w:p>
      <w:pPr>
        <w:ind w:left="1840" w:hanging="212"/>
        <w:spacing w:after="0"/>
        <w:tabs>
          <w:tab w:leader="none" w:pos="184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to adopt an appropriate federal income tax method of accounting and to keep the Company’s books and records on such income-</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tax method;</w:t>
      </w:r>
    </w:p>
    <w:p>
      <w:pPr>
        <w:spacing w:after="0" w:line="210" w:lineRule="exact"/>
        <w:rPr>
          <w:rFonts w:ascii="Arial" w:cs="Arial" w:eastAsia="Arial" w:hAnsi="Arial"/>
          <w:sz w:val="16"/>
          <w:szCs w:val="16"/>
          <w:color w:val="auto"/>
        </w:rPr>
      </w:pPr>
    </w:p>
    <w:p>
      <w:pPr>
        <w:jc w:val="both"/>
        <w:ind w:left="340" w:firstLine="1288"/>
        <w:spacing w:after="0" w:line="279" w:lineRule="auto"/>
        <w:tabs>
          <w:tab w:leader="none" w:pos="1904" w:val="left"/>
        </w:tabs>
        <w:numPr>
          <w:ilvl w:val="1"/>
          <w:numId w:val="165"/>
        </w:numPr>
        <w:rPr>
          <w:rFonts w:ascii="Arial" w:cs="Arial" w:eastAsia="Arial" w:hAnsi="Arial"/>
          <w:sz w:val="17"/>
          <w:szCs w:val="17"/>
          <w:color w:val="auto"/>
        </w:rPr>
      </w:pPr>
      <w:r>
        <w:rPr>
          <w:rFonts w:ascii="Arial" w:cs="Arial" w:eastAsia="Arial" w:hAnsi="Arial"/>
          <w:sz w:val="17"/>
          <w:szCs w:val="17"/>
          <w:color w:val="auto"/>
        </w:rPr>
        <w:t xml:space="preserve">to have in effect (and, to the extent within the control of the Managing Member, to cause each direct or indirect subsidiary that is treated as a partnership for U.S. federal income tax purposes to have in effect) an election, pursuant to Section 754 of the Code (and any similar election for state or local tax purposes), to adjust the tax basis of Company properties, for the taxable year of the Company that includes the Effective Date and each subsequent taxable year in which an Exchange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occurs;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jc w:val="both"/>
        <w:ind w:left="340" w:firstLine="1288"/>
        <w:spacing w:after="0" w:line="296" w:lineRule="auto"/>
        <w:tabs>
          <w:tab w:leader="none" w:pos="19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any other available election that the Managing Member reasonably deems appropriate;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so long as the Original Members collectively own at least 20% of the combined Class A Units and Class B Units, the Managing Member shall consult in good faith with the Original Member Representative with respect to any material tax election with respect to the Company that could reasonably be expected to have a disproportionate (as compared to the Managing Member) and adverse effect on the Original Members, and not make such election without the Original Member Representative’s prior written consent (which consent shall not be unreasonably withheld, delayed or conditioned).</w:t>
      </w:r>
    </w:p>
    <w:p>
      <w:pPr>
        <w:spacing w:after="0" w:line="16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Member may make an election for the Company to be excluded from the application of the provisions of subchapter K of chapter 1 of subtitle A of the Code or any similar provisions of applicable state law, and no provision of this Agreement shall be construed to sanction or approve such an election.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UNITS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b w:val="1"/>
          <w:bCs w:val="1"/>
          <w:color w:val="auto"/>
        </w:rPr>
        <w:t>Units.</w:t>
      </w:r>
    </w:p>
    <w:p>
      <w:pPr>
        <w:spacing w:after="0" w:line="229" w:lineRule="exact"/>
        <w:rPr>
          <w:sz w:val="20"/>
          <w:szCs w:val="20"/>
          <w:color w:val="auto"/>
        </w:rPr>
      </w:pPr>
    </w:p>
    <w:p>
      <w:pPr>
        <w:ind w:firstLine="980"/>
        <w:spacing w:after="0" w:line="277" w:lineRule="auto"/>
        <w:tabs>
          <w:tab w:leader="none" w:pos="124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Limited liability company interests in the Company shall be represented by Units. At the execution of this Agreement, the Units are comprised of four Classes:</w:t>
      </w:r>
    </w:p>
    <w:p>
      <w:pPr>
        <w:spacing w:after="0" w:line="170" w:lineRule="exact"/>
        <w:rPr>
          <w:rFonts w:ascii="Arial" w:cs="Arial" w:eastAsia="Arial" w:hAnsi="Arial"/>
          <w:sz w:val="18"/>
          <w:szCs w:val="18"/>
          <w:color w:val="auto"/>
        </w:rPr>
      </w:pPr>
    </w:p>
    <w:p>
      <w:pPr>
        <w:ind w:left="340" w:firstLine="1288"/>
        <w:spacing w:after="0" w:line="308" w:lineRule="auto"/>
        <w:tabs>
          <w:tab w:leader="none" w:pos="1851" w:val="left"/>
        </w:tabs>
        <w:numPr>
          <w:ilvl w:val="1"/>
          <w:numId w:val="1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Units</w:t>
      </w:r>
      <w:r>
        <w:rPr>
          <w:rFonts w:ascii="Arial" w:cs="Arial" w:eastAsia="Arial" w:hAnsi="Arial"/>
          <w:sz w:val="17"/>
          <w:szCs w:val="17"/>
          <w:color w:val="auto"/>
        </w:rPr>
        <w:t xml:space="preserve">”. Immediately after giving effect to the transactions contemplated by the Business Combination Agreement, the Managing Member holds the number of Class A Units set forth opposite the Managing Member’s name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w:t>
      </w:r>
    </w:p>
    <w:p>
      <w:pPr>
        <w:spacing w:after="0" w:line="142" w:lineRule="exact"/>
        <w:rPr>
          <w:rFonts w:ascii="Arial" w:cs="Arial" w:eastAsia="Arial" w:hAnsi="Arial"/>
          <w:sz w:val="17"/>
          <w:szCs w:val="17"/>
          <w:color w:val="auto"/>
        </w:rPr>
      </w:pPr>
    </w:p>
    <w:p>
      <w:pPr>
        <w:jc w:val="both"/>
        <w:ind w:left="340" w:firstLine="1288"/>
        <w:spacing w:after="0" w:line="271" w:lineRule="auto"/>
        <w:tabs>
          <w:tab w:leader="none" w:pos="1901" w:val="left"/>
        </w:tabs>
        <w:numPr>
          <w:ilvl w:val="1"/>
          <w:numId w:val="1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Units</w:t>
      </w:r>
      <w:r>
        <w:rPr>
          <w:rFonts w:ascii="Arial" w:cs="Arial" w:eastAsia="Arial" w:hAnsi="Arial"/>
          <w:sz w:val="17"/>
          <w:szCs w:val="17"/>
          <w:b w:val="1"/>
          <w:bCs w:val="1"/>
          <w:color w:val="auto"/>
        </w:rPr>
        <w:t>”</w:t>
      </w:r>
      <w:r>
        <w:rPr>
          <w:rFonts w:ascii="Arial" w:cs="Arial" w:eastAsia="Arial" w:hAnsi="Arial"/>
          <w:sz w:val="17"/>
          <w:szCs w:val="17"/>
          <w:color w:val="auto"/>
        </w:rPr>
        <w:t xml:space="preserve">. Immediately after giving effect to the transactions contemplated by the Business Combination Agreement, each Member holds the number of Class B Units set forth opposite such Member’s name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Class B Units shall have all the rights, privileges, preferences, and obligations as are specifically provided for in this Agreement for Class B Units, and as may otherwise be generally applicable to all classes of Units, unless such application is specifically limited to one or more other classes of Units. Notwithstanding anything to the contrary contained herein, the Class B Units shall not be entitled to vote on any matter subject to a vote of the Members, except as otherwise expressly set forth herein or required by law. Certain Class B Units may be subject to vesting as set forth in this Agreement or any other written agreement related to such Class B Units, including the Existing Agreement. By entering into this Agreement, any holder of Class B Units issued pursuant to the Business Combination Agreement hereby approves, ratifies and confirms the Business Combination Agreement and the transactions contemplated thereby, including, without limitation, the Business Combination.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left="340" w:firstLine="1288"/>
        <w:spacing w:after="0" w:line="258" w:lineRule="auto"/>
        <w:tabs>
          <w:tab w:leader="none" w:pos="195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Units</w:t>
      </w:r>
      <w:r>
        <w:rPr>
          <w:rFonts w:ascii="Arial" w:cs="Arial" w:eastAsia="Arial" w:hAnsi="Arial"/>
          <w:sz w:val="18"/>
          <w:szCs w:val="18"/>
          <w:color w:val="auto"/>
        </w:rPr>
        <w:t xml:space="preserve">”. As of the date of this Agreement, each Member holds the number of Series A Preferred Units set forth opposite such Member’s name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Series A Preferred Units shall have all the rights, privileges, preferences, and obligations as are specifically provided for in the applicable Certificate of Designations. Notwithstanding anything contained herein to the contrary, the Series A Preferred Units shall not be entitled to vote on any matters or receive any to any dividends or distributions, except as set forth in the applicable Certificate of Designations.</w:t>
      </w:r>
    </w:p>
    <w:p>
      <w:pPr>
        <w:spacing w:after="0" w:line="183" w:lineRule="exact"/>
        <w:rPr>
          <w:rFonts w:ascii="Arial" w:cs="Arial" w:eastAsia="Arial" w:hAnsi="Arial"/>
          <w:sz w:val="18"/>
          <w:szCs w:val="18"/>
          <w:color w:val="auto"/>
        </w:rPr>
      </w:pPr>
    </w:p>
    <w:p>
      <w:pPr>
        <w:jc w:val="both"/>
        <w:ind w:left="340" w:firstLine="1288"/>
        <w:spacing w:after="0" w:line="258" w:lineRule="auto"/>
        <w:tabs>
          <w:tab w:leader="none" w:pos="194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A-1 Preferred Units</w:t>
      </w:r>
      <w:r>
        <w:rPr>
          <w:rFonts w:ascii="Arial" w:cs="Arial" w:eastAsia="Arial" w:hAnsi="Arial"/>
          <w:sz w:val="18"/>
          <w:szCs w:val="18"/>
          <w:color w:val="auto"/>
        </w:rPr>
        <w:t xml:space="preserve">”. As of the date of this Agreement, each Member holds the number of Series A-1 Preferred Units set forth opposite such Member’s name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Series A-1 Preferred Units shall have all the rights, privileges, preferences, and obligations as are specifically provided for in the applicable Certificate of Designations. Notwithstanding anything contained herein to the contrary, the Series A Preferred Units shall not be entitled to vote on any matters or receive any to any dividends or distributions, except as set forth in the applicable Certificate of Designations.</w:t>
      </w:r>
    </w:p>
    <w:p>
      <w:pPr>
        <w:spacing w:after="0" w:line="187" w:lineRule="exact"/>
        <w:rPr>
          <w:rFonts w:ascii="Arial" w:cs="Arial" w:eastAsia="Arial" w:hAnsi="Arial"/>
          <w:sz w:val="18"/>
          <w:szCs w:val="18"/>
          <w:color w:val="auto"/>
        </w:rPr>
      </w:pPr>
    </w:p>
    <w:p>
      <w:pPr>
        <w:jc w:val="both"/>
        <w:ind w:firstLine="980"/>
        <w:spacing w:after="0" w:line="283" w:lineRule="auto"/>
        <w:tabs>
          <w:tab w:leader="none" w:pos="123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the terms of each Certificate of Designations, the Managing Member in its sole discretion may establish and cause the Company to issue, from time to time in accordance with such procedures as the Managing Member shall determine from time to time, additional Units, in one or more Classes, or other Company securities, at such price, and with such designations, preferences and relative, participating, optional or other special rights, powers and duties (which may be senior to existing Units, Classes or other Company securities), as shall be determined by the Managing Member without the approval of any Member or any other Person who may acquire an interest in any of the Units, including: (i) the right of such Units to share in Profits and Losses or items thereof; (ii) the right of such Units to share in Company distributions; (iii) the rights of such Units upon dissolution and winding up of the Company; (iv) whether, and the terms and conditions upon which, the Company may or shall be required to redeem such Units (including sinking fund provisions); (v) whether such Units are issued with the privilege of conversion or exchange and, if so, the terms and conditions of such conversion or exchange; (vi) the terms and conditions upon which such Units will be issued, evidenced by certificates and assigned or transferred; (vii) the method for determining the percentage interest as to such Units; (viii) the terms and conditions of the issuance of such Units (including, without limitation, the amount and form of consideration, if any, to be received by the Company in respect thereof, the Managing Member being expressly authorized, in its sole discretion, to cause the Company to issue such Units for less than fair market value); and (ix) the right, if any, of the holder of such Units to vote on Company matters, including matters relating to the relative designations, preferences, rights, powers and duties of such Units. Notwithstanding any other provision of this Agreement, subject to the terms of each Certificate of Designations, the Managing Member in its sole discretion, without the approval of any Member or any other Person, is authorized: (A) to cause the Company to issue Units or other Company securities of any newly established Class or any existing Class to Members or other Persons who may acquire an interest in the Company; (B) to amend this Agreement (including by way of a certificate of designations which is appended and annexed to this Agreement (each a “</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xml:space="preserve">”)) to reflect the creation of any such new Class, the issuance of Units or other Company securities of such Class, and the admission of any Person as a Member which has received Units or other Company securities; and (C) to effect the combination, subdivision and/or reclassification of outstanding Units as may be necessary or appropriate to give economic effect to equity investments in the Company by the Managing Member that are not accompanied by the issuance by the Company to the Managing Member of additional Units and to update the books and records of the Company accordingly. All Units of a particular Class shall have identical rights in all respects as all other Units of such Class, except in each case as otherwise specified in this Agreement. In the event that the Managing Member validly establishes any Class of Units in accordance with this Agreement (including compliance with the terms of each Certificate of Designations) by way of a Certificate of Designations, then, in the event of any conflict between this Agreement and such Certificate of Designations with respect to the rights of such Class of Units, such Certificate of Designations shall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any Class of Units created pursuant to such Certificate of Designations or this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shall not conflict with the rights previously granted to any Class of Units previously authorized by way of a Certificate of Designations, except, in the case of any Class for which no Units are then outstanding, without the approval of a majority of the outstanding Units of such Class of Units. Notwithstanding anything to the contrary in this Agreement, the Managing Member shall not cause or permit the Company to issue, or authorize the issuance of, any Class B Units unless the Managing Member has a sufficient number of Class A Common Stock authorized, available and reserved for issuance upon an exchange of such newly issued Class B Units for Class A Common Stock pursuant to an Exchange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48"/>
        <w:spacing w:after="0" w:line="266"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The books and records of the Company shall be the definitive record of ownership of each Unit and all relevant information with respect to each Member. Unless the Managing Member in its sole discretion shall determine otherwise, Units shall be uncertificated and recorded in the books and records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b w:val="1"/>
          <w:bCs w:val="1"/>
          <w:color w:val="auto"/>
        </w:rPr>
        <w:t>Registered Members.</w:t>
      </w:r>
      <w:r>
        <w:rPr>
          <w:rFonts w:ascii="Arial" w:cs="Arial" w:eastAsia="Arial" w:hAnsi="Arial"/>
          <w:sz w:val="18"/>
          <w:szCs w:val="18"/>
          <w:color w:val="auto"/>
        </w:rPr>
        <w:t xml:space="preserve"> The Company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Act or other applicable Law.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b w:val="1"/>
          <w:bCs w:val="1"/>
          <w:color w:val="auto"/>
        </w:rPr>
        <w:t>Issuances, Repurchases and Redemptions, Recapitalizations.</w:t>
      </w:r>
    </w:p>
    <w:p>
      <w:pPr>
        <w:spacing w:after="0" w:line="229" w:lineRule="exact"/>
        <w:rPr>
          <w:sz w:val="20"/>
          <w:szCs w:val="20"/>
          <w:color w:val="auto"/>
        </w:rPr>
      </w:pPr>
    </w:p>
    <w:p>
      <w:pPr>
        <w:ind w:left="1220" w:hanging="240"/>
        <w:spacing w:after="0"/>
        <w:tabs>
          <w:tab w:leader="none" w:pos="122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Issuances by the Managing Member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40" w:firstLine="1288"/>
        <w:spacing w:after="0" w:line="270" w:lineRule="auto"/>
        <w:tabs>
          <w:tab w:leader="none" w:pos="1873"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7.04(a)(ii)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if, at any time after the date of consummation of the Business Combination Agreement, the Managing Member sells or issues shares of Class A Common Stock, Class C Common Stock or any other Equity Interests of the Managing Member (other than Class B Common Stock or Class D Common Stock), (x) the Company shall concurrently issue to the Managing Member an equal number of Class A Units (if the Managing Member issues Class A Common Stock or Class C Common Stock), or an equal number of such other Equity Interests of the Company corresponding to the Equity Interests issued by the Managing Member (if the Managing Member issues Equity Interests other than Class A Common Stock or Class C Common Stock), and with substantially the same rights to dividends and distributions (including distributions upon liquidation) and other economic rights as those of such Equity Interests of the Managing Member so issued and (y) the Managing Member shall concurrently contribute to the Company, the net proceeds or other property received by the Managing Member, if any, for such Class A Common Stock, Class C Common Stock or other Equity Interest.</w:t>
      </w:r>
    </w:p>
    <w:p>
      <w:pPr>
        <w:spacing w:after="0" w:line="180" w:lineRule="exact"/>
        <w:rPr>
          <w:rFonts w:ascii="Arial" w:cs="Arial" w:eastAsia="Arial" w:hAnsi="Arial"/>
          <w:sz w:val="17"/>
          <w:szCs w:val="17"/>
          <w:color w:val="auto"/>
        </w:rPr>
      </w:pPr>
    </w:p>
    <w:p>
      <w:pPr>
        <w:jc w:val="both"/>
        <w:ind w:left="340" w:firstLine="1288"/>
        <w:spacing w:after="0" w:line="290" w:lineRule="auto"/>
        <w:tabs>
          <w:tab w:leader="none" w:pos="190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7.04(a)(i)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7.04(a)(iii)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shall not apply to (A) the issuance and distribution to holders of shares of Class A Common Stock or other Equity Interests of the Managing Member of rights to purchase Equity Interests of the Managing Member under a “poison pill” or similar shareholder rights plan (and upon exchange of Class B Units for shares of Class A Common Stock, such shares of Class A Common Stock will be issued together with a corresponding right under such plan) or (B) the issuance under the Managing Member’s employee benefit plans of any warrants, options, stock appreciation right, restricted stock, restricted stock units, performance based award or other rights to acquire Equity Interests of the Managing Member, but shall in each of the foregoing cases apply to the issuance of Equity Interests of the Managing Member in connection with the exercise or settlement of such warrants, options, stock appreciation right, restricted stock units, performance based awards or the vesting of restricted stock (including as set forth in clause (iii) below, as applicable).</w:t>
      </w:r>
    </w:p>
    <w:p>
      <w:pPr>
        <w:spacing w:after="0" w:line="165" w:lineRule="exact"/>
        <w:rPr>
          <w:rFonts w:ascii="Arial" w:cs="Arial" w:eastAsia="Arial" w:hAnsi="Arial"/>
          <w:sz w:val="16"/>
          <w:szCs w:val="16"/>
          <w:color w:val="auto"/>
        </w:rPr>
      </w:pPr>
    </w:p>
    <w:p>
      <w:pPr>
        <w:jc w:val="both"/>
        <w:ind w:left="340" w:firstLine="1288"/>
        <w:spacing w:after="0" w:line="273" w:lineRule="auto"/>
        <w:tabs>
          <w:tab w:leader="none" w:pos="196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In the event any outstanding Equity Interest of the Managing Member is exercised or otherwise converted and, as a result, any shares of Class A Common Stock, Class C Common Stock or other Equity Interests of the Managing Member are issued (including as a result of the exercise of warrants of the Managing Member), (A) the corresponding Equity Interest outstanding at the Company, if any, shall be similarly exercised or otherwise converted, if applicable, (B) an equivalent number of Class A Units or equivalent Equity Interests of the Company shall be issued to the Managing Member as required by the first sentence of </w:t>
      </w:r>
      <w:r>
        <w:rPr>
          <w:rFonts w:ascii="Arial" w:cs="Arial" w:eastAsia="Arial" w:hAnsi="Arial"/>
          <w:sz w:val="17"/>
          <w:szCs w:val="17"/>
          <w:u w:val="single" w:color="auto"/>
          <w:color w:val="auto"/>
        </w:rPr>
        <w:t>Section 7.04(a)(i)</w:t>
      </w:r>
      <w:r>
        <w:rPr>
          <w:rFonts w:ascii="Arial" w:cs="Arial" w:eastAsia="Arial" w:hAnsi="Arial"/>
          <w:sz w:val="17"/>
          <w:szCs w:val="17"/>
          <w:color w:val="auto"/>
        </w:rPr>
        <w:t>, and (C) the Managing Member shall concurrently contribute to the Company the net proceeds received by the Managing Member from any such exercise or conversion.</w:t>
      </w:r>
    </w:p>
    <w:p>
      <w:pPr>
        <w:spacing w:after="0" w:line="177" w:lineRule="exact"/>
        <w:rPr>
          <w:rFonts w:ascii="Arial" w:cs="Arial" w:eastAsia="Arial" w:hAnsi="Arial"/>
          <w:sz w:val="17"/>
          <w:szCs w:val="17"/>
          <w:color w:val="auto"/>
        </w:rPr>
      </w:pPr>
    </w:p>
    <w:p>
      <w:pPr>
        <w:jc w:val="both"/>
        <w:ind w:firstLine="980"/>
        <w:spacing w:after="0" w:line="270" w:lineRule="auto"/>
        <w:tabs>
          <w:tab w:leader="none" w:pos="1227"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New Company Equity Interests</w:t>
      </w:r>
      <w:r>
        <w:rPr>
          <w:rFonts w:ascii="Arial" w:cs="Arial" w:eastAsia="Arial" w:hAnsi="Arial"/>
          <w:sz w:val="17"/>
          <w:szCs w:val="17"/>
          <w:color w:val="auto"/>
        </w:rPr>
        <w:t xml:space="preserve">. Except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(i) the Company may not issue any additional Class A Units or Equity Interests of the Company to the Managing Member or any of its Subsidiaries (other than the Company and its Subsidiaries) unless substantially simultaneously therewith the Managing Member or such Subsidiary issues or transfers an equal number of newly-issued shares of Class A Common Stock or Class C Common Stock of the Managing Member (or relevant Equity Interest of such Subsidiary) to another Person or Persons and contributes the net proceeds therefrom to the Company, and (ii) the Company may not issue any other Equity Interests of the Company to the Managing Member or any of its Subsidiaries (other than the Company and its Subsidiaries) unless substantially simultaneously therewith the Managing Member or such Subsidiary issues or transfers, to another Person, an equal number of newly-issued shares of Equity Interests of the Managing Member or such Subsidiary with substantially the same rights to dividends and distributions (including distributions upon liquidation) and other economic rights as those of such Equity Interests of the Company and contributes the net proceeds therefrom to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ind w:left="888" w:hanging="240"/>
        <w:spacing w:after="0"/>
        <w:tabs>
          <w:tab w:leader="none" w:pos="888"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Repurchases and Redemptions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288"/>
        <w:spacing w:after="0" w:line="289" w:lineRule="auto"/>
        <w:tabs>
          <w:tab w:leader="none" w:pos="1524" w:val="left"/>
        </w:tabs>
        <w:numPr>
          <w:ilvl w:val="2"/>
          <w:numId w:val="171"/>
        </w:numPr>
        <w:rPr>
          <w:rFonts w:ascii="Arial" w:cs="Arial" w:eastAsia="Arial" w:hAnsi="Arial"/>
          <w:sz w:val="16"/>
          <w:szCs w:val="16"/>
          <w:color w:val="auto"/>
        </w:rPr>
      </w:pPr>
      <w:r>
        <w:rPr>
          <w:rFonts w:ascii="Arial" w:cs="Arial" w:eastAsia="Arial" w:hAnsi="Arial"/>
          <w:sz w:val="16"/>
          <w:szCs w:val="16"/>
          <w:color w:val="auto"/>
        </w:rPr>
        <w:t>Neither the Managing Member nor any of its Subsidiaries (other than the Company and its Subsidiaries) may redeem, repurchase or otherwise acquire (A) shares of Class A Common Stock or Class C Common Stock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Class A Units for the same price per security, if any, or (B) any other Equity Interests of the Managing Member or any of its Subsidiaries (other than the Company and its Subsidiaries)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the corresponding class or series of Equity Interests of the Company with the same rights to dividends and distributions (including distributions upon liquidation) and other economic rights as those of such Equity Interests of the Managing Member or such Subsidiary for the same price per security, if any.</w:t>
      </w:r>
    </w:p>
    <w:p>
      <w:pPr>
        <w:spacing w:after="0" w:line="166" w:lineRule="exact"/>
        <w:rPr>
          <w:rFonts w:ascii="Arial" w:cs="Arial" w:eastAsia="Arial" w:hAnsi="Arial"/>
          <w:sz w:val="16"/>
          <w:szCs w:val="16"/>
          <w:color w:val="auto"/>
        </w:rPr>
      </w:pPr>
    </w:p>
    <w:p>
      <w:pPr>
        <w:jc w:val="both"/>
        <w:ind w:left="8" w:firstLine="1288"/>
        <w:spacing w:after="0" w:line="286" w:lineRule="auto"/>
        <w:tabs>
          <w:tab w:leader="none" w:pos="1570" w:val="left"/>
        </w:tabs>
        <w:numPr>
          <w:ilvl w:val="2"/>
          <w:numId w:val="171"/>
        </w:numPr>
        <w:rPr>
          <w:rFonts w:ascii="Arial" w:cs="Arial" w:eastAsia="Arial" w:hAnsi="Arial"/>
          <w:sz w:val="16"/>
          <w:szCs w:val="16"/>
          <w:color w:val="auto"/>
        </w:rPr>
      </w:pPr>
      <w:r>
        <w:rPr>
          <w:rFonts w:ascii="Arial" w:cs="Arial" w:eastAsia="Arial" w:hAnsi="Arial"/>
          <w:sz w:val="16"/>
          <w:szCs w:val="16"/>
          <w:color w:val="auto"/>
        </w:rPr>
        <w:t>The Company may not redeem, repurchase or otherwise acquire (A) any Class A Units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an equal number of shares of Class A Common Stock or Class C Common Stock for the same price per security from holders thereof or</w:t>
      </w:r>
    </w:p>
    <w:p>
      <w:pPr>
        <w:spacing w:after="0" w:line="1" w:lineRule="exact"/>
        <w:rPr>
          <w:rFonts w:ascii="Arial" w:cs="Arial" w:eastAsia="Arial" w:hAnsi="Arial"/>
          <w:sz w:val="16"/>
          <w:szCs w:val="16"/>
          <w:color w:val="auto"/>
        </w:rPr>
      </w:pPr>
    </w:p>
    <w:p>
      <w:pPr>
        <w:jc w:val="both"/>
        <w:ind w:left="8" w:hanging="8"/>
        <w:spacing w:after="0" w:line="252" w:lineRule="auto"/>
        <w:tabs>
          <w:tab w:leader="none" w:pos="30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other Equity Interests of the Company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for the same price per security an equal number of Equity Interests of the Managing Member (or such Subsidiary) of a corresponding class or series with substantially the same rights to dividends and distributions (including distributions upon liquidation) and other economic rights as those of such Equity Interests of the Managing Member or such Subsidiary.</w:t>
      </w:r>
    </w:p>
    <w:p>
      <w:pPr>
        <w:spacing w:after="0" w:line="193" w:lineRule="exact"/>
        <w:rPr>
          <w:rFonts w:ascii="Arial" w:cs="Arial" w:eastAsia="Arial" w:hAnsi="Arial"/>
          <w:sz w:val="18"/>
          <w:szCs w:val="18"/>
          <w:color w:val="auto"/>
        </w:rPr>
      </w:pPr>
    </w:p>
    <w:p>
      <w:pPr>
        <w:ind w:left="908" w:hanging="260"/>
        <w:spacing w:after="0"/>
        <w:tabs>
          <w:tab w:leader="none" w:pos="908"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Earnout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288"/>
        <w:spacing w:after="0" w:line="286" w:lineRule="auto"/>
        <w:tabs>
          <w:tab w:leader="none" w:pos="1545" w:val="left"/>
        </w:tabs>
        <w:numPr>
          <w:ilvl w:val="2"/>
          <w:numId w:val="172"/>
        </w:numPr>
        <w:rPr>
          <w:rFonts w:ascii="Arial" w:cs="Arial" w:eastAsia="Arial" w:hAnsi="Arial"/>
          <w:sz w:val="17"/>
          <w:szCs w:val="17"/>
          <w:color w:val="auto"/>
        </w:rPr>
      </w:pPr>
      <w:r>
        <w:rPr>
          <w:rFonts w:ascii="Arial" w:cs="Arial" w:eastAsia="Arial" w:hAnsi="Arial"/>
          <w:sz w:val="17"/>
          <w:szCs w:val="17"/>
          <w:color w:val="auto"/>
        </w:rPr>
        <w:t>In the event that the Company is obligated to issue any Class B Units pursuant to Section 2.7 of the Business Combination Agreement, the Company shall promptly issue such Class B Units to the Earnout Participants in accordance with the terms of the Business Combination Agreement. Section 2.7 of the Business Combination Agreement is incorporated and treated as part of this Agreement.</w:t>
      </w:r>
    </w:p>
    <w:p>
      <w:pPr>
        <w:spacing w:after="0" w:line="165" w:lineRule="exact"/>
        <w:rPr>
          <w:rFonts w:ascii="Arial" w:cs="Arial" w:eastAsia="Arial" w:hAnsi="Arial"/>
          <w:sz w:val="17"/>
          <w:szCs w:val="17"/>
          <w:color w:val="auto"/>
        </w:rPr>
      </w:pPr>
    </w:p>
    <w:p>
      <w:pPr>
        <w:jc w:val="both"/>
        <w:ind w:left="8" w:firstLine="1288"/>
        <w:spacing w:after="0" w:line="269" w:lineRule="auto"/>
        <w:tabs>
          <w:tab w:leader="none" w:pos="1579" w:val="left"/>
        </w:tabs>
        <w:numPr>
          <w:ilvl w:val="2"/>
          <w:numId w:val="172"/>
        </w:numPr>
        <w:rPr>
          <w:rFonts w:ascii="Arial" w:cs="Arial" w:eastAsia="Arial" w:hAnsi="Arial"/>
          <w:sz w:val="17"/>
          <w:szCs w:val="17"/>
          <w:color w:val="auto"/>
        </w:rPr>
      </w:pPr>
      <w:r>
        <w:rPr>
          <w:rFonts w:ascii="Arial" w:cs="Arial" w:eastAsia="Arial" w:hAnsi="Arial"/>
          <w:sz w:val="17"/>
          <w:szCs w:val="17"/>
          <w:color w:val="auto"/>
        </w:rPr>
        <w:t>Notwithstanding anything to the contrary, the Parties intend that, solely for U.S. federal (and applicable state and local) income tax purposes, (A) any such Class B Units to be issued to an Earnout Participant pursuant to Section 2.7 of the Business Combination Agreement shall be treated as having been issued in the form of an “Earnout Unit” (each, an “</w:t>
      </w:r>
      <w:r>
        <w:rPr>
          <w:rFonts w:ascii="Arial" w:cs="Arial" w:eastAsia="Arial" w:hAnsi="Arial"/>
          <w:sz w:val="17"/>
          <w:szCs w:val="17"/>
          <w:b w:val="1"/>
          <w:bCs w:val="1"/>
          <w:color w:val="auto"/>
        </w:rPr>
        <w:t>Earnout Unit</w:t>
      </w:r>
      <w:r>
        <w:rPr>
          <w:rFonts w:ascii="Arial" w:cs="Arial" w:eastAsia="Arial" w:hAnsi="Arial"/>
          <w:sz w:val="17"/>
          <w:szCs w:val="17"/>
          <w:color w:val="auto"/>
        </w:rPr>
        <w:t>”) at Closing, not received in connection with the performance of services, and shall be treated as having been converted into a Class B Unit at the time of such actual issuance of a Class B Unit pursuant to Section 2.7 of the Business Combination Agreement (any such deemed conversion, a “</w:t>
      </w:r>
      <w:r>
        <w:rPr>
          <w:rFonts w:ascii="Arial" w:cs="Arial" w:eastAsia="Arial" w:hAnsi="Arial"/>
          <w:sz w:val="17"/>
          <w:szCs w:val="17"/>
          <w:b w:val="1"/>
          <w:bCs w:val="1"/>
          <w:color w:val="auto"/>
        </w:rPr>
        <w:t>Conversion</w:t>
      </w:r>
      <w:r>
        <w:rPr>
          <w:rFonts w:ascii="Arial" w:cs="Arial" w:eastAsia="Arial" w:hAnsi="Arial"/>
          <w:sz w:val="17"/>
          <w:szCs w:val="17"/>
          <w:color w:val="auto"/>
        </w:rPr>
        <w:t xml:space="preserve">”), and (B) no such Earnout Participant shall be treated as having taxable income or gain as a result of such deemed issuance of such Earnout Units at Closing or as a result of the Conversion thereof (if any) (other than as a result of corrective allocations made pursuant to </w:t>
      </w:r>
      <w:r>
        <w:rPr>
          <w:rFonts w:ascii="Arial" w:cs="Arial" w:eastAsia="Arial" w:hAnsi="Arial"/>
          <w:sz w:val="17"/>
          <w:szCs w:val="17"/>
          <w:u w:val="single" w:color="auto"/>
          <w:color w:val="auto"/>
        </w:rPr>
        <w:t>Section 5.05(i)</w:t>
      </w:r>
      <w:r>
        <w:rPr>
          <w:rFonts w:ascii="Arial" w:cs="Arial" w:eastAsia="Arial" w:hAnsi="Arial"/>
          <w:sz w:val="17"/>
          <w:szCs w:val="17"/>
          <w:color w:val="auto"/>
        </w:rPr>
        <w:t xml:space="preserve">). The Company shall prepare and file all tax returns consistent therewith unless otherwise required by a final “determination” within the meaning of Section 1313 of the Code. For the avoidance of doubt, subject to the definition of “Carrying Value”, </w:t>
      </w:r>
      <w:r>
        <w:rPr>
          <w:rFonts w:ascii="Arial" w:cs="Arial" w:eastAsia="Arial" w:hAnsi="Arial"/>
          <w:sz w:val="17"/>
          <w:szCs w:val="17"/>
          <w:u w:val="single" w:color="auto"/>
          <w:color w:val="auto"/>
        </w:rPr>
        <w:t>Section 5.05(i)</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7.04(d)</w:t>
      </w:r>
      <w:r>
        <w:rPr>
          <w:rFonts w:ascii="Arial" w:cs="Arial" w:eastAsia="Arial" w:hAnsi="Arial"/>
          <w:sz w:val="17"/>
          <w:szCs w:val="17"/>
          <w:color w:val="auto"/>
        </w:rPr>
        <w:t>, an Earnout Unit shall not be treated as an outstanding “Unit” for purposes of this Agreement.</w:t>
      </w:r>
    </w:p>
    <w:p>
      <w:pPr>
        <w:spacing w:after="0" w:line="185" w:lineRule="exact"/>
        <w:rPr>
          <w:rFonts w:ascii="Arial" w:cs="Arial" w:eastAsia="Arial" w:hAnsi="Arial"/>
          <w:sz w:val="17"/>
          <w:szCs w:val="17"/>
          <w:color w:val="auto"/>
        </w:rPr>
      </w:pPr>
    </w:p>
    <w:p>
      <w:pPr>
        <w:ind w:left="888" w:hanging="240"/>
        <w:spacing w:after="0"/>
        <w:tabs>
          <w:tab w:leader="none" w:pos="888"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Equity Subdivisions and Combinations.</w:t>
      </w:r>
    </w:p>
    <w:p>
      <w:pPr>
        <w:spacing w:after="0" w:line="225" w:lineRule="exact"/>
        <w:rPr>
          <w:rFonts w:ascii="Arial" w:cs="Arial" w:eastAsia="Arial" w:hAnsi="Arial"/>
          <w:sz w:val="18"/>
          <w:szCs w:val="18"/>
          <w:color w:val="auto"/>
        </w:rPr>
      </w:pPr>
    </w:p>
    <w:p>
      <w:pPr>
        <w:jc w:val="both"/>
        <w:ind w:left="8" w:firstLine="1288"/>
        <w:spacing w:after="0" w:line="257" w:lineRule="auto"/>
        <w:tabs>
          <w:tab w:leader="none" w:pos="157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Company shall not in any manner effect any subdivision (by any equity split, equity distribution, reclassification, recapitalization or otherwise) or combination (by reverse equity split, reclassification, recapitalization or otherwise) of the outstanding Equity Interests of the Company unless accompanied by an identical subdivision or combination, as applicable, of the outstanding related class or series of Equity Interest of the Managing Member, with corresponding changes made with respect to any other exchangeable or convertible Equity Interests of the Company and the Managing Member.</w:t>
      </w:r>
    </w:p>
    <w:p>
      <w:pPr>
        <w:spacing w:after="0" w:line="187" w:lineRule="exact"/>
        <w:rPr>
          <w:rFonts w:ascii="Arial" w:cs="Arial" w:eastAsia="Arial" w:hAnsi="Arial"/>
          <w:sz w:val="18"/>
          <w:szCs w:val="18"/>
          <w:color w:val="auto"/>
        </w:rPr>
      </w:pPr>
    </w:p>
    <w:p>
      <w:pPr>
        <w:jc w:val="both"/>
        <w:ind w:left="8" w:firstLine="1288"/>
        <w:spacing w:after="0" w:line="275" w:lineRule="auto"/>
        <w:tabs>
          <w:tab w:leader="none" w:pos="1569" w:val="left"/>
        </w:tabs>
        <w:numPr>
          <w:ilvl w:val="2"/>
          <w:numId w:val="172"/>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7.04(g)</w:t>
      </w:r>
      <w:r>
        <w:rPr>
          <w:rFonts w:ascii="Arial" w:cs="Arial" w:eastAsia="Arial" w:hAnsi="Arial"/>
          <w:sz w:val="17"/>
          <w:szCs w:val="17"/>
          <w:color w:val="auto"/>
        </w:rPr>
        <w:t>, the Managing Member shall not in any manner effect any subdivision (by any equity split, equity distribution, reclassification, recapitalization or otherwise) or combination (by reverse equity split, reclassification, recapitalization or otherwise) of any class or series of Equity Interest of the Managing Member, unless accompanied by an identical subdivision or combination, as applicable, of the outstanding related class or series of Equity Interest of the Company, with corresponding changes made with respect to any applicable exchangeable or convertible Equity Interests of the Company and the Managing Member.</w:t>
      </w:r>
    </w:p>
    <w:p>
      <w:pPr>
        <w:spacing w:after="0" w:line="39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67" w:name="page168"/>
    <w:bookmarkEnd w:id="167"/>
    <w:p>
      <w:pPr>
        <w:jc w:val="both"/>
        <w:ind w:firstLine="980"/>
        <w:spacing w:after="0" w:line="284" w:lineRule="auto"/>
        <w:tabs>
          <w:tab w:leader="none" w:pos="1197"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General Authority</w:t>
      </w:r>
      <w:r>
        <w:rPr>
          <w:rFonts w:ascii="Arial" w:cs="Arial" w:eastAsia="Arial" w:hAnsi="Arial"/>
          <w:sz w:val="16"/>
          <w:szCs w:val="16"/>
          <w:color w:val="auto"/>
        </w:rPr>
        <w:t xml:space="preserve">. For the avoidance of doubt, but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7.03</w:t>
      </w:r>
      <w:r>
        <w:rPr>
          <w:rFonts w:ascii="Arial" w:cs="Arial" w:eastAsia="Arial" w:hAnsi="Arial"/>
          <w:sz w:val="16"/>
          <w:szCs w:val="16"/>
          <w:color w:val="auto"/>
        </w:rPr>
        <w:t>, the Company and the Managing Member shall be permitted to undertake all actions, including an issuance, redemption, reclassification, distribution, division or recapitalization, with respect to the Class A Units and/or Class B Units as the Managing Member determines is necessary to maintain at all times a one-to-one ratio between (i) the number of Class A Units owned by the Managing Member, directly or indirectly, and the number of outstanding shares of Class A Common Stock and Class C Common Stock, and (ii) the number of outstanding shares of Class B Common Stock and Class D Common Stock held by any Member other than the Managing Member and the number of Class B Units held by such Member disregarding, for purposes of maintaining the one-to-one ratio in clause (i),</w:t>
      </w:r>
    </w:p>
    <w:p>
      <w:pPr>
        <w:spacing w:after="0" w:line="4" w:lineRule="exact"/>
        <w:rPr>
          <w:rFonts w:ascii="Arial" w:cs="Arial" w:eastAsia="Arial" w:hAnsi="Arial"/>
          <w:sz w:val="16"/>
          <w:szCs w:val="16"/>
          <w:color w:val="auto"/>
        </w:rPr>
      </w:pPr>
    </w:p>
    <w:p>
      <w:pPr>
        <w:jc w:val="both"/>
        <w:ind w:firstLine="8"/>
        <w:spacing w:after="0" w:line="273" w:lineRule="auto"/>
        <w:tabs>
          <w:tab w:leader="none" w:pos="30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options, rights or securities of the Managing Member issued under any plan involving the issuance of any Equity Interests that are convertible into or exercisable or exchangeable for shares of Class A Common Stock or Class C Common Stock, (B) treasury stock, or (C) preferred stock or other debt or equity securities (including warrants, options or rights) issued by the Managing Member that are convertible or into or exercisable or exchangeable for shares of Class A Common Stock or Class C Common Stock (but in each case prior to such conversion, exercise or exchange).</w:t>
      </w:r>
    </w:p>
    <w:p>
      <w:pPr>
        <w:spacing w:after="0" w:line="176" w:lineRule="exact"/>
        <w:rPr>
          <w:rFonts w:ascii="Arial" w:cs="Arial" w:eastAsia="Arial" w:hAnsi="Arial"/>
          <w:sz w:val="17"/>
          <w:szCs w:val="17"/>
          <w:color w:val="auto"/>
        </w:rPr>
      </w:pPr>
    </w:p>
    <w:p>
      <w:pPr>
        <w:jc w:val="both"/>
        <w:ind w:firstLine="980"/>
        <w:spacing w:after="0" w:line="289" w:lineRule="auto"/>
        <w:tabs>
          <w:tab w:leader="none" w:pos="1251" w:val="left"/>
        </w:tabs>
        <w:numPr>
          <w:ilvl w:val="1"/>
          <w:numId w:val="17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the Managing Member (i) receives Tax Distributions in an amount in excess of the amount necessary to enable the Managing Member to meet its U.S. federal, state and local and non-U.S. tax obligations, its obligations under the Tax Receivable Agreement, and any other operating expenses or (ii) holds any other excess cash amount, the Managing Member may, in its sole discretion, (A) distribute such excess cash amount to its shareholders or (B) contribute such excess cash amount to the Company in exchange for a number of Units or other Equity Securities of the Company determined in its sole discretion, and in such case, the Managing Member may distribute to the holders of Class A Common Stock and Class C Common Stock an amount of shares of Class A Common Stock or Class C Common Stock (if the Company issues Units to the Managing Member) or such other Equity Security of the Managing Member (if the Company issues Equity Securities of the Company other than Units), corresponding to the Equity Securities issued by the Company and with substantially the same rights to dividends and distributions (including distributions upon liquidation) and other economic rights as those of such Equity Securities of the Company that were issued to the Managing Member.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RESTRICTIONS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b w:val="1"/>
          <w:bCs w:val="1"/>
          <w:color w:val="auto"/>
        </w:rPr>
        <w:t>Member Transfers.</w:t>
      </w:r>
    </w:p>
    <w:p>
      <w:pPr>
        <w:spacing w:after="0" w:line="229" w:lineRule="exact"/>
        <w:rPr>
          <w:sz w:val="20"/>
          <w:szCs w:val="20"/>
          <w:color w:val="auto"/>
        </w:rPr>
      </w:pPr>
    </w:p>
    <w:p>
      <w:pPr>
        <w:jc w:val="both"/>
        <w:ind w:firstLine="980"/>
        <w:spacing w:after="0" w:line="268" w:lineRule="auto"/>
        <w:tabs>
          <w:tab w:leader="none" w:pos="124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Except as otherwise agreed to in writing between the Managing Member and the applicable Member and reflected in the books and records of the Company or as otherwise provided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in any Certificate of Designations, no Member or Assignee thereof may Transfer all or any portion of its Units or other interest in the Company (or beneficial interest therein) without the prior consent of the Managing Member, which consent (i) with respect to the Series A Preferred Units or the Series A-1 Preferred Units, shall not be unreasonably withheld, conditioned or delayed by the Managing Member and (ii) with respect to the Class A Units or the Class B Units, may be given or withheld, or made subject to such conditions (including, without limitation, the receipt of such legal opinions and other documents that the Managing Member may require and/or such consent being provided in the form of a plan or program entered into or approved by the Managing Member) as are determined by the Managing Member in its sole discretion. Any such determination in the Managing Member’s sole discretion in respect of Units (other than preferred Units) shall be final and binding. Such determinations with respect of Units (other than preferred Units) need not be uniform and may be made selectively among Members, whether or not such Members are similarly situated, and shall not constitute the breach of any duty hereunder or otherwise existing at law, in equity or otherwise. Any purported Transfer of Units that is not in accordance with, or subsequently violates, this Agreement shall be, to the fullest extent permitted by law, null and void. If a Member transfers all or a portion of its Class B Units to a transferee in compliance with this Agreement, the Member shall surrender a number of shares of Class B Common Stock or Class D Common Stock to the Managing Member equal to the number of transferred Class B Units, such shares of Class B Common Stock or Class D Common Stock will be immediately cancelled, and the Managing Member shall issue the same number of shares of Class B Common Stock or Class D Common Stock (to the extent permitted by the Managing Member Charter) to such transferee upon its admittance to the Company as a Member.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firstLine="980"/>
        <w:spacing w:after="0" w:line="301" w:lineRule="auto"/>
        <w:tabs>
          <w:tab w:leader="none" w:pos="125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Notwithstanding anything otherwise to the contrary in this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without the consent of the Managing Member or any other Person, each Member that is a Member holding at least 5% of the Class A Percentage Interest or Class B Percentage Interest, as applicable, may Transfer all or any portion of its Class A Units or Class B Units, as applicable, in a Transfer that complies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unless the Managing Member timely and reasonably objects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so long as such transfer does not increase the number of Members of the Company.</w:t>
      </w:r>
    </w:p>
    <w:p>
      <w:pPr>
        <w:spacing w:after="0" w:line="157" w:lineRule="exact"/>
        <w:rPr>
          <w:rFonts w:ascii="Arial" w:cs="Arial" w:eastAsia="Arial" w:hAnsi="Arial"/>
          <w:sz w:val="16"/>
          <w:szCs w:val="16"/>
          <w:color w:val="auto"/>
        </w:rPr>
      </w:pPr>
    </w:p>
    <w:p>
      <w:pPr>
        <w:jc w:val="both"/>
        <w:ind w:firstLine="980"/>
        <w:spacing w:after="0" w:line="255" w:lineRule="auto"/>
        <w:tabs>
          <w:tab w:leader="none" w:pos="121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Notwithstanding anything otherwise to the contrary in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each Member may Transfer Units in an Exchange pursuant to, and in accordance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Member other than a Member holding at least 5% of the Class A Percentage Interest or Class B Percentage Interest, as applicable, that such Exchange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such policies conflict with the terms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apply in lieu thereof to any Exchange to the extent of such conflict.</w:t>
      </w:r>
    </w:p>
    <w:p>
      <w:pPr>
        <w:spacing w:after="0" w:line="192" w:lineRule="exact"/>
        <w:rPr>
          <w:rFonts w:ascii="Arial" w:cs="Arial" w:eastAsia="Arial" w:hAnsi="Arial"/>
          <w:sz w:val="18"/>
          <w:szCs w:val="18"/>
          <w:color w:val="auto"/>
        </w:rPr>
      </w:pPr>
    </w:p>
    <w:p>
      <w:pPr>
        <w:jc w:val="both"/>
        <w:ind w:firstLine="980"/>
        <w:spacing w:after="0" w:line="293" w:lineRule="auto"/>
        <w:tabs>
          <w:tab w:leader="none" w:pos="124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Notwithstanding anything otherwise to the contrary in this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(i) a Member that is a natural person may Transfer all or any portion of his or her Units without consideration to any member of his or her Family Group, (ii) a Member that is an entity may Transfer all or any portion of its Units to any Affiliate of such Member (including any partner, shareholder or member controlling or under common control with such Member and Affiliated investment fund or vehicle of such Member) and (iii) the Managing Member may implement other policies and procedures to permit the Transfer of Units by the other Members for personal planning purposes and any such Transfer effected in compliance with such policies and procedures shall not require the prior consent of the Managing Member, in the case of each of (i), (ii) and (iii), in a Transfer that complies with </w:t>
      </w:r>
      <w:r>
        <w:rPr>
          <w:rFonts w:ascii="Arial" w:cs="Arial" w:eastAsia="Arial" w:hAnsi="Arial"/>
          <w:sz w:val="16"/>
          <w:szCs w:val="16"/>
          <w:u w:val="single" w:color="auto"/>
          <w:color w:val="auto"/>
        </w:rPr>
        <w:t>Section 8.04</w:t>
      </w:r>
      <w:r>
        <w:rPr>
          <w:rFonts w:ascii="Arial" w:cs="Arial" w:eastAsia="Arial" w:hAnsi="Arial"/>
          <w:sz w:val="16"/>
          <w:szCs w:val="16"/>
          <w:color w:val="auto"/>
        </w:rPr>
        <w:t>.</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b w:val="1"/>
          <w:bCs w:val="1"/>
          <w:color w:val="auto"/>
        </w:rPr>
        <w:t>Mandatory Exchanges.</w:t>
      </w:r>
      <w:r>
        <w:rPr>
          <w:rFonts w:ascii="Arial" w:cs="Arial" w:eastAsia="Arial" w:hAnsi="Arial"/>
          <w:sz w:val="18"/>
          <w:szCs w:val="18"/>
          <w:color w:val="auto"/>
        </w:rPr>
        <w:t xml:space="preserve"> The Managing Member may in its sole discretion at any time and from time to time, without the consent of any Member or other Person, cause to be Transferred to the Managing Member in an Exchange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any and all Units, except for (a) Units held by any Member holding at least 5% of the Class A Percentage Interest or Class B Percentage Interest, as applicable and (b) preferred Units. Any such determinations by the Managing Member need not be uniform and may be made selectively among Members, whether or not such Members are similarly situated.</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8.03 </w:t>
      </w:r>
      <w:r>
        <w:rPr>
          <w:rFonts w:ascii="Arial" w:cs="Arial" w:eastAsia="Arial" w:hAnsi="Arial"/>
          <w:sz w:val="17"/>
          <w:szCs w:val="17"/>
          <w:b w:val="1"/>
          <w:bCs w:val="1"/>
          <w:color w:val="auto"/>
        </w:rPr>
        <w:t>Encumbrances.</w:t>
      </w:r>
      <w:r>
        <w:rPr>
          <w:rFonts w:ascii="Arial" w:cs="Arial" w:eastAsia="Arial" w:hAnsi="Arial"/>
          <w:sz w:val="17"/>
          <w:szCs w:val="17"/>
          <w:color w:val="auto"/>
        </w:rPr>
        <w:t xml:space="preserve"> No Member or Assignee may create an Encumbrance with respect to all or any portion of its Units (or any beneficial interest therein) other than Encumbrances that run in favor of the Member unless the Managing Member consents in writing thereto, which consent may be given or withheld, or made subject to such conditions as are determined by the Managing Member, in the Managing Member’s sole discretion. Consent of the Managing Member shall be withheld until the holder of the Encumbrance acknowledges the terms and conditions of this Agreement. Any purported Encumbrance that is not in accordance with this Agreement shall be, to the fullest extent permitted by law, null and void.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ind w:left="660"/>
        <w:spacing w:after="0"/>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b w:val="1"/>
          <w:bCs w:val="1"/>
          <w:color w:val="auto"/>
        </w:rPr>
        <w:t>Further Restrictions.</w:t>
      </w:r>
    </w:p>
    <w:p>
      <w:pPr>
        <w:spacing w:after="0" w:line="229" w:lineRule="exact"/>
        <w:rPr>
          <w:sz w:val="20"/>
          <w:szCs w:val="20"/>
          <w:color w:val="auto"/>
        </w:rPr>
      </w:pPr>
    </w:p>
    <w:p>
      <w:pPr>
        <w:jc w:val="both"/>
        <w:ind w:firstLine="980"/>
        <w:spacing w:after="0" w:line="293" w:lineRule="auto"/>
        <w:tabs>
          <w:tab w:leader="none" w:pos="121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Units issued from time to time after the date of this Agreement, including Units issued under equity incentive plans of the Company or the Managing Member (or upon settlement of awards granted under such plans), may be subject to such additional or other terms and conditions, including with regard to vesting, forfeiture, minimum retained ownership and Transfer, as may be agreed between the Managing Member and the applicable Member and reflected in the books and records of the Company. Such requirements, provisions and restrictions need not be uniform and may be waived or released by the Managing Member in its sole discretion with respect to all or a portion of the Units owned by any one or more Members at any time and from time to time, and shall not constitute the breach of any duty hereunder or otherwise existing at law, in equity or otherwise.</w:t>
      </w:r>
    </w:p>
    <w:p>
      <w:pPr>
        <w:spacing w:after="0" w:line="164" w:lineRule="exact"/>
        <w:rPr>
          <w:rFonts w:ascii="Arial" w:cs="Arial" w:eastAsia="Arial" w:hAnsi="Arial"/>
          <w:sz w:val="16"/>
          <w:szCs w:val="16"/>
          <w:color w:val="auto"/>
        </w:rPr>
      </w:pPr>
    </w:p>
    <w:p>
      <w:pPr>
        <w:ind w:firstLine="980"/>
        <w:spacing w:after="0" w:line="277" w:lineRule="auto"/>
        <w:tabs>
          <w:tab w:leader="none" w:pos="125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Notwithstanding any contrary provision in this Agreement, in no event may any Transfer of a Unit (other than in accordance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be made by any Member or Assignee if the Managing Member determines that:</w:t>
      </w:r>
    </w:p>
    <w:p>
      <w:pPr>
        <w:spacing w:after="0" w:line="170" w:lineRule="exact"/>
        <w:rPr>
          <w:rFonts w:ascii="Arial" w:cs="Arial" w:eastAsia="Arial" w:hAnsi="Arial"/>
          <w:sz w:val="18"/>
          <w:szCs w:val="18"/>
          <w:color w:val="auto"/>
        </w:rPr>
      </w:pPr>
    </w:p>
    <w:p>
      <w:pPr>
        <w:ind w:left="1840" w:hanging="212"/>
        <w:spacing w:after="0"/>
        <w:tabs>
          <w:tab w:leader="none" w:pos="18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such Transfer is made to any Person who lacks the legal right, power or capacity to own such Unit;</w:t>
      </w:r>
    </w:p>
    <w:p>
      <w:pPr>
        <w:spacing w:after="0" w:line="225" w:lineRule="exact"/>
        <w:rPr>
          <w:rFonts w:ascii="Arial" w:cs="Arial" w:eastAsia="Arial" w:hAnsi="Arial"/>
          <w:sz w:val="18"/>
          <w:szCs w:val="18"/>
          <w:color w:val="auto"/>
        </w:rPr>
      </w:pPr>
    </w:p>
    <w:p>
      <w:pPr>
        <w:jc w:val="both"/>
        <w:ind w:left="340" w:firstLine="1288"/>
        <w:spacing w:after="0" w:line="259" w:lineRule="auto"/>
        <w:tabs>
          <w:tab w:leader="none" w:pos="1909"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except pursuant to an Exchange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such Transfer would require the registration of such transferred Unit or of any Class pursuant to any applicable U.S.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186" w:lineRule="exact"/>
        <w:rPr>
          <w:rFonts w:ascii="Arial" w:cs="Arial" w:eastAsia="Arial" w:hAnsi="Arial"/>
          <w:sz w:val="18"/>
          <w:szCs w:val="18"/>
          <w:color w:val="auto"/>
        </w:rPr>
      </w:pPr>
    </w:p>
    <w:p>
      <w:pPr>
        <w:jc w:val="both"/>
        <w:ind w:left="340" w:firstLine="1288"/>
        <w:spacing w:after="0" w:line="259" w:lineRule="auto"/>
        <w:tabs>
          <w:tab w:leader="none" w:pos="195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such Transfer would cause (A) all or any portion of the assets of the Company to (1) constitute “plan assets” (under ERISA, the Code or any applicable Similar Law) of any existing or contemplated Member, or (2) be subject to the provisions of ERISA, Section 4975 of the Code or any applicable Similar Law, or (B) the Managing Member to become a fiduciary with respect to any existing or contemplated Member, pursuant to ERISA, any applicable Similar Law, or otherwise;</w:t>
      </w:r>
    </w:p>
    <w:p>
      <w:pPr>
        <w:spacing w:after="0" w:line="186" w:lineRule="exact"/>
        <w:rPr>
          <w:rFonts w:ascii="Arial" w:cs="Arial" w:eastAsia="Arial" w:hAnsi="Arial"/>
          <w:sz w:val="18"/>
          <w:szCs w:val="18"/>
          <w:color w:val="auto"/>
        </w:rPr>
      </w:pPr>
    </w:p>
    <w:p>
      <w:pPr>
        <w:jc w:val="both"/>
        <w:ind w:left="340" w:firstLine="1288"/>
        <w:spacing w:after="0" w:line="263" w:lineRule="auto"/>
        <w:tabs>
          <w:tab w:leader="none" w:pos="196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reasonably satisfactory to the Managing Member; or</w:t>
      </w:r>
    </w:p>
    <w:p>
      <w:pPr>
        <w:spacing w:after="0" w:line="183" w:lineRule="exact"/>
        <w:rPr>
          <w:rFonts w:ascii="Arial" w:cs="Arial" w:eastAsia="Arial" w:hAnsi="Arial"/>
          <w:sz w:val="18"/>
          <w:szCs w:val="18"/>
          <w:color w:val="auto"/>
        </w:rPr>
      </w:pPr>
    </w:p>
    <w:p>
      <w:pPr>
        <w:ind w:left="340" w:right="20" w:firstLine="1288"/>
        <w:spacing w:after="0" w:line="277" w:lineRule="auto"/>
        <w:tabs>
          <w:tab w:leader="none" w:pos="1919"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such Transfer would pose a material risk that the Company would be treated as a “</w:t>
      </w:r>
      <w:r>
        <w:rPr>
          <w:rFonts w:ascii="Arial" w:cs="Arial" w:eastAsia="Arial" w:hAnsi="Arial"/>
          <w:sz w:val="18"/>
          <w:szCs w:val="18"/>
          <w:b w:val="1"/>
          <w:bCs w:val="1"/>
          <w:i w:val="1"/>
          <w:iCs w:val="1"/>
          <w:color w:val="auto"/>
        </w:rPr>
        <w:t>publicly traded partnership</w:t>
      </w:r>
      <w:r>
        <w:rPr>
          <w:rFonts w:ascii="Arial" w:cs="Arial" w:eastAsia="Arial" w:hAnsi="Arial"/>
          <w:sz w:val="18"/>
          <w:szCs w:val="18"/>
          <w:color w:val="auto"/>
        </w:rPr>
        <w:t>” within the meaning of Section 7704 of the Code and the regulations promulgated thereunder.</w:t>
      </w:r>
    </w:p>
    <w:p>
      <w:pPr>
        <w:spacing w:after="0" w:line="170" w:lineRule="exact"/>
        <w:rPr>
          <w:sz w:val="20"/>
          <w:szCs w:val="20"/>
          <w:color w:val="auto"/>
        </w:rPr>
      </w:pPr>
    </w:p>
    <w:p>
      <w:pPr>
        <w:jc w:val="both"/>
        <w:ind w:left="340" w:firstLine="1296"/>
        <w:spacing w:after="0" w:line="259" w:lineRule="auto"/>
        <w:rPr>
          <w:sz w:val="20"/>
          <w:szCs w:val="20"/>
          <w:color w:val="auto"/>
        </w:rPr>
      </w:pPr>
      <w:r>
        <w:rPr>
          <w:rFonts w:ascii="Arial" w:cs="Arial" w:eastAsia="Arial" w:hAnsi="Arial"/>
          <w:sz w:val="18"/>
          <w:szCs w:val="18"/>
          <w:color w:val="auto"/>
        </w:rPr>
        <w:t xml:space="preserve">All determinations with respect to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be made by the Managing Member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all such determinations with respect to a Member holding at least 5% of the Class A Percentage Interest or Class B Percentage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as applicable, or a Member holding at least 5% of the aggregate number of Series A Preferred Units then owned by all Members shall, in each case, be made by the Managing Member exercising its reasonable discretion.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980"/>
        <w:spacing w:after="0" w:line="291" w:lineRule="auto"/>
        <w:tabs>
          <w:tab w:leader="none" w:pos="121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In addition, notwithstanding any contrary provision in this Agreement, to the extent the Managing Member shall reasonably determine that interests in the Company do not meet the requirements of Treasury Regulations Section 1.7704-1(h) (determined taking into account the rules of Treasury Regulations Section 1.7704-1(h)(3);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such purpose, the Company and the Managing Member shall assume that each Original Member is treated as a single partner within the meaning of Treasury Regulations Section 1.7704-1(h) (determined taking into account the rules of Treasury Regulations Section 1.7704-1(h)(3)) unless otherwise required by applicable Law), the Managing Member may impose such restrictions on the Transfer of Units or other interests in the Company as the Managing Member may reasonably determine to be necessary or advisable so that the Company is not treated as a “</w:t>
      </w:r>
      <w:r>
        <w:rPr>
          <w:rFonts w:ascii="Arial" w:cs="Arial" w:eastAsia="Arial" w:hAnsi="Arial"/>
          <w:sz w:val="16"/>
          <w:szCs w:val="16"/>
          <w:b w:val="1"/>
          <w:bCs w:val="1"/>
          <w:i w:val="1"/>
          <w:iCs w:val="1"/>
          <w:color w:val="auto"/>
        </w:rPr>
        <w:t>publicly traded partnership</w:t>
      </w:r>
      <w:r>
        <w:rPr>
          <w:rFonts w:ascii="Arial" w:cs="Arial" w:eastAsia="Arial" w:hAnsi="Arial"/>
          <w:sz w:val="16"/>
          <w:szCs w:val="16"/>
          <w:color w:val="auto"/>
        </w:rPr>
        <w:t>” within the meaning of Section 7704 of the Code and the regulations promulgated thereunder.</w:t>
      </w:r>
    </w:p>
    <w:p>
      <w:pPr>
        <w:spacing w:after="0" w:line="166" w:lineRule="exact"/>
        <w:rPr>
          <w:rFonts w:ascii="Arial" w:cs="Arial" w:eastAsia="Arial" w:hAnsi="Arial"/>
          <w:sz w:val="16"/>
          <w:szCs w:val="16"/>
          <w:color w:val="auto"/>
        </w:rPr>
      </w:pPr>
    </w:p>
    <w:p>
      <w:pPr>
        <w:ind w:firstLine="980"/>
        <w:spacing w:after="0" w:line="342" w:lineRule="auto"/>
        <w:tabs>
          <w:tab w:leader="none" w:pos="122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Transfers of Units (other than (i) pursuant to an Exchange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(ii) a Transfer of preferred Units) that are otherwise permitted by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may only be made on the first day of a fiscal quarter of the Company, unless the Managing Member otherwise agrees.</w:t>
      </w:r>
    </w:p>
    <w:p>
      <w:pPr>
        <w:spacing w:after="0" w:line="123" w:lineRule="exact"/>
        <w:rPr>
          <w:rFonts w:ascii="Arial" w:cs="Arial" w:eastAsia="Arial" w:hAnsi="Arial"/>
          <w:sz w:val="16"/>
          <w:szCs w:val="16"/>
          <w:color w:val="auto"/>
        </w:rPr>
      </w:pPr>
    </w:p>
    <w:p>
      <w:pPr>
        <w:ind w:left="1240" w:hanging="260"/>
        <w:spacing w:after="0"/>
        <w:tabs>
          <w:tab w:leader="none" w:pos="12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law, any Transfer in violation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be deemed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w:t>
      </w:r>
    </w:p>
    <w:p>
      <w:pPr>
        <w:spacing w:after="0" w:line="206" w:lineRule="exact"/>
        <w:rPr>
          <w:rFonts w:ascii="Arial" w:cs="Arial" w:eastAsia="Arial" w:hAnsi="Arial"/>
          <w:sz w:val="17"/>
          <w:szCs w:val="17"/>
          <w:color w:val="auto"/>
        </w:rPr>
      </w:pPr>
    </w:p>
    <w:p>
      <w:pPr>
        <w:ind w:left="1220" w:hanging="240"/>
        <w:spacing w:after="0"/>
        <w:tabs>
          <w:tab w:leader="none" w:pos="12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Promptly following the occurrence of any Transfer, the Company shall cause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to be updated to reflect the occurrence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Transfer.</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b w:val="1"/>
          <w:bCs w:val="1"/>
          <w:color w:val="auto"/>
        </w:rPr>
        <w:t>Rights of Assignees.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8.04(b)</w:t>
      </w:r>
      <w:r>
        <w:rPr>
          <w:rFonts w:ascii="Arial" w:cs="Arial" w:eastAsia="Arial" w:hAnsi="Arial"/>
          <w:sz w:val="18"/>
          <w:szCs w:val="18"/>
          <w:color w:val="auto"/>
        </w:rPr>
        <w:t xml:space="preserve">, the Transferee of any permitted Transfer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be an assignee only (“</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and only will receive, to the extent transferred, the distributions and allocations of income, gain, loss, deduction, credit or similar item to which the Member which transferred its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Units to one or more Assignees until such time as the Assignee(s) is admitted to the Company as a Member pursuant to </w:t>
      </w:r>
      <w:r>
        <w:rPr>
          <w:rFonts w:ascii="Arial" w:cs="Arial" w:eastAsia="Arial" w:hAnsi="Arial"/>
          <w:sz w:val="18"/>
          <w:szCs w:val="18"/>
          <w:u w:val="single" w:color="auto"/>
          <w:color w:val="auto"/>
        </w:rPr>
        <w:t>Section 8.07</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b w:val="1"/>
          <w:bCs w:val="1"/>
          <w:color w:val="auto"/>
        </w:rPr>
        <w:t>Admissions, Resignations and Removals.</w:t>
      </w:r>
    </w:p>
    <w:p>
      <w:pPr>
        <w:spacing w:after="0" w:line="229" w:lineRule="exact"/>
        <w:rPr>
          <w:sz w:val="20"/>
          <w:szCs w:val="20"/>
          <w:color w:val="auto"/>
        </w:rPr>
      </w:pPr>
    </w:p>
    <w:p>
      <w:pPr>
        <w:jc w:val="both"/>
        <w:ind w:firstLine="980"/>
        <w:spacing w:after="0" w:line="257" w:lineRule="auto"/>
        <w:tabs>
          <w:tab w:leader="none" w:pos="121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 Person may be admitted to the Company as an additional Managing Member or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980"/>
        <w:spacing w:after="0" w:line="263" w:lineRule="auto"/>
        <w:tabs>
          <w:tab w:leader="none" w:pos="123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No Member will be removed or entitled to resign from being a Member of the Company except in accordance with </w:t>
      </w:r>
      <w:r>
        <w:rPr>
          <w:rFonts w:ascii="Arial" w:cs="Arial" w:eastAsia="Arial" w:hAnsi="Arial"/>
          <w:sz w:val="18"/>
          <w:szCs w:val="18"/>
          <w:u w:val="single" w:color="auto"/>
          <w:color w:val="auto"/>
        </w:rPr>
        <w:t>Section 8.08</w:t>
      </w:r>
      <w:r>
        <w:rPr>
          <w:rFonts w:ascii="Arial" w:cs="Arial" w:eastAsia="Arial" w:hAnsi="Arial"/>
          <w:sz w:val="18"/>
          <w:szCs w:val="18"/>
          <w:color w:val="auto"/>
        </w:rPr>
        <w:t xml:space="preserve"> hereof. Any additional Managing Member or substitute Managing Member admitted as a Managing Member of the Company pursuant to this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is hereby authorized to, and shall, continue the Company without dissolution.</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22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the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18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8.07 </w:t>
      </w:r>
      <w:r>
        <w:rPr>
          <w:rFonts w:ascii="Arial" w:cs="Arial" w:eastAsia="Arial" w:hAnsi="Arial"/>
          <w:sz w:val="18"/>
          <w:szCs w:val="18"/>
          <w:b w:val="1"/>
          <w:bCs w:val="1"/>
          <w:color w:val="auto"/>
        </w:rPr>
        <w:t>Admission of Assignees as Substitute Members.</w:t>
      </w:r>
      <w:r>
        <w:rPr>
          <w:rFonts w:ascii="Arial" w:cs="Arial" w:eastAsia="Arial" w:hAnsi="Arial"/>
          <w:sz w:val="18"/>
          <w:szCs w:val="18"/>
          <w:color w:val="auto"/>
        </w:rPr>
        <w:t xml:space="preserve"> An Assignee will become a substitute Member only if and when each of the following conditions is satisfied:</w:t>
      </w:r>
    </w:p>
    <w:p>
      <w:pPr>
        <w:spacing w:after="0" w:line="166" w:lineRule="exact"/>
        <w:rPr>
          <w:sz w:val="20"/>
          <w:szCs w:val="20"/>
          <w:color w:val="auto"/>
        </w:rPr>
      </w:pPr>
    </w:p>
    <w:p>
      <w:pPr>
        <w:jc w:val="both"/>
        <w:ind w:firstLine="980"/>
        <w:spacing w:after="0" w:line="263" w:lineRule="auto"/>
        <w:tabs>
          <w:tab w:leader="none" w:pos="12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Managing Member consents in writing to such admission, which consent may be given or withheld, or made subject to such conditions as are determined by the Managing Member, in each case, in the Managing Member’s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 Assignee of preferred Units, the Managing Member shall not unreasonably withhold, condition or delay such consent;</w:t>
      </w:r>
    </w:p>
    <w:p>
      <w:pPr>
        <w:spacing w:after="0" w:line="183" w:lineRule="exact"/>
        <w:rPr>
          <w:rFonts w:ascii="Arial" w:cs="Arial" w:eastAsia="Arial" w:hAnsi="Arial"/>
          <w:sz w:val="18"/>
          <w:szCs w:val="18"/>
          <w:color w:val="auto"/>
        </w:rPr>
      </w:pPr>
    </w:p>
    <w:p>
      <w:pPr>
        <w:jc w:val="both"/>
        <w:ind w:firstLine="980"/>
        <w:spacing w:after="0" w:line="259" w:lineRule="auto"/>
        <w:tabs>
          <w:tab w:leader="none" w:pos="124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required by the Managing Member, the Managing Member receives written instruments (including, without limitation, copies of any instruments of Transfer and such Assignee’s consent to be bound by this Agreement as a substitute Member) that are in a form satisfactory to the Managing Member (as determined in its sole discretion, in the case of an Assignee of Units other than preferred Units, and as reasonably determined by the Managing Member, in the case of preferred Units);</w:t>
      </w:r>
    </w:p>
    <w:p>
      <w:pPr>
        <w:spacing w:after="0" w:line="186" w:lineRule="exact"/>
        <w:rPr>
          <w:rFonts w:ascii="Arial" w:cs="Arial" w:eastAsia="Arial" w:hAnsi="Arial"/>
          <w:sz w:val="18"/>
          <w:szCs w:val="18"/>
          <w:color w:val="auto"/>
        </w:rPr>
      </w:pPr>
    </w:p>
    <w:p>
      <w:pPr>
        <w:ind w:right="20" w:firstLine="980"/>
        <w:spacing w:after="0" w:line="277" w:lineRule="auto"/>
        <w:tabs>
          <w:tab w:leader="none" w:pos="122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required by the Managing Member, the Managing Member receives an opinion of counsel satisfactory to the Managing Member to the effect that such Transfer is in compliance with this Agreement and all applicable Law; and</w:t>
      </w:r>
    </w:p>
    <w:p>
      <w:pPr>
        <w:spacing w:after="0" w:line="170" w:lineRule="exact"/>
        <w:rPr>
          <w:rFonts w:ascii="Arial" w:cs="Arial" w:eastAsia="Arial" w:hAnsi="Arial"/>
          <w:sz w:val="18"/>
          <w:szCs w:val="18"/>
          <w:color w:val="auto"/>
        </w:rPr>
      </w:pPr>
    </w:p>
    <w:p>
      <w:pPr>
        <w:ind w:firstLine="980"/>
        <w:spacing w:after="0" w:line="277" w:lineRule="auto"/>
        <w:tabs>
          <w:tab w:leader="none" w:pos="12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required by the Managing Member, the parties to the Transfer, or any one of them, pays all of the Company’s reasonable expenses connected with such Transfer (including, but not limited to, the reasonable legal and accounting fees of the Company).</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b w:val="1"/>
          <w:bCs w:val="1"/>
          <w:color w:val="auto"/>
        </w:rPr>
        <w:t>Resignation and Removal of Members.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8.05</w:t>
      </w:r>
      <w:r>
        <w:rPr>
          <w:rFonts w:ascii="Arial" w:cs="Arial" w:eastAsia="Arial" w:hAnsi="Arial"/>
          <w:sz w:val="18"/>
          <w:szCs w:val="18"/>
          <w:color w:val="auto"/>
        </w:rPr>
        <w:t>, if a Member (other than the Managing Member) ceases to hold any Units then such Member shall cease to be a Member and to have the power to exercise any rights or powers of a member of the Company, and shall be deemed to have resigned from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8.09 </w:t>
      </w:r>
      <w:r>
        <w:rPr>
          <w:rFonts w:ascii="Arial" w:cs="Arial" w:eastAsia="Arial" w:hAnsi="Arial"/>
          <w:sz w:val="18"/>
          <w:szCs w:val="18"/>
          <w:b w:val="1"/>
          <w:bCs w:val="1"/>
          <w:color w:val="auto"/>
        </w:rPr>
        <w:t>Withholding.</w:t>
      </w:r>
      <w:r>
        <w:rPr>
          <w:rFonts w:ascii="Arial" w:cs="Arial" w:eastAsia="Arial" w:hAnsi="Arial"/>
          <w:sz w:val="18"/>
          <w:szCs w:val="18"/>
          <w:color w:val="auto"/>
        </w:rPr>
        <w:t xml:space="preserve"> In the event any transfer is permitted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the transferring parties shall demonstrate to the satisfaction of the Managing Member either that no withholding is required in connection with such transfer under applicable U.S. federal, state, local or non-U.S. law (including under Section 1445 or 1446 of the Code) or that any amounts required to be withheld in connection with such transfer under applicable U.S. federal, state, local or non-U.S. law (including under Section 1446 of the Code, other than by reason of Section 1446(f)(4)) have been so withheld.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firstLine="648"/>
        <w:spacing w:after="0" w:line="25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color w:val="auto"/>
        </w:rPr>
        <w:t>Allocations in Respect of Transferred Units.</w:t>
      </w:r>
      <w:r>
        <w:rPr>
          <w:rFonts w:ascii="Arial" w:cs="Arial" w:eastAsia="Arial" w:hAnsi="Arial"/>
          <w:sz w:val="18"/>
          <w:szCs w:val="18"/>
          <w:color w:val="auto"/>
        </w:rPr>
        <w:t xml:space="preserve"> Profits or Losses shall be allocated to the Members of the Company so as to take into account the varying interests of the Members in the Company using an “interim closing of the books” method in a manner that complies with the provisions of Section 706 of the Code and the Treasury Regulations thereunder. If during any taxable year there is any other change in any Member’s Units in the Company, the Company shall allocate the Profits or Losses to the Members of the Company so as to take into account the varying interests of the Members in the Company using an “interim closing of the books” method in a manner that complies with the provisions of Section 706 of the Code and the Treasury Regulations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allocations may instead be made in another manner that complies with the provisions of Section 706 of the Code and the Treasury Regulations thereunder and that is selected by the Managing Member in consultation with the Original Member Representative.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b w:val="1"/>
          <w:bCs w:val="1"/>
          <w:color w:val="auto"/>
        </w:rPr>
        <w:t>No Dissolution.</w:t>
      </w:r>
      <w:r>
        <w:rPr>
          <w:rFonts w:ascii="Arial" w:cs="Arial" w:eastAsia="Arial" w:hAnsi="Arial"/>
          <w:sz w:val="18"/>
          <w:szCs w:val="18"/>
          <w:color w:val="auto"/>
        </w:rPr>
        <w:t xml:space="preserve"> Except as required by the Act, the Company shall not be dissolved by the admission of additional Members or resignation of Members in accordance with the terms of this Agreement. The Company may be dissolved, liquidated, wound up and terminated only pursuant 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and the Members hereby irrevocably waive any and all other rights they may have to cause a dissolution of the Company or a sale or partition of any or all of the Company assets.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b w:val="1"/>
          <w:bCs w:val="1"/>
          <w:color w:val="auto"/>
        </w:rPr>
        <w:t>Events Causing Dissolution.</w:t>
      </w:r>
      <w:r>
        <w:rPr>
          <w:rFonts w:ascii="Arial" w:cs="Arial" w:eastAsia="Arial" w:hAnsi="Arial"/>
          <w:sz w:val="16"/>
          <w:szCs w:val="16"/>
          <w:color w:val="auto"/>
        </w:rPr>
        <w:t xml:space="preserve"> The Company shall be dissolved and its affairs shall be wound up upon the occurrence of any of the following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ind w:firstLine="980"/>
        <w:spacing w:after="0" w:line="277" w:lineRule="auto"/>
        <w:tabs>
          <w:tab w:leader="none" w:pos="123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upon the finding by a court of competent jurisdiction that it is not reasonably practicable to carry on the business of the Company in conformity with this Agreement;</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event which makes it unlawful for the business of the Company to be carried on by the Members;</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written consent of all Members;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Act; or</w:t>
      </w:r>
    </w:p>
    <w:p>
      <w:pPr>
        <w:spacing w:after="0" w:line="225" w:lineRule="exact"/>
        <w:rPr>
          <w:rFonts w:ascii="Arial" w:cs="Arial" w:eastAsia="Arial" w:hAnsi="Arial"/>
          <w:sz w:val="18"/>
          <w:szCs w:val="18"/>
          <w:color w:val="auto"/>
        </w:rPr>
      </w:pPr>
    </w:p>
    <w:p>
      <w:pPr>
        <w:jc w:val="both"/>
        <w:ind w:firstLine="980"/>
        <w:spacing w:after="0" w:line="255" w:lineRule="auto"/>
        <w:tabs>
          <w:tab w:leader="none" w:pos="12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determination of the Managing Member in its reasonable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of a dissolution pursuant to this clause (e), the relative economic rights of each Class of Units immediately prior to such dissolution shall be preserved to the greatest extent practicable with respect to distributions made to Members pursuant to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below in connection with the winding up of the Company, taking into consideration tax and other legal constraints that may adversely affect one or more parties hereto and subject to compliance with applicable laws and regulations, unless, and to the extent that, with respect to any Class of Units, holders of not less than 90% of the Units of such Class consent in writing to a treatment other than as described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648"/>
        <w:spacing w:after="0" w:line="258"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b w:val="1"/>
          <w:bCs w:val="1"/>
          <w:color w:val="auto"/>
        </w:rPr>
        <w:t>Distribution upon Dissolution.</w:t>
      </w:r>
      <w:r>
        <w:rPr>
          <w:rFonts w:ascii="Arial" w:cs="Arial" w:eastAsia="Arial" w:hAnsi="Arial"/>
          <w:sz w:val="18"/>
          <w:szCs w:val="18"/>
          <w:color w:val="auto"/>
        </w:rPr>
        <w:t xml:space="preserve"> Upon dissolution, the Company shall not be terminated and shall continue until the winding up of the affairs of the Company is completed. Upon the winding up of the Company, the Managing Member, or any other Person designated by the Managing Member (the “</w:t>
      </w:r>
      <w:r>
        <w:rPr>
          <w:rFonts w:ascii="Arial" w:cs="Arial" w:eastAsia="Arial" w:hAnsi="Arial"/>
          <w:sz w:val="18"/>
          <w:szCs w:val="18"/>
          <w:b w:val="1"/>
          <w:bCs w:val="1"/>
          <w:i w:val="1"/>
          <w:iCs w:val="1"/>
          <w:color w:val="auto"/>
        </w:rPr>
        <w:t>Liquidation Agent</w:t>
      </w:r>
      <w:r>
        <w:rPr>
          <w:rFonts w:ascii="Arial" w:cs="Arial" w:eastAsia="Arial" w:hAnsi="Arial"/>
          <w:sz w:val="18"/>
          <w:szCs w:val="18"/>
          <w:color w:val="auto"/>
        </w:rPr>
        <w:t>”), shall take full account of the assets and liabilities of the Company and shall, unless the Managing Member determines otherwise, liquidate the assets of the Company as promptly as is consistent with obtaining the fair value thereof. The proceeds of any liquidation shall be applied and distributed in the following order:</w:t>
      </w:r>
    </w:p>
    <w:p>
      <w:pPr>
        <w:spacing w:after="0" w:line="187" w:lineRule="exact"/>
        <w:rPr>
          <w:sz w:val="20"/>
          <w:szCs w:val="20"/>
          <w:color w:val="auto"/>
        </w:rPr>
      </w:pPr>
    </w:p>
    <w:p>
      <w:pPr>
        <w:jc w:val="both"/>
        <w:ind w:firstLine="980"/>
        <w:spacing w:after="0" w:line="273" w:lineRule="auto"/>
        <w:tabs>
          <w:tab w:leader="none" w:pos="124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First, to the satisfaction of debts and liabilities of the Company (including satisfaction of all indebtedness to Members and/or their Affiliates to the extent otherwise permitted by law) including the expenses of liquidation, and including the establishment of any reserve which the Liquidation Agent shall deem reasonably necessary for any contingent, conditional or unmatured contractual liabilities or obligations of the Company (“</w:t>
      </w:r>
      <w:r>
        <w:rPr>
          <w:rFonts w:ascii="Arial" w:cs="Arial" w:eastAsia="Arial" w:hAnsi="Arial"/>
          <w:sz w:val="17"/>
          <w:szCs w:val="17"/>
          <w:b w:val="1"/>
          <w:bCs w:val="1"/>
          <w:i w:val="1"/>
          <w:iCs w:val="1"/>
          <w:color w:val="auto"/>
        </w:rPr>
        <w:t>Contingencies</w:t>
      </w:r>
      <w:r>
        <w:rPr>
          <w:rFonts w:ascii="Arial" w:cs="Arial" w:eastAsia="Arial" w:hAnsi="Arial"/>
          <w:sz w:val="17"/>
          <w:szCs w:val="17"/>
          <w:color w:val="auto"/>
        </w:rPr>
        <w:t xml:space="preserve">”). Any such reserve may be paid over by the Liquidation Agent to any attorney-at-law, or acceptable party, as escrow agent, to be held for disbursement in payment of any Contingencies and, at the expiration of such period as shall be deemed advisable by the Liquidation Agent for distribution of the balance in the manner hereinafter provided in this </w:t>
      </w:r>
      <w:r>
        <w:rPr>
          <w:rFonts w:ascii="Arial" w:cs="Arial" w:eastAsia="Arial" w:hAnsi="Arial"/>
          <w:sz w:val="17"/>
          <w:szCs w:val="17"/>
          <w:u w:val="single" w:color="auto"/>
          <w:color w:val="auto"/>
        </w:rPr>
        <w:t>Section 9.03</w:t>
      </w:r>
      <w:r>
        <w:rPr>
          <w:rFonts w:ascii="Arial" w:cs="Arial" w:eastAsia="Arial" w:hAnsi="Arial"/>
          <w:sz w:val="17"/>
          <w:szCs w:val="17"/>
          <w:color w:val="auto"/>
        </w:rPr>
        <w:t>; and</w:t>
      </w:r>
    </w:p>
    <w:p>
      <w:pPr>
        <w:spacing w:after="0" w:line="177" w:lineRule="exact"/>
        <w:rPr>
          <w:rFonts w:ascii="Arial" w:cs="Arial" w:eastAsia="Arial" w:hAnsi="Arial"/>
          <w:sz w:val="17"/>
          <w:szCs w:val="17"/>
          <w:color w:val="auto"/>
        </w:rPr>
      </w:pPr>
    </w:p>
    <w:p>
      <w:pPr>
        <w:ind w:left="1240" w:hanging="260"/>
        <w:spacing w:after="0"/>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balance, if any, to the Members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b w:val="1"/>
          <w:bCs w:val="1"/>
          <w:color w:val="auto"/>
        </w:rPr>
        <w:t>Time for Liquidation.</w:t>
      </w:r>
      <w:r>
        <w:rPr>
          <w:rFonts w:ascii="Arial" w:cs="Arial" w:eastAsia="Arial" w:hAnsi="Arial"/>
          <w:sz w:val="18"/>
          <w:szCs w:val="18"/>
          <w:color w:val="auto"/>
        </w:rPr>
        <w:t xml:space="preserve"> A reasonable amount of time shall be allowed for the orderly liquidation of the assets of the Company and the discharge of liabilities to creditors so as to enable the Liquidation Agent to minimize the losses attendant upon such liquidation.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The Company shall terminate when all of the assets of the Company, after payment of or due provision for all debts, liabilities and obligations of the Company, shall have been distributed to the holders of Units in the manner provided for in this </w:t>
      </w:r>
      <w:r>
        <w:rPr>
          <w:rFonts w:ascii="Arial" w:cs="Arial" w:eastAsia="Arial" w:hAnsi="Arial"/>
          <w:sz w:val="18"/>
          <w:szCs w:val="18"/>
          <w:u w:val="single" w:color="auto"/>
          <w:color w:val="auto"/>
        </w:rPr>
        <w:t>ARTICLE IX</w:t>
      </w:r>
      <w:r>
        <w:rPr>
          <w:rFonts w:ascii="Arial" w:cs="Arial" w:eastAsia="Arial" w:hAnsi="Arial"/>
          <w:sz w:val="18"/>
          <w:szCs w:val="18"/>
          <w:color w:val="auto"/>
        </w:rPr>
        <w:t>, and the Certificate shall have been cancelled in the manner required by the Act.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b w:val="1"/>
          <w:bCs w:val="1"/>
          <w:color w:val="auto"/>
        </w:rPr>
        <w:t>Claims of the Members.</w:t>
      </w:r>
      <w:r>
        <w:rPr>
          <w:rFonts w:ascii="Arial" w:cs="Arial" w:eastAsia="Arial" w:hAnsi="Arial"/>
          <w:sz w:val="18"/>
          <w:szCs w:val="18"/>
          <w:color w:val="auto"/>
        </w:rPr>
        <w:t xml:space="preserve">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 No Member with a negative balance in such Member’s Capital Account shall have any obligation to the Company or to the other Members or to any creditor or other Person to restore such negative balance during the existence of the Company, upon dissolution or termination of the Company or otherwise, except to the extent required by the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b w:val="1"/>
          <w:bCs w:val="1"/>
          <w:color w:val="auto"/>
        </w:rPr>
        <w:t>Survival of Certain Provisions.</w:t>
      </w:r>
      <w:r>
        <w:rPr>
          <w:rFonts w:ascii="Arial" w:cs="Arial" w:eastAsia="Arial" w:hAnsi="Arial"/>
          <w:sz w:val="16"/>
          <w:szCs w:val="16"/>
          <w:color w:val="auto"/>
        </w:rPr>
        <w:t xml:space="preserve"> Notwithstanding anything to the contrary in this Agreement, the provisions of </w:t>
      </w:r>
      <w:r>
        <w:rPr>
          <w:rFonts w:ascii="Arial" w:cs="Arial" w:eastAsia="Arial" w:hAnsi="Arial"/>
          <w:sz w:val="16"/>
          <w:szCs w:val="16"/>
          <w:u w:val="single" w:color="auto"/>
          <w:color w:val="auto"/>
        </w:rPr>
        <w:t>Sections 5.07</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10.01</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12.10</w:t>
      </w:r>
      <w:r>
        <w:rPr>
          <w:rFonts w:ascii="Arial" w:cs="Arial" w:eastAsia="Arial" w:hAnsi="Arial"/>
          <w:sz w:val="18"/>
          <w:szCs w:val="18"/>
          <w:color w:val="auto"/>
        </w:rPr>
        <w:t xml:space="preserve"> shall survive the termination of the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AND INDEMNIFICATION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b w:val="1"/>
          <w:bCs w:val="1"/>
          <w:color w:val="auto"/>
        </w:rPr>
        <w:t>Liability of Members.</w:t>
      </w:r>
    </w:p>
    <w:p>
      <w:pPr>
        <w:spacing w:after="0" w:line="229" w:lineRule="exact"/>
        <w:rPr>
          <w:sz w:val="20"/>
          <w:szCs w:val="20"/>
          <w:color w:val="auto"/>
        </w:rPr>
      </w:pPr>
    </w:p>
    <w:p>
      <w:pPr>
        <w:jc w:val="both"/>
        <w:ind w:firstLine="980"/>
        <w:spacing w:after="0" w:line="263" w:lineRule="auto"/>
        <w:tabs>
          <w:tab w:leader="none" w:pos="122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Act.</w:t>
      </w:r>
    </w:p>
    <w:p>
      <w:pPr>
        <w:spacing w:after="0" w:line="183" w:lineRule="exact"/>
        <w:rPr>
          <w:rFonts w:ascii="Arial" w:cs="Arial" w:eastAsia="Arial" w:hAnsi="Arial"/>
          <w:sz w:val="18"/>
          <w:szCs w:val="18"/>
          <w:color w:val="auto"/>
        </w:rPr>
      </w:pPr>
    </w:p>
    <w:p>
      <w:pPr>
        <w:jc w:val="both"/>
        <w:ind w:firstLine="980"/>
        <w:spacing w:after="0" w:line="272" w:lineRule="auto"/>
        <w:tabs>
          <w:tab w:leader="none" w:pos="1253" w:val="left"/>
        </w:tabs>
        <w:numPr>
          <w:ilvl w:val="1"/>
          <w:numId w:val="184"/>
        </w:numPr>
        <w:rPr>
          <w:rFonts w:ascii="Arial" w:cs="Arial" w:eastAsia="Arial" w:hAnsi="Arial"/>
          <w:sz w:val="17"/>
          <w:szCs w:val="17"/>
          <w:color w:val="auto"/>
        </w:rPr>
      </w:pPr>
      <w:r>
        <w:rPr>
          <w:rFonts w:ascii="Arial" w:cs="Arial" w:eastAsia="Arial" w:hAnsi="Arial"/>
          <w:sz w:val="17"/>
          <w:szCs w:val="17"/>
          <w:color w:val="auto"/>
        </w:rPr>
        <w:t xml:space="preserve">This Agreement is not intended to, and does not, create or impose any duty (including any fiduciary duty) on any of the Members (including, without limitation, the Managing Member) hereto or on their respective Affiliates. Further, notwithstanding any other provision of this Agreement or any duty otherwise existing at law or in equity, the parties hereto agree that (i) no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and (ii) the Managing Member shall not, to the fullest extent permitted by law, have duties (including fiduciary duties) to any Member or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Member and each Manager shall have the duty to act in accordance with the implied contractual covenant of good faith and fair dealing.</w:t>
      </w:r>
    </w:p>
    <w:p>
      <w:pPr>
        <w:spacing w:after="0" w:line="177" w:lineRule="exact"/>
        <w:rPr>
          <w:rFonts w:ascii="Arial" w:cs="Arial" w:eastAsia="Arial" w:hAnsi="Arial"/>
          <w:sz w:val="17"/>
          <w:szCs w:val="17"/>
          <w:color w:val="auto"/>
        </w:rPr>
      </w:pPr>
    </w:p>
    <w:p>
      <w:pPr>
        <w:jc w:val="both"/>
        <w:ind w:firstLine="980"/>
        <w:spacing w:after="0" w:line="272" w:lineRule="auto"/>
        <w:tabs>
          <w:tab w:leader="none" w:pos="1223"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To the extent that, at law or in equity, any Member (including without limitation, the Managing Member) has duties (including fiduciary duties) and liabilities relating thereto to the Company, to another Member or to another Person who is a party to or is otherwise bound by this Agreement, the Members (including without limitation, the Managing Member)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or in equity, are agreed by the Members to replace to that extent such other duties and liabilities of the Members relating thereto (including without limitation, the Managing Member).</w:t>
      </w:r>
    </w:p>
    <w:p>
      <w:pPr>
        <w:spacing w:after="0" w:line="177" w:lineRule="exact"/>
        <w:rPr>
          <w:rFonts w:ascii="Arial" w:cs="Arial" w:eastAsia="Arial" w:hAnsi="Arial"/>
          <w:sz w:val="17"/>
          <w:szCs w:val="17"/>
          <w:color w:val="auto"/>
        </w:rPr>
      </w:pPr>
    </w:p>
    <w:p>
      <w:pPr>
        <w:jc w:val="both"/>
        <w:ind w:firstLine="980"/>
        <w:spacing w:after="0" w:line="255" w:lineRule="auto"/>
        <w:tabs>
          <w:tab w:leader="none" w:pos="122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192" w:lineRule="exact"/>
        <w:rPr>
          <w:rFonts w:ascii="Arial" w:cs="Arial" w:eastAsia="Arial" w:hAnsi="Arial"/>
          <w:sz w:val="18"/>
          <w:szCs w:val="18"/>
          <w:color w:val="auto"/>
        </w:rPr>
      </w:pPr>
    </w:p>
    <w:p>
      <w:pPr>
        <w:jc w:val="both"/>
        <w:ind w:firstLine="980"/>
        <w:spacing w:after="0" w:line="286" w:lineRule="auto"/>
        <w:tabs>
          <w:tab w:leader="none" w:pos="121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or otherwise applicable provision of law or equity, whenever in this Agreement the Managing Member is permitted or required to make a decision (i) in its “sole discretion” or under a grant of similar authority or latitude, the Managing Member shall be entitled to consider such interests and factors as the Managing Member desires, including its own interests, and shall, to the fullest extent permitted by applicable Law, have no duty or obligation to give any consideration to any interest of or factors affecting the Company or the Members, or</w:t>
      </w:r>
    </w:p>
    <w:p>
      <w:pPr>
        <w:spacing w:after="0" w:line="1" w:lineRule="exact"/>
        <w:rPr>
          <w:rFonts w:ascii="Arial" w:cs="Arial" w:eastAsia="Arial" w:hAnsi="Arial"/>
          <w:sz w:val="16"/>
          <w:szCs w:val="16"/>
          <w:color w:val="auto"/>
        </w:rPr>
      </w:pPr>
    </w:p>
    <w:p>
      <w:pPr>
        <w:ind w:firstLine="8"/>
        <w:spacing w:after="0" w:line="260" w:lineRule="auto"/>
        <w:tabs>
          <w:tab w:leader="none" w:pos="27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its “good faith” or under another expressed standard, the Managing Member shall act under such express standard and shall not be subject to any other or different standards.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left="66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980"/>
        <w:spacing w:after="0" w:line="283" w:lineRule="auto"/>
        <w:tabs>
          <w:tab w:leader="none" w:pos="1230" w:val="left"/>
        </w:tabs>
        <w:numPr>
          <w:ilvl w:val="1"/>
          <w:numId w:val="186"/>
        </w:numPr>
        <w:rPr>
          <w:rFonts w:ascii="Arial" w:cs="Arial" w:eastAsia="Arial" w:hAnsi="Arial"/>
          <w:sz w:val="16"/>
          <w:szCs w:val="16"/>
          <w:color w:val="auto"/>
        </w:rPr>
      </w:pPr>
      <w:r>
        <w:rPr>
          <w:rFonts w:ascii="Arial" w:cs="Arial" w:eastAsia="Arial" w:hAnsi="Arial"/>
          <w:sz w:val="16"/>
          <w:szCs w:val="16"/>
          <w:b w:val="1"/>
          <w:bCs w:val="1"/>
          <w:color w:val="auto"/>
        </w:rPr>
        <w:t xml:space="preserve">Exculpation and Indemnification. </w:t>
      </w:r>
      <w:r>
        <w:rPr>
          <w:rFonts w:ascii="Arial" w:cs="Arial" w:eastAsia="Arial" w:hAnsi="Arial"/>
          <w:sz w:val="16"/>
          <w:szCs w:val="16"/>
          <w:color w:val="auto"/>
        </w:rPr>
        <w:t>Notwithstanding any other provision of this Agreement, whether express or implied,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law, no Indemnitee shall be liable to the Company or any Member for any act or omission in relation to the Company or this Agreement or any transaction contemplated hereby taken or omitted by an Indemnitee unless such Indemnitee’s conduct constituted fraud, bad faith or willful misconduct. To the fullest extent permitted by law, as the same exists or hereafter be amended (but in the case of any such amendment, only to the extent that such amendment permits the Company to provide broader indemnification rights than such law permitted the Company to provide prior to such amendment), the Company shall indemnify any Indemnitee who was or is made or is threatened to be made a party to or is otherwise involved in any threatened, pending or completed action, suit or proceeding (brought in the right of the Company or otherwise), whether civil, criminal, administrative, arbitrative or investigative, and whether formal or informal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including appeals, by reason of his, her or its status as an Indemnitee or by reason of any action alleged to have been taken or omitted to be taken by Indemnitee in such capacity, for and against all loss and liability suffered and expenses (including attorneys’ fees), judgments, fines and amounts paid in settlement reasonably incurred by such Indemnitee in connection with such action, suit or proceeding, including appeals;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Indemnitee shall not be entitled to indemnification hereunder if, but only to the extent that, such Indemnitee’s conduct constituted fraud, bad faith or willful misconduct. Notwithstanding the preceding sentence, except as otherwise provided in </w:t>
      </w:r>
      <w:r>
        <w:rPr>
          <w:rFonts w:ascii="Arial" w:cs="Arial" w:eastAsia="Arial" w:hAnsi="Arial"/>
          <w:sz w:val="16"/>
          <w:szCs w:val="16"/>
          <w:u w:val="single" w:color="auto"/>
          <w:color w:val="auto"/>
        </w:rPr>
        <w:t>Section 10.02(c)</w:t>
      </w:r>
      <w:r>
        <w:rPr>
          <w:rFonts w:ascii="Arial" w:cs="Arial" w:eastAsia="Arial" w:hAnsi="Arial"/>
          <w:sz w:val="16"/>
          <w:szCs w:val="16"/>
          <w:color w:val="auto"/>
        </w:rPr>
        <w:t>, the Company shall be required to indemnify an Indemnitee in connection with any action, suit or proceeding (or part thereof)</w:t>
      </w:r>
    </w:p>
    <w:p>
      <w:pPr>
        <w:spacing w:after="0" w:line="5" w:lineRule="exact"/>
        <w:rPr>
          <w:rFonts w:ascii="Arial" w:cs="Arial" w:eastAsia="Arial" w:hAnsi="Arial"/>
          <w:sz w:val="16"/>
          <w:szCs w:val="16"/>
          <w:color w:val="auto"/>
        </w:rPr>
      </w:pPr>
    </w:p>
    <w:p>
      <w:pPr>
        <w:jc w:val="both"/>
        <w:ind w:firstLine="8"/>
        <w:spacing w:after="0" w:line="287" w:lineRule="auto"/>
        <w:tabs>
          <w:tab w:leader="none" w:pos="21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commenced by such Indemnitee only if the commencement of such action, suit or proceeding (or part thereof) by such Indemnitee was authorized by the Managing Member, and (ii) by or in the right of the Company only if the Managing Member has provided its prior written consent. The indemnification of an Indemnitee of the type identified in clause (e) of the definition of Indemnitee shall be secondary to any and all indemnification to which such Indemnitee is entitled from the relevant other Person (including any payment made to such Indemnitee under any insurance policy issued to or for the benefit of such Person or Indemnitee) (the “</w:t>
      </w:r>
      <w:r>
        <w:rPr>
          <w:rFonts w:ascii="Arial" w:cs="Arial" w:eastAsia="Arial" w:hAnsi="Arial"/>
          <w:sz w:val="16"/>
          <w:szCs w:val="16"/>
          <w:b w:val="1"/>
          <w:bCs w:val="1"/>
          <w:i w:val="1"/>
          <w:iCs w:val="1"/>
          <w:color w:val="auto"/>
        </w:rPr>
        <w:t>Primary Indemnification</w:t>
      </w:r>
      <w:r>
        <w:rPr>
          <w:rFonts w:ascii="Arial" w:cs="Arial" w:eastAsia="Arial" w:hAnsi="Arial"/>
          <w:sz w:val="16"/>
          <w:szCs w:val="16"/>
          <w:color w:val="auto"/>
        </w:rPr>
        <w:t>”), and will only be paid to the extent the Primary Indemnification is not paid and/or does not provide coverage (e.g., a self- insured retention amount under an insurance policy). No such Person shall be entitled to contribution or indemnification from or subrogation against the Company. The indemnification of any other Indemnitee shall, to the extent not in conflict with such policy, be secondary to any and all payment to which such Indemnitee is entitled from any relevant insurance policy issued to or for the benefit of the Company or any Indemnitee.</w:t>
      </w:r>
    </w:p>
    <w:p>
      <w:pPr>
        <w:spacing w:after="0" w:line="165" w:lineRule="exact"/>
        <w:rPr>
          <w:rFonts w:ascii="Arial" w:cs="Arial" w:eastAsia="Arial" w:hAnsi="Arial"/>
          <w:sz w:val="16"/>
          <w:szCs w:val="16"/>
          <w:color w:val="auto"/>
        </w:rPr>
      </w:pPr>
    </w:p>
    <w:p>
      <w:pPr>
        <w:jc w:val="both"/>
        <w:ind w:firstLine="980"/>
        <w:spacing w:after="0" w:line="292" w:lineRule="auto"/>
        <w:tabs>
          <w:tab w:leader="none" w:pos="1240" w:val="left"/>
        </w:tabs>
        <w:numPr>
          <w:ilvl w:val="1"/>
          <w:numId w:val="187"/>
        </w:numPr>
        <w:rPr>
          <w:rFonts w:ascii="Arial" w:cs="Arial" w:eastAsia="Arial" w:hAnsi="Arial"/>
          <w:sz w:val="16"/>
          <w:szCs w:val="16"/>
          <w:color w:val="auto"/>
        </w:rPr>
      </w:pPr>
      <w:r>
        <w:rPr>
          <w:rFonts w:ascii="Arial" w:cs="Arial" w:eastAsia="Arial" w:hAnsi="Arial"/>
          <w:sz w:val="16"/>
          <w:szCs w:val="16"/>
          <w:b w:val="1"/>
          <w:bCs w:val="1"/>
          <w:color w:val="auto"/>
        </w:rPr>
        <w:t xml:space="preserve">Advancement of Expenses. </w:t>
      </w:r>
      <w:r>
        <w:rPr>
          <w:rFonts w:ascii="Arial" w:cs="Arial" w:eastAsia="Arial" w:hAnsi="Arial"/>
          <w:sz w:val="16"/>
          <w:szCs w:val="16"/>
          <w:color w:val="auto"/>
        </w:rPr>
        <w:t>To the fullest extent permitted by law, the Company shall promptly pay reasonable expenses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attorneys’ fees) incurred by any Indemnitee in appearing at, participating in or defending any Proceeding in advance of the final disposition of such Proceeding, including appeals, upon presentation of an undertaking on behalf of such Indemnitee to repay such amount if it shall ultimately be determined that such Indemnitee is not entitled to be indemnified under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otherwise. Notwithstanding the preceding sentence, except as otherwise provided in </w:t>
      </w:r>
      <w:r>
        <w:rPr>
          <w:rFonts w:ascii="Arial" w:cs="Arial" w:eastAsia="Arial" w:hAnsi="Arial"/>
          <w:sz w:val="16"/>
          <w:szCs w:val="16"/>
          <w:u w:val="single" w:color="auto"/>
          <w:color w:val="auto"/>
        </w:rPr>
        <w:t>Section 10.02(c)</w:t>
      </w:r>
      <w:r>
        <w:rPr>
          <w:rFonts w:ascii="Arial" w:cs="Arial" w:eastAsia="Arial" w:hAnsi="Arial"/>
          <w:sz w:val="16"/>
          <w:szCs w:val="16"/>
          <w:color w:val="auto"/>
        </w:rPr>
        <w:t>, the Company shall be required to pay expenses of an Indemnitee in connection with any Proceeding (or part thereof) (i) commenced by such Indemnitee only if the commencement of such action, suit or proceeding (or part thereof) by such Indemnitee was authorized by the Managing Member and (ii) by or in the right of the Company only if the Managing Member has provided its prior written consent.</w:t>
      </w:r>
    </w:p>
    <w:p>
      <w:pPr>
        <w:spacing w:after="0" w:line="161" w:lineRule="exact"/>
        <w:rPr>
          <w:rFonts w:ascii="Arial" w:cs="Arial" w:eastAsia="Arial" w:hAnsi="Arial"/>
          <w:sz w:val="16"/>
          <w:szCs w:val="16"/>
          <w:color w:val="auto"/>
        </w:rPr>
      </w:pPr>
    </w:p>
    <w:p>
      <w:pPr>
        <w:jc w:val="both"/>
        <w:ind w:firstLine="980"/>
        <w:spacing w:after="0" w:line="258" w:lineRule="auto"/>
        <w:tabs>
          <w:tab w:leader="none" w:pos="1216" w:val="left"/>
        </w:tabs>
        <w:numPr>
          <w:ilvl w:val="1"/>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Unpaid Claims. </w:t>
      </w:r>
      <w:r>
        <w:rPr>
          <w:rFonts w:ascii="Arial" w:cs="Arial" w:eastAsia="Arial" w:hAnsi="Arial"/>
          <w:sz w:val="18"/>
          <w:szCs w:val="18"/>
          <w:color w:val="auto"/>
        </w:rPr>
        <w:t>If a claim for indemnification (following the final disposition of such Proceeding) or advancement of expenses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is not paid in full within 30 days after a written claim therefor by any Indemnitee has been received by the Company, such Indemnitee may file proceedings to recover the unpaid amount of such claim and, if successful in whole or in part, shall be entitled to be paid the expense of prosecuting such claim. In any such action the Company shall have the burden of proving that such Indemnitee is not entitled to the requested indemnification or advancement of expenses under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980"/>
        <w:spacing w:after="0" w:line="266" w:lineRule="auto"/>
        <w:tabs>
          <w:tab w:leader="none" w:pos="1254"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Insurance. (i) </w:t>
      </w:r>
      <w:r>
        <w:rPr>
          <w:rFonts w:ascii="Arial" w:cs="Arial" w:eastAsia="Arial" w:hAnsi="Arial"/>
          <w:sz w:val="18"/>
          <w:szCs w:val="18"/>
          <w:color w:val="auto"/>
        </w:rPr>
        <w:t>To the fullest extent permitted by law, the Company may purchase and maintain insurance on behalf of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described in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against any liability asserted against such person, whether or not the Company would have the power to indemnify such person against such liability under the provisions of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otherwise.</w:t>
      </w:r>
    </w:p>
    <w:p>
      <w:pPr>
        <w:spacing w:after="0" w:line="179" w:lineRule="exact"/>
        <w:rPr>
          <w:rFonts w:ascii="Arial" w:cs="Arial" w:eastAsia="Arial" w:hAnsi="Arial"/>
          <w:sz w:val="18"/>
          <w:szCs w:val="18"/>
          <w:color w:val="auto"/>
        </w:rPr>
      </w:pPr>
    </w:p>
    <w:p>
      <w:pPr>
        <w:jc w:val="both"/>
        <w:ind w:left="340" w:firstLine="1288"/>
        <w:spacing w:after="0" w:line="273" w:lineRule="auto"/>
        <w:tabs>
          <w:tab w:leader="none" w:pos="1867"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In the event of any payment by the Company under this </w:t>
      </w:r>
      <w:r>
        <w:rPr>
          <w:rFonts w:ascii="Arial" w:cs="Arial" w:eastAsia="Arial" w:hAnsi="Arial"/>
          <w:sz w:val="17"/>
          <w:szCs w:val="17"/>
          <w:u w:val="single" w:color="auto"/>
          <w:color w:val="auto"/>
        </w:rPr>
        <w:t>Section 10.02</w:t>
      </w:r>
      <w:r>
        <w:rPr>
          <w:rFonts w:ascii="Arial" w:cs="Arial" w:eastAsia="Arial" w:hAnsi="Arial"/>
          <w:sz w:val="17"/>
          <w:szCs w:val="17"/>
          <w:color w:val="auto"/>
        </w:rPr>
        <w:t>, the Company shall be subrogated to the extent of such payment to all of the rights of recovery of the Indemnitee from any relevant other Person or under any insurance policy issued to or for the benefit of the Company, such relevant other Person, or any Indemnitee. Each Indemnitee agrees to execute all papers required and take all action necessary to secure such rights, including the execution of such documents as are necessary to enable the Company to bring suit to enforce any such rights in accordance with the terms of such insurance policy or other relevant document. The Company shall pay or reimburse all expenses actually and reasonably incurred by the Indemnitee in connection with such subrogation.</w:t>
      </w:r>
    </w:p>
    <w:p>
      <w:pPr>
        <w:spacing w:after="0" w:line="177" w:lineRule="exact"/>
        <w:rPr>
          <w:rFonts w:ascii="Arial" w:cs="Arial" w:eastAsia="Arial" w:hAnsi="Arial"/>
          <w:sz w:val="17"/>
          <w:szCs w:val="17"/>
          <w:color w:val="auto"/>
        </w:rPr>
      </w:pPr>
    </w:p>
    <w:p>
      <w:pPr>
        <w:jc w:val="both"/>
        <w:ind w:left="340" w:firstLine="1288"/>
        <w:spacing w:after="0" w:line="259" w:lineRule="auto"/>
        <w:tabs>
          <w:tab w:leader="none" w:pos="190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The Company shall not be liable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to make any payment of amounts otherwise indemnifiable hereunder (including, but not limited to, judgments, fines and amounts paid in settlement, and excise taxes with respect to an employee benefit plan or penalties) if and to the extent that the applicable Indemnitee has otherwise actually received such payment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any insurance policy, contract, agreement or otherwise.</w:t>
      </w:r>
    </w:p>
    <w:p>
      <w:pPr>
        <w:spacing w:after="0" w:line="182" w:lineRule="exact"/>
        <w:rPr>
          <w:rFonts w:ascii="Arial" w:cs="Arial" w:eastAsia="Arial" w:hAnsi="Arial"/>
          <w:sz w:val="18"/>
          <w:szCs w:val="18"/>
          <w:color w:val="auto"/>
        </w:rPr>
      </w:pPr>
    </w:p>
    <w:p>
      <w:pPr>
        <w:jc w:val="both"/>
        <w:ind w:firstLine="980"/>
        <w:spacing w:after="0" w:line="288" w:lineRule="auto"/>
        <w:tabs>
          <w:tab w:leader="none" w:pos="1216"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 xml:space="preserve">Non-Exclusivity of Rights. </w:t>
      </w:r>
      <w:r>
        <w:rPr>
          <w:rFonts w:ascii="Arial" w:cs="Arial" w:eastAsia="Arial" w:hAnsi="Arial"/>
          <w:sz w:val="16"/>
          <w:szCs w:val="16"/>
          <w:color w:val="auto"/>
        </w:rPr>
        <w:t>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10.02</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applicable to all actions, claims, suits or proceedings made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commenced after the date of this Agreement, whether arising from acts or omissions to act occurring before or after its adoption. The provisions of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be deemed to be a contract between the Company and each person entitled to indemnification under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legal representative thereof) who serves in such capacity at any time while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and the relevant provisions of applicable Law, if any, are in effect, and any amendment, modification or repeal hereof shall not affect any rights or obligations then existing with respect to any state of facts or any action, suit or proceeding then or theretofore existing, or any action, suit or proceeding thereafter brought or threatened based in whole or in part on any such state of facts. If any provision of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be found to be invalid or limited in application by reason of any law or regulation, it shall not affect the validity of the remaining provisions hereof. The rights of indemnification provided in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neither be exclusive of, nor be deemed in limitation of, any rights to which any person may otherwise be or become entitled or permitted by contract, this Agreement or as a matter of law, both as to actions in such person’s official capacity and actions in any other capacity, it being the policy of the Company that indemnification of any person whom the Company is obligated to indemnify pursuant to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shall be made to the fullest extent permitted by law.</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10.02</w:t>
      </w:r>
      <w:r>
        <w:rPr>
          <w:rFonts w:ascii="Arial" w:cs="Arial" w:eastAsia="Arial" w:hAnsi="Arial"/>
          <w:sz w:val="18"/>
          <w:szCs w:val="18"/>
          <w:color w:val="auto"/>
        </w:rPr>
        <w:t>, references to “other enterprises” shall include employee benefit plans; references to “fines” shall include any excise taxes assessed on a person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shall not limit the right of the Company, to the extent and in the manner permitted by law, to indemnify and to advance expenses to, and purchase and maintain insurance on behalf of, persons other than persons described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center"/>
        <w:ind w:right="4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 PAIRED INTERESTS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b w:val="1"/>
          <w:bCs w:val="1"/>
          <w:color w:val="auto"/>
        </w:rPr>
        <w:t>Exchange Procedure.</w:t>
      </w:r>
    </w:p>
    <w:p>
      <w:pPr>
        <w:spacing w:after="0" w:line="229" w:lineRule="exact"/>
        <w:rPr>
          <w:sz w:val="20"/>
          <w:szCs w:val="20"/>
          <w:color w:val="auto"/>
        </w:rPr>
      </w:pPr>
    </w:p>
    <w:p>
      <w:pPr>
        <w:jc w:val="both"/>
        <w:ind w:firstLine="980"/>
        <w:spacing w:after="0" w:line="254" w:lineRule="auto"/>
        <w:tabs>
          <w:tab w:leader="none" w:pos="123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From and after 180 days following the date of the consummation of the transactions described in the Managing Member’s Registration Statement on Form S-4 (File No. 333-262583), each holder of Class B Units (other than the Managing Member) (each,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shall be entitled, upon the terms and subject to the conditions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to surrender such Holder’s Paired Interests to the Company in exchange for the delivery of the Stock Exchange Payment or, at the election of the Managing Member, the Cash Exchange Payment (such exchange, a “</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and, together with a Direct Exchange (as defined below), an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absent a waiver by the Managing Member, any such Exchange is for a minimum of the lesser of (i) 100,000 Class B Units (which minimum shall be equitably adjusted in accordance with any adjustments to the Exchange Rate) and (ii) all of the Class B Units held by such Holder.</w:t>
      </w:r>
    </w:p>
    <w:p>
      <w:pPr>
        <w:spacing w:after="0" w:line="194" w:lineRule="exact"/>
        <w:rPr>
          <w:rFonts w:ascii="Arial" w:cs="Arial" w:eastAsia="Arial" w:hAnsi="Arial"/>
          <w:sz w:val="18"/>
          <w:szCs w:val="18"/>
          <w:color w:val="auto"/>
        </w:rPr>
      </w:pPr>
    </w:p>
    <w:p>
      <w:pPr>
        <w:jc w:val="both"/>
        <w:ind w:firstLine="980"/>
        <w:spacing w:after="0" w:line="267" w:lineRule="auto"/>
        <w:tabs>
          <w:tab w:leader="none" w:pos="122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Each Holder shall exercise its right to make an Exchange as set forth in </w:t>
      </w:r>
      <w:r>
        <w:rPr>
          <w:rFonts w:ascii="Arial" w:cs="Arial" w:eastAsia="Arial" w:hAnsi="Arial"/>
          <w:sz w:val="17"/>
          <w:szCs w:val="17"/>
          <w:u w:val="single" w:color="auto"/>
          <w:color w:val="auto"/>
        </w:rPr>
        <w:t>Section 11.01(a)</w:t>
      </w:r>
      <w:r>
        <w:rPr>
          <w:rFonts w:ascii="Arial" w:cs="Arial" w:eastAsia="Arial" w:hAnsi="Arial"/>
          <w:sz w:val="17"/>
          <w:szCs w:val="17"/>
          <w:color w:val="auto"/>
        </w:rPr>
        <w:t xml:space="preserve"> by delivering to the Company, with a copy to the Managing Member, a written election of exchange in respect of the Paired Interests to be exchanged substantially in the form of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hereto (an “</w:t>
      </w:r>
      <w:r>
        <w:rPr>
          <w:rFonts w:ascii="Arial" w:cs="Arial" w:eastAsia="Arial" w:hAnsi="Arial"/>
          <w:sz w:val="17"/>
          <w:szCs w:val="17"/>
          <w:b w:val="1"/>
          <w:bCs w:val="1"/>
          <w:i w:val="1"/>
          <w:iCs w:val="1"/>
          <w:color w:val="auto"/>
        </w:rPr>
        <w:t>Exchange Notice</w:t>
      </w:r>
      <w:r>
        <w:rPr>
          <w:rFonts w:ascii="Arial" w:cs="Arial" w:eastAsia="Arial" w:hAnsi="Arial"/>
          <w:sz w:val="17"/>
          <w:szCs w:val="17"/>
          <w:color w:val="auto"/>
        </w:rPr>
        <w:t xml:space="preserve">”) in accordance with this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A Holder may deliver an Exchange Notice with respect to an Unrestricted Exchange at any time, and, in any other case, during the Quarterly Exchange Notice Period preceding the desired Exchange Date. An Exchange Notice with respect to an Unrestricted Exchange may specify that the Exchange is to be contingent (including as to timing) upon, among other things, (i) the consummation of a purchase by another Person (whether in a tender or exchange offer, an underwritten offering or otherwise) of the shares of Class A Common Stock or Class C Common Stock into which the Exchanged Units are exchangeable, or contingent (including as to timing) upon the closing of an announced merger, consolidation or other transaction or event in which such shares of Class A Common Stock or Class C Common Stock would be exchanged or converted or become exchangeable for or convertible into, cash or other securities or property, (ii) the filing and substantially concurrent effectiveness of a resale registration statement if the applicable Holder possesses registration rights, and (iii) no Exchange Blackout Period being in effect on the Exchange Date. Notwithstanding anything to the contrary contained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if, in connection with an Exchange in accordance with this </w:t>
      </w:r>
      <w:r>
        <w:rPr>
          <w:rFonts w:ascii="Arial" w:cs="Arial" w:eastAsia="Arial" w:hAnsi="Arial"/>
          <w:sz w:val="17"/>
          <w:szCs w:val="17"/>
          <w:u w:val="single" w:color="auto"/>
          <w:color w:val="auto"/>
        </w:rPr>
        <w:t>Section 11.01</w:t>
      </w:r>
      <w:r>
        <w:rPr>
          <w:rFonts w:ascii="Arial" w:cs="Arial" w:eastAsia="Arial" w:hAnsi="Arial"/>
          <w:sz w:val="17"/>
          <w:szCs w:val="17"/>
          <w:color w:val="auto"/>
        </w:rPr>
        <w:t>, a filing is required under the HSR Act, then the Exchange Date with respect to all Exchanged Units which would be exchanged into shares of Class A Common Stock or Class C Common Stock resulting from such Exchange shall be delayed until the earlier of (i) such time as the required filing under the HSR Act has been made and the waiting period applicable to such Exchange under the HSR Act shall have expired or been terminated or (ii) such filing is no longer required, at which time such Exchange shall automatically occur without any further action by the holders of any such Exchanged Units. Each Holder and the Managing Member agree to promptly take all actions required to make such filing under the HSR Act and the filing fee for such filing shall be paid by the Managing Member.</w:t>
      </w:r>
    </w:p>
    <w:p>
      <w:pPr>
        <w:spacing w:after="0" w:line="191" w:lineRule="exact"/>
        <w:rPr>
          <w:rFonts w:ascii="Arial" w:cs="Arial" w:eastAsia="Arial" w:hAnsi="Arial"/>
          <w:sz w:val="17"/>
          <w:szCs w:val="17"/>
          <w:color w:val="auto"/>
        </w:rPr>
      </w:pPr>
    </w:p>
    <w:p>
      <w:pPr>
        <w:jc w:val="both"/>
        <w:ind w:firstLine="980"/>
        <w:spacing w:after="0" w:line="275" w:lineRule="auto"/>
        <w:tabs>
          <w:tab w:leader="none" w:pos="121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Within three (3) Business Days of the giving of an Exchange Notice, the Managing Member, on behalf of the Company, may elect to settle all or a portion of the Exchange in cash in an amount equal to the Cash Exchange Payment (in lieu of shares of Class A Common Stock) by giving written notice of such election to the Exchanging Member within such three (3) Business Day period (such notice, the “</w:t>
      </w:r>
      <w:r>
        <w:rPr>
          <w:rFonts w:ascii="Arial" w:cs="Arial" w:eastAsia="Arial" w:hAnsi="Arial"/>
          <w:sz w:val="17"/>
          <w:szCs w:val="17"/>
          <w:b w:val="1"/>
          <w:bCs w:val="1"/>
          <w:i w:val="1"/>
          <w:iCs w:val="1"/>
          <w:color w:val="auto"/>
        </w:rPr>
        <w:t>Cash Exchange Notice</w:t>
      </w:r>
      <w:r>
        <w:rPr>
          <w:rFonts w:ascii="Arial" w:cs="Arial" w:eastAsia="Arial" w:hAnsi="Arial"/>
          <w:sz w:val="17"/>
          <w:szCs w:val="17"/>
          <w:color w:val="auto"/>
        </w:rPr>
        <w:t>”). The Cash Exchange Notice shall set forth the portion of the Exchanged Units which will be exchanged for cash in lieu of Class A Common Stock. Any portion of the Exchange not settled for a Cash Exchange Payment shall be settled for a Stock Exchange Payment.</w:t>
      </w:r>
    </w:p>
    <w:p>
      <w:pPr>
        <w:spacing w:after="0" w:line="176" w:lineRule="exact"/>
        <w:rPr>
          <w:rFonts w:ascii="Arial" w:cs="Arial" w:eastAsia="Arial" w:hAnsi="Arial"/>
          <w:sz w:val="17"/>
          <w:szCs w:val="17"/>
          <w:color w:val="auto"/>
        </w:rPr>
      </w:pPr>
    </w:p>
    <w:p>
      <w:pPr>
        <w:jc w:val="both"/>
        <w:ind w:firstLine="980"/>
        <w:spacing w:after="0" w:line="286" w:lineRule="auto"/>
        <w:tabs>
          <w:tab w:leader="none" w:pos="123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The Exchanging Member may elect to retract its Exchange Notice with respect to an Unrestricted Exchange by giving written notice of such election to the Company, with a copy to the Managing Member, no later than one Business Day prior to the Exchange Date. Subject to the last two sentences of this </w:t>
      </w:r>
      <w:r>
        <w:rPr>
          <w:rFonts w:ascii="Arial" w:cs="Arial" w:eastAsia="Arial" w:hAnsi="Arial"/>
          <w:sz w:val="16"/>
          <w:szCs w:val="16"/>
          <w:u w:val="single" w:color="auto"/>
          <w:color w:val="auto"/>
        </w:rPr>
        <w:t>Section 11.01(d)</w:t>
      </w:r>
      <w:r>
        <w:rPr>
          <w:rFonts w:ascii="Arial" w:cs="Arial" w:eastAsia="Arial" w:hAnsi="Arial"/>
          <w:sz w:val="16"/>
          <w:szCs w:val="16"/>
          <w:color w:val="auto"/>
        </w:rPr>
        <w:t>, if, in the case of an Exchange that is not an Unrestricted Exchange, the Cash Exchange Class A 5-Day VWAP (determined treating the final date of such period as the Exchange Date) decreases by more than 10% from the Cash Exchange Class A 5-Day VWAP (determined treating the final date of such period as the date of delivery of an Exchange Notice), the Exchanging Member may elect to retract its Exchange Notice by giving written notice of such election (a “</w:t>
      </w:r>
      <w:r>
        <w:rPr>
          <w:rFonts w:ascii="Arial" w:cs="Arial" w:eastAsia="Arial" w:hAnsi="Arial"/>
          <w:sz w:val="16"/>
          <w:szCs w:val="16"/>
          <w:b w:val="1"/>
          <w:bCs w:val="1"/>
          <w:i w:val="1"/>
          <w:iCs w:val="1"/>
          <w:color w:val="auto"/>
        </w:rPr>
        <w:t>Restricted Retraction Notice</w:t>
      </w:r>
      <w:r>
        <w:rPr>
          <w:rFonts w:ascii="Arial" w:cs="Arial" w:eastAsia="Arial" w:hAnsi="Arial"/>
          <w:sz w:val="16"/>
          <w:szCs w:val="16"/>
          <w:color w:val="auto"/>
        </w:rPr>
        <w:t xml:space="preserve">”) to the Company, with a copy to the Managing Member, no later than three Business Days prior to the Exchange Date. The giving of any notice pursuant to this </w:t>
      </w:r>
      <w:r>
        <w:rPr>
          <w:rFonts w:ascii="Arial" w:cs="Arial" w:eastAsia="Arial" w:hAnsi="Arial"/>
          <w:sz w:val="16"/>
          <w:szCs w:val="16"/>
          <w:u w:val="single" w:color="auto"/>
          <w:color w:val="auto"/>
        </w:rPr>
        <w:t>Section 11.01(d)</w:t>
      </w:r>
      <w:r>
        <w:rPr>
          <w:rFonts w:ascii="Arial" w:cs="Arial" w:eastAsia="Arial" w:hAnsi="Arial"/>
          <w:sz w:val="16"/>
          <w:szCs w:val="16"/>
          <w:color w:val="auto"/>
        </w:rPr>
        <w:t xml:space="preserve"> shall terminate all of the Exchanging Member’s, the Managing Member’s and the Company’s rights and obligations under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arising from the retracted Exchange Notice (but not, for the avoidance of doubt, from any Exchange Notice not retracted or that may be delivered in the future). An Exchanging Member may deliver a Restricted Retraction Notice only once in every 12-month period (and any additional Restricted Retraction Notice delivered by such Exchanging Member within such 12- month period shall be deemed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ineffective with respect to the revocation of the Exchange specified therein). An Exchanging Member who revokes an Exchange pursuant to a Restricted Retraction Notice may not participate in the Exchange to occur on the next Quarterly Exchange Date immediately following the Quarterly Exchange Date with respect to which the Restricted Retraction Notice pertains.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firstLine="980"/>
        <w:spacing w:after="0" w:line="287" w:lineRule="auto"/>
        <w:tabs>
          <w:tab w:leader="none" w:pos="122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if the Managing Member closes an underwritten distribution of the shares of Class A Common Stock and the Members (other than, or in addition to, the Managing Member) were entitled to resell shares of Class A Common Stock in connection therewith (by the exercise by such Members of Exchange rights or otherwise) (a “</w:t>
      </w:r>
      <w:r>
        <w:rPr>
          <w:rFonts w:ascii="Arial" w:cs="Arial" w:eastAsia="Arial" w:hAnsi="Arial"/>
          <w:sz w:val="16"/>
          <w:szCs w:val="16"/>
          <w:b w:val="1"/>
          <w:bCs w:val="1"/>
          <w:i w:val="1"/>
          <w:iCs w:val="1"/>
          <w:color w:val="auto"/>
        </w:rPr>
        <w:t>Secondary Offering</w:t>
      </w:r>
      <w:r>
        <w:rPr>
          <w:rFonts w:ascii="Arial" w:cs="Arial" w:eastAsia="Arial" w:hAnsi="Arial"/>
          <w:sz w:val="16"/>
          <w:szCs w:val="16"/>
          <w:color w:val="auto"/>
        </w:rPr>
        <w:t xml:space="preserve">”), then the immediately succeeding Quarterly Exchange Date shall be automatically cancelled and of no force or effect (and no Member shall be entitled to exercise its Exchange right or deliver a Quarterly Exchange Date Notice with respect to an Exchange that is not an Unrestricted Exchange in respect of such Quarterly Exchange Date). 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(i) for so long as the Company does not meet the requirements of the Private Placement Safe Harbor, any Secondary Offering (other than that pursuant to which all Exchanges are Unrestricted Exchanges) shall only be undertaken if, during the applicable taxable year, the total number of Quarterly Exchange Dates and prior Secondary Offerings (other than any pursuant to which all Exchanges are Unrestricted Exchanges) on which Exchanges occur is three or fewer and (ii) the Company and the Managing Member on shall not be deemed to have failed to comply with their respective obligations under the Investor Rights Agreement (as defined in the Business Combination Agreement) if a Secondary Offering cannot be undertaken due to the restriction set forth in the preceding clause (i).</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b w:val="1"/>
          <w:bCs w:val="1"/>
          <w:color w:val="auto"/>
        </w:rPr>
        <w:t>Exchange Payment.</w:t>
      </w:r>
    </w:p>
    <w:p>
      <w:pPr>
        <w:spacing w:after="0" w:line="229" w:lineRule="exact"/>
        <w:rPr>
          <w:sz w:val="20"/>
          <w:szCs w:val="20"/>
          <w:color w:val="auto"/>
        </w:rPr>
      </w:pPr>
    </w:p>
    <w:p>
      <w:pPr>
        <w:ind w:left="1220" w:hanging="240"/>
        <w:spacing w:after="0"/>
        <w:tabs>
          <w:tab w:leader="none" w:pos="12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Exchange shall be consummated on the Exchange Date.</w:t>
      </w:r>
    </w:p>
    <w:p>
      <w:pPr>
        <w:spacing w:after="0" w:line="225" w:lineRule="exact"/>
        <w:rPr>
          <w:rFonts w:ascii="Arial" w:cs="Arial" w:eastAsia="Arial" w:hAnsi="Arial"/>
          <w:sz w:val="18"/>
          <w:szCs w:val="18"/>
          <w:color w:val="auto"/>
        </w:rPr>
      </w:pPr>
    </w:p>
    <w:p>
      <w:pPr>
        <w:jc w:val="both"/>
        <w:ind w:firstLine="980"/>
        <w:spacing w:after="0" w:line="287" w:lineRule="auto"/>
        <w:tabs>
          <w:tab w:leader="none" w:pos="123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On the Exchange Date (to be effective immediately prior to the close of business on the Exchange Date), in the case of a Redemption, (i) the Managing Member shall contribute to the Company, for delivery to the Exchanging Member, (A) the Stock Exchange Payment with respect to any Exchanged Units not subject to a Cash Exchange Notice and (B) the Cash Exchange Payment with respect to any Exchanged Units subject to a Cash Exchange Notice, (ii) the Exchanging Member shall transfer and surrender the Exchanged Units to the Company (provided that the Exchanging Member shall surrender the corresponding number of shares of Class B Common Stock or Class D Common Stock to the Managing Member and the Managing Member shall cancel such shares) free and clear of all liens and encumbrances, (iii) the Company shall issue to the Managing Member a number of Class A Units equal to the number of Exchanged Units surrendered pursuant to clause (ii), (iv) solely to the extent necessary in connection with a Redemption, the Managing Member shall undertake all actions, including an issuance, reclassification, distribution, division or recapitalization, with respect to the Class A Common Stock to maintain a one-to-one ratio between the number of Class A Units owned by the Managing Member, directly or indirectly, and the number of outstanding shares of Class A Common Stock and Class C Common Stock, taking into account the issuance in clause (iii), any Stock Exchange Payment, and any other action taken in connection with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 (v) the Company shall (A) cancel the redeemed Exchanged Units and (B) transfer to the Exchanging Member the Cash Exchange Payment and/or the Stock Exchange Payment, as applicable.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1220" w:hanging="240"/>
        <w:spacing w:after="0"/>
        <w:tabs>
          <w:tab w:leader="none" w:pos="122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On the Exchange Date (to be effective immediately prior to the close of business on the Exchange Date), in the case of a Direct Exchange,</w:t>
      </w:r>
    </w:p>
    <w:p>
      <w:pPr>
        <w:spacing w:after="0" w:line="46" w:lineRule="exact"/>
        <w:rPr>
          <w:rFonts w:ascii="Arial" w:cs="Arial" w:eastAsia="Arial" w:hAnsi="Arial"/>
          <w:sz w:val="16"/>
          <w:szCs w:val="16"/>
          <w:color w:val="auto"/>
        </w:rPr>
      </w:pPr>
    </w:p>
    <w:p>
      <w:pPr>
        <w:jc w:val="both"/>
        <w:ind w:firstLine="8"/>
        <w:spacing w:after="0" w:line="268" w:lineRule="auto"/>
        <w:tabs>
          <w:tab w:leader="none" w:pos="2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Managing Member shall deliver to the Exchanging Member, (A) the Stock Exchange Payment with respect to any Exchanged Units not subject to a Cash Exchange Notice and (B) the Cash Exchange Payment with respect to any Exchanged Units subject to a Cash Exchange Notice, (ii) the Exchanging Member shall transfer to the Managing Member the Exchanged Units and the corresponding shares of Class B Common Stock or Class D Common Stock or any combination thereof (it being understood that the Managing Member shall cancel the surrendered shares of Class B Common Stock or Class D Common Stock), free and clear of all liens and encumbrances, and (iii) solely to the extent necessary in connection with a Direct Exchange, the Managing Member shall undertake all actions, including an issuance, reclassification, distribution, division or recapitalization, with respect to the shares of Class A Common Stock and Class C Common Stock to maintain a one-to-one ratio between the number of Class A Units owned by the Managing Member, directly or indirectly, and the number of outstanding shares of Class A Common Stock and Class C Common Stock, any Stock Exchange Payment, and any other action taken in connection with this </w:t>
      </w:r>
      <w:r>
        <w:rPr>
          <w:rFonts w:ascii="Arial" w:cs="Arial" w:eastAsia="Arial" w:hAnsi="Arial"/>
          <w:sz w:val="17"/>
          <w:szCs w:val="17"/>
          <w:u w:val="single" w:color="auto"/>
          <w:color w:val="auto"/>
        </w:rPr>
        <w:t>Section 11.02</w:t>
      </w:r>
      <w:r>
        <w:rPr>
          <w:rFonts w:ascii="Arial" w:cs="Arial" w:eastAsia="Arial" w:hAnsi="Arial"/>
          <w:sz w:val="17"/>
          <w:szCs w:val="17"/>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b w:val="1"/>
          <w:bCs w:val="1"/>
          <w:color w:val="auto"/>
        </w:rPr>
        <w:t>Expenses and Restrictions.</w:t>
      </w:r>
    </w:p>
    <w:p>
      <w:pPr>
        <w:spacing w:after="0" w:line="229" w:lineRule="exact"/>
        <w:rPr>
          <w:sz w:val="20"/>
          <w:szCs w:val="20"/>
          <w:color w:val="auto"/>
        </w:rPr>
      </w:pPr>
    </w:p>
    <w:p>
      <w:pPr>
        <w:jc w:val="both"/>
        <w:ind w:firstLine="980"/>
        <w:spacing w:after="0" w:line="272" w:lineRule="auto"/>
        <w:tabs>
          <w:tab w:leader="none" w:pos="122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Company, the Managing Member and each Exchanging Member shall bear its own expenses in connection with the consummation of any Exchange, whether or not any such Exchange is ultimately consummated, except that the Company shall bear transfer taxes, stamp taxes or duties, or other similar taxes in connection with, or arising by reason of, any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shares of Class A Common Stock are to be delivered in a name other than that of the Exchanging Member that requested the Exchange, then such Exchanging Member and/or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177" w:lineRule="exact"/>
        <w:rPr>
          <w:rFonts w:ascii="Arial" w:cs="Arial" w:eastAsia="Arial" w:hAnsi="Arial"/>
          <w:sz w:val="17"/>
          <w:szCs w:val="17"/>
          <w:color w:val="auto"/>
        </w:rPr>
      </w:pPr>
    </w:p>
    <w:p>
      <w:pPr>
        <w:jc w:val="both"/>
        <w:ind w:firstLine="980"/>
        <w:spacing w:after="0" w:line="254" w:lineRule="auto"/>
        <w:tabs>
          <w:tab w:leader="none" w:pos="124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Managing Member and the Company shall use commercially reasonable efforts to restrict issuances of Units in an amount sufficient for the Company to be eligible for the Private Placement Safe Harbor and, to the extent that the Managing Member or the Company determine that the Company does not meet the requirements of the Private Placement Safe Harbor at any point in any taxable year, the Managing Member or the Company may impose such restrictions on Exchanges during such taxable year as the Managing Member or the Company may determine to be necessary or advisable so that the Company is not treated as a “publicly traded partnership” under Section 7704 of the Code. Notwithstanding anything to the contrary herein, no Exchange shall be permitted (and, if attempted, shall be void </w:t>
      </w:r>
      <w:r>
        <w:rPr>
          <w:rFonts w:ascii="Arial" w:cs="Arial" w:eastAsia="Arial" w:hAnsi="Arial"/>
          <w:sz w:val="18"/>
          <w:szCs w:val="18"/>
          <w:i w:val="1"/>
          <w:iCs w:val="1"/>
          <w:color w:val="auto"/>
        </w:rPr>
        <w:t>ab initio</w:t>
      </w:r>
      <w:r>
        <w:rPr>
          <w:rFonts w:ascii="Arial" w:cs="Arial" w:eastAsia="Arial" w:hAnsi="Arial"/>
          <w:sz w:val="18"/>
          <w:szCs w:val="18"/>
          <w:color w:val="auto"/>
        </w:rPr>
        <w:t>) if, in the good faith determination of the Managing Member or the Company, such an Exchange would pose a material risk that the Company would be a “publicly traded partnership” under Section 7704 of the Code.</w:t>
      </w:r>
    </w:p>
    <w:p>
      <w:pPr>
        <w:spacing w:after="0" w:line="191" w:lineRule="exact"/>
        <w:rPr>
          <w:rFonts w:ascii="Arial" w:cs="Arial" w:eastAsia="Arial" w:hAnsi="Arial"/>
          <w:sz w:val="18"/>
          <w:szCs w:val="18"/>
          <w:color w:val="auto"/>
        </w:rPr>
      </w:pPr>
    </w:p>
    <w:p>
      <w:pPr>
        <w:jc w:val="both"/>
        <w:ind w:firstLine="980"/>
        <w:spacing w:after="0" w:line="296" w:lineRule="auto"/>
        <w:tabs>
          <w:tab w:leader="none" w:pos="121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For the avoidance of doubt, and notwithstanding anything to the contrary herein, a Holder shall not be entitled to effect an Exchange to the extent the Managing Member determines that such Exchange (i) would be prohibited by law or regulation (including, without limitation, the unavailability of any requisite registration statement filed under the Securities Act or any exemption from the registration requirements thereunder) or (ii) would otherwise not be permitted under this Agreement or any other agreements with the Managing Member or its subsidiaries to which such Holder may be party or any written policies of the Managing Member related to unlawful or inappropriate trading applicable to its directors, officers or other personnel.</w:t>
      </w:r>
    </w:p>
    <w:p>
      <w:pPr>
        <w:spacing w:after="0" w:line="161" w:lineRule="exact"/>
        <w:rPr>
          <w:rFonts w:ascii="Arial" w:cs="Arial" w:eastAsia="Arial" w:hAnsi="Arial"/>
          <w:sz w:val="16"/>
          <w:szCs w:val="16"/>
          <w:color w:val="auto"/>
        </w:rPr>
      </w:pPr>
    </w:p>
    <w:p>
      <w:pPr>
        <w:ind w:right="20" w:firstLine="980"/>
        <w:spacing w:after="0" w:line="277" w:lineRule="auto"/>
        <w:tabs>
          <w:tab w:leader="none" w:pos="123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Managing Member may adopt reasonable procedures for the implementation of the exchange provisions set forth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including, without limitation, procedures for the giving of notice of an election of exchange.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ind w:firstLine="648"/>
        <w:spacing w:after="0" w:line="286"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b w:val="1"/>
          <w:bCs w:val="1"/>
          <w:color w:val="auto"/>
        </w:rPr>
        <w:t>Adjustment.</w:t>
      </w:r>
      <w:r>
        <w:rPr>
          <w:rFonts w:ascii="Arial" w:cs="Arial" w:eastAsia="Arial" w:hAnsi="Arial"/>
          <w:sz w:val="16"/>
          <w:szCs w:val="16"/>
          <w:color w:val="auto"/>
        </w:rPr>
        <w:t xml:space="preserve">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Class A Units that is not accompanied by an identical subdivision or combination of the shares of Class A Common Stock and the Class C Common Stock or (b) any subdivision (by any stock split, stock dividend or distribution, reclassification, reorganization, recapitalization or otherwise) or combination (by reverse stock split, reclassification, reorganization, recapitalization or otherwise) of the shares of Class A Common Stock and Class C Common Stock that is not accompanied by an identical subdivision or combination of the Class A Units, in each case, except in connection with any such action pursuant to </w:t>
      </w:r>
      <w:r>
        <w:rPr>
          <w:rFonts w:ascii="Arial" w:cs="Arial" w:eastAsia="Arial" w:hAnsi="Arial"/>
          <w:sz w:val="16"/>
          <w:szCs w:val="16"/>
          <w:u w:val="single" w:color="auto"/>
          <w:color w:val="auto"/>
        </w:rPr>
        <w:t>Section 11.02(b)(iv)</w:t>
      </w:r>
      <w:r>
        <w:rPr>
          <w:rFonts w:ascii="Arial" w:cs="Arial" w:eastAsia="Arial" w:hAnsi="Arial"/>
          <w:sz w:val="16"/>
          <w:szCs w:val="16"/>
          <w:color w:val="auto"/>
        </w:rPr>
        <w:t>. If there is any reclassification, reorganization, recapitalization or other similar transaction in which the shares Class A Common Stock or the Class C Common Stock are converted or changed into another security, securities or other property, then upon any subsequent Exchange, an exchanging Holder shall be entitled to receive the amount of such security, securities or other property that such exchanging 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Except as may be required in the immediately preceding sentence, no adjustments in respect of distributions shall be made upon the exchange of any Class B Unit.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b w:val="1"/>
          <w:bCs w:val="1"/>
          <w:color w:val="auto"/>
        </w:rPr>
        <w:t>Class A Common Stock and Class C Common Stock to be Issued.</w:t>
      </w:r>
    </w:p>
    <w:p>
      <w:pPr>
        <w:spacing w:after="0" w:line="229" w:lineRule="exact"/>
        <w:rPr>
          <w:sz w:val="20"/>
          <w:szCs w:val="20"/>
          <w:color w:val="auto"/>
        </w:rPr>
      </w:pPr>
    </w:p>
    <w:p>
      <w:pPr>
        <w:jc w:val="both"/>
        <w:ind w:firstLine="980"/>
        <w:spacing w:after="0" w:line="271" w:lineRule="auto"/>
        <w:tabs>
          <w:tab w:leader="none" w:pos="121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The Managing Member shall at all times reserve and keep available out of its authorized but unissued Class A Common Stock and Class C Common Stock, solely for the purpose of issuance upon an Exchange, such number of shares of Class A Common Stock and Class C Common Stock (as applicable) as may be deliverable upon any such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be construed to preclude the Company from satisfying its obligations in respect of the Exchange of the Exchanged Units by delivery of shares of Class A Common Stock or Class C Common Stock which are held in the treasury of the Managing Member or are held by the Company or any of their subsidiaries or by delivery of purchased shares of Class A Common Stock or Class C Common Stock (which may or may not be held in the treasury of the Managing Member or held by any subsidiary thereof), or by delivery of the Cash Exchange Payment. The Managing Member covenants that all shares of Class A Common Stock and Class C Common Stock issued upon an Exchange will, upon issuance, be validly issued, fully paid and non-assessable.</w:t>
      </w:r>
    </w:p>
    <w:p>
      <w:pPr>
        <w:spacing w:after="0" w:line="178" w:lineRule="exact"/>
        <w:rPr>
          <w:rFonts w:ascii="Arial" w:cs="Arial" w:eastAsia="Arial" w:hAnsi="Arial"/>
          <w:sz w:val="17"/>
          <w:szCs w:val="17"/>
          <w:color w:val="auto"/>
        </w:rPr>
      </w:pPr>
    </w:p>
    <w:p>
      <w:pPr>
        <w:jc w:val="both"/>
        <w:ind w:firstLine="980"/>
        <w:spacing w:after="0" w:line="284" w:lineRule="auto"/>
        <w:tabs>
          <w:tab w:leader="none" w:pos="124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The Managing Member and the Company shall at all times ensure that the consummation by each of the Managing Member and the Company of the transactions contemplated by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without limitation, the issuance of shares of Class A Common Stock and Class C Common Stock) have been duly authorized by all necessary corporate or limited liability company action, as the case may be, on the part of the Managing Member and the Company, including, but not limited to, all actions necessary to ensure that the acquisition of shares of Class A Common Stock and Class C Common Stock pursuant to the transactions contemplated hereby, to the fullest extent of the Board’s power and authority and to the extent permitted by law, shall not be subject to the restrictions of any “moratorium,” “control share acquisition,” “business combination,” “fair price” or other form of anti-takeover laws and regulations of any jurisdiction that may purport to be applicable to this Agreement or the transactions contemplated by this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firstLine="980"/>
        <w:spacing w:after="0" w:line="290" w:lineRule="auto"/>
        <w:tabs>
          <w:tab w:leader="none" w:pos="122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The Managing Member and the Company agree that, to the extent that a registration statement under the Securities Act is effective and available for shares of Class A Common Stock to be delivered with respect to any Exchange, shares of Class A Common Stock that have been registered under the Securities Act shall be delivered in respect of such Exchange. In the event that any Exchange in accordance with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is to be effected at a time when any required registration has not become effective or otherwise is unavailable, upon the request and with the reasonable cooperation of the Holder requesting such Exchange, the Managing Member and the Company shall use commercially reasonable efforts to promptly facilitate such Exchange pursuant to any reasonably available exemption from such registration requirements. The Managing Member shall use commercially reasonable efforts to list the shares of Class A Common Stock required to be delivered upon any Exchange prior to such delivery upon each national securities exchange or inter-dealer quotation system upon which the outstanding Class A Common Stock may be listed or traded at the time of such delivery.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648"/>
        <w:spacing w:after="0" w:line="268"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b w:val="1"/>
          <w:bCs w:val="1"/>
          <w:color w:val="auto"/>
        </w:rPr>
        <w:t>Direct Exchange.</w:t>
      </w:r>
      <w:r>
        <w:rPr>
          <w:rFonts w:ascii="Arial" w:cs="Arial" w:eastAsia="Arial" w:hAnsi="Arial"/>
          <w:sz w:val="17"/>
          <w:szCs w:val="17"/>
          <w:color w:val="auto"/>
        </w:rPr>
        <w:t xml:space="preserve"> Notwithstanding anything to the contrary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Managing Member may, in its sole and absolute discretion, elect to effect on the Exchange Date the Exchange of Exchanged Units for the Cash Exchange Payment and/or the Stock Exchange Payment, as the case may be (and subject to the terms of </w:t>
      </w:r>
      <w:r>
        <w:rPr>
          <w:rFonts w:ascii="Arial" w:cs="Arial" w:eastAsia="Arial" w:hAnsi="Arial"/>
          <w:sz w:val="17"/>
          <w:szCs w:val="17"/>
          <w:u w:val="single" w:color="auto"/>
          <w:color w:val="auto"/>
        </w:rPr>
        <w:t>Sections 11.02(b)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11.02(c)</w:t>
      </w:r>
      <w:r>
        <w:rPr>
          <w:rFonts w:ascii="Arial" w:cs="Arial" w:eastAsia="Arial" w:hAnsi="Arial"/>
          <w:sz w:val="17"/>
          <w:szCs w:val="17"/>
          <w:color w:val="auto"/>
        </w:rPr>
        <w:t>), through a direct exchange of such Exchanged Units and with such consideration between the Exchanging Member and the Managing Member (a “</w:t>
      </w:r>
      <w:r>
        <w:rPr>
          <w:rFonts w:ascii="Arial" w:cs="Arial" w:eastAsia="Arial" w:hAnsi="Arial"/>
          <w:sz w:val="17"/>
          <w:szCs w:val="17"/>
          <w:b w:val="1"/>
          <w:bCs w:val="1"/>
          <w:i w:val="1"/>
          <w:iCs w:val="1"/>
          <w:color w:val="auto"/>
        </w:rPr>
        <w:t>Direct Exchange</w:t>
      </w:r>
      <w:r>
        <w:rPr>
          <w:rFonts w:ascii="Arial" w:cs="Arial" w:eastAsia="Arial" w:hAnsi="Arial"/>
          <w:sz w:val="17"/>
          <w:szCs w:val="17"/>
          <w:color w:val="auto"/>
        </w:rPr>
        <w:t xml:space="preserve">”). Upon such Direct Exchange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11.06</w:t>
      </w:r>
      <w:r>
        <w:rPr>
          <w:rFonts w:ascii="Arial" w:cs="Arial" w:eastAsia="Arial" w:hAnsi="Arial"/>
          <w:sz w:val="17"/>
          <w:szCs w:val="17"/>
          <w:color w:val="auto"/>
        </w:rPr>
        <w:t xml:space="preserve">, the Managing Member shall acquire the Exchanged Units and shall be treated for all purposes of this Agreement as the owner of such Exchanged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election by the Managing Member shall not relieve the Company of its obligation arising with respect to the applicable Exchange Notice. The Managing Member may, at any time prior to an Exchange Date, deliver written notice (a “</w:t>
      </w:r>
      <w:r>
        <w:rPr>
          <w:rFonts w:ascii="Arial" w:cs="Arial" w:eastAsia="Arial" w:hAnsi="Arial"/>
          <w:sz w:val="17"/>
          <w:szCs w:val="17"/>
          <w:b w:val="1"/>
          <w:bCs w:val="1"/>
          <w:i w:val="1"/>
          <w:iCs w:val="1"/>
          <w:color w:val="auto"/>
        </w:rPr>
        <w:t>Direct Exchange Election Notice</w:t>
      </w:r>
      <w:r>
        <w:rPr>
          <w:rFonts w:ascii="Arial" w:cs="Arial" w:eastAsia="Arial" w:hAnsi="Arial"/>
          <w:sz w:val="17"/>
          <w:szCs w:val="17"/>
          <w:color w:val="auto"/>
        </w:rPr>
        <w:t xml:space="preserve">”) to the Company and the applicable Exchanging Member setting forth its election to exercise its right to consummate a Direct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election does not prejudice the ability of the parties to consummate an Exchange or Direct Exchange on the Exchange Date. A Direct Exchange Election Notice may be revoked by the Managing Member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revocation does not prejudice the ability of the parties to consummate an Exchange or Direct Exchange on the Exchange Date. The right to consummate a Direct Exchange in all events shall be exercisable for all the Exchanged Units that would otherwise have been subject to an Exchange. Except as otherwise provided in this </w:t>
      </w:r>
      <w:r>
        <w:rPr>
          <w:rFonts w:ascii="Arial" w:cs="Arial" w:eastAsia="Arial" w:hAnsi="Arial"/>
          <w:sz w:val="17"/>
          <w:szCs w:val="17"/>
          <w:u w:val="single" w:color="auto"/>
          <w:color w:val="auto"/>
        </w:rPr>
        <w:t>Section 11.06</w:t>
      </w:r>
      <w:r>
        <w:rPr>
          <w:rFonts w:ascii="Arial" w:cs="Arial" w:eastAsia="Arial" w:hAnsi="Arial"/>
          <w:sz w:val="17"/>
          <w:szCs w:val="17"/>
          <w:color w:val="auto"/>
        </w:rPr>
        <w:t>, a Direct Exchange shall be consummated pursuant to the same timeframe and in the same manner as the relevant Exchange would have been consummated had the Managing Member not delivered a Direct Exchange Election Notice.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b w:val="1"/>
          <w:bCs w:val="1"/>
          <w:color w:val="auto"/>
        </w:rPr>
        <w:t>Corporation Offer or Change of Control.</w:t>
      </w:r>
    </w:p>
    <w:p>
      <w:pPr>
        <w:spacing w:after="0" w:line="229" w:lineRule="exact"/>
        <w:rPr>
          <w:sz w:val="20"/>
          <w:szCs w:val="20"/>
          <w:color w:val="auto"/>
        </w:rPr>
      </w:pPr>
    </w:p>
    <w:p>
      <w:pPr>
        <w:jc w:val="both"/>
        <w:ind w:firstLine="980"/>
        <w:spacing w:after="0" w:line="289" w:lineRule="auto"/>
        <w:tabs>
          <w:tab w:leader="none" w:pos="123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 the event that a tender offer, share exchange offer, issuer bid, take-over bid, recapitalization or similar transaction with respect to the shares of Class A Common Stock and Class C Common Stock (a “</w:t>
      </w:r>
      <w:r>
        <w:rPr>
          <w:rFonts w:ascii="Arial" w:cs="Arial" w:eastAsia="Arial" w:hAnsi="Arial"/>
          <w:sz w:val="16"/>
          <w:szCs w:val="16"/>
          <w:b w:val="1"/>
          <w:bCs w:val="1"/>
          <w:i w:val="1"/>
          <w:iCs w:val="1"/>
          <w:color w:val="auto"/>
        </w:rPr>
        <w:t>Corporation Offer</w:t>
      </w:r>
      <w:r>
        <w:rPr>
          <w:rFonts w:ascii="Arial" w:cs="Arial" w:eastAsia="Arial" w:hAnsi="Arial"/>
          <w:sz w:val="16"/>
          <w:szCs w:val="16"/>
          <w:color w:val="auto"/>
        </w:rPr>
        <w:t>”) is proposed by the Managing Member or is proposed to the Managing Member or its stockholders and approved by the Board or is otherwise effected or to be effected with the consent or approval of the Board or the Managing Member will undergo a Change of Control, the Holders shall be permitted to deliver an Exchange Notice (which Exchange Notice shall be effective immediately prior to the consummation of such Corporation Offer or Change of Control (and, for the avoidance of doubt, shall be contingent upon such Corporation Offer or Change of Control and not be effective if such Corporation Offer or Change of Control is not consummated)). In the case of a Corporation Offer proposed by the Managing Member, the Managing Member shall use its reasonable best efforts to expeditiously and in good faith take all such actions and do all such things as are necessary or desirable to enable and permit the Holders to participate in such Corporation Offer to the same extent or on an economically equivalent basis as the holders of shares of Class A Common Stock or Class C Common Stock without discrimination.</w:t>
      </w:r>
    </w:p>
    <w:p>
      <w:pPr>
        <w:spacing w:after="0" w:line="166" w:lineRule="exact"/>
        <w:rPr>
          <w:rFonts w:ascii="Arial" w:cs="Arial" w:eastAsia="Arial" w:hAnsi="Arial"/>
          <w:sz w:val="16"/>
          <w:szCs w:val="16"/>
          <w:color w:val="auto"/>
        </w:rPr>
      </w:pPr>
    </w:p>
    <w:p>
      <w:pPr>
        <w:jc w:val="both"/>
        <w:ind w:firstLine="980"/>
        <w:spacing w:after="0" w:line="271" w:lineRule="auto"/>
        <w:tabs>
          <w:tab w:leader="none" w:pos="123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Managing Member shall send written notice to the Company and the Holders at least 30 days prior to the closing of the transactions contemplated by any Corporation Offer or the date of Change of Control notifying them of their rights pursuant to this </w:t>
      </w:r>
      <w:r>
        <w:rPr>
          <w:rFonts w:ascii="Arial" w:cs="Arial" w:eastAsia="Arial" w:hAnsi="Arial"/>
          <w:sz w:val="17"/>
          <w:szCs w:val="17"/>
          <w:u w:val="single" w:color="auto"/>
          <w:color w:val="auto"/>
        </w:rPr>
        <w:t>Section 11.07</w:t>
      </w:r>
      <w:r>
        <w:rPr>
          <w:rFonts w:ascii="Arial" w:cs="Arial" w:eastAsia="Arial" w:hAnsi="Arial"/>
          <w:sz w:val="17"/>
          <w:szCs w:val="17"/>
          <w:color w:val="auto"/>
        </w:rPr>
        <w:t xml:space="preserve"> and setting forth (i) in the case of a Corporation Offer, (A) a copy of the written proposal or agreement pursuant to which such Corporation Offer will be effected, (B) the consideration payable in connection therewith, (C) the terms and conditions of transfer and payment and (D) the date and location of and procedures for selling Units or (ii) in the case of a Change of Control, (A) a description of the event constituting such Change of Control, (B) the date of such Change of Control and (C) a copy of any written proposals or agreement relating thereto. In the event that the information set forth in such notice changes from that set forth in the initial notice, a subsequent notice shall be delivered by the Managing Member no less than seven days prior to the closing of the Corporation Offer or date of the Change of Control.</w:t>
      </w:r>
    </w:p>
    <w:p>
      <w:pPr>
        <w:spacing w:after="0" w:line="17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b w:val="1"/>
          <w:bCs w:val="1"/>
          <w:color w:val="auto"/>
        </w:rPr>
        <w:t>Specific Performance.</w:t>
      </w:r>
      <w:r>
        <w:rPr>
          <w:rFonts w:ascii="Arial" w:cs="Arial" w:eastAsia="Arial" w:hAnsi="Arial"/>
          <w:sz w:val="18"/>
          <w:szCs w:val="18"/>
          <w:color w:val="auto"/>
        </w:rPr>
        <w:t xml:space="preserve"> The Company and the Members (including the Managing Member) agree that irreparable damage would occur in the event that any of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were not performed in accordance with their specific terms or were otherwise breached. It is accordingly agreed that such parties shall be entitled to specific performance of the terms and provisions hereof, in addition to any other remedy to which they are entitled at law or in equity.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48"/>
        <w:spacing w:after="0" w:line="286" w:lineRule="auto"/>
        <w:rPr>
          <w:sz w:val="20"/>
          <w:szCs w:val="20"/>
          <w:color w:val="auto"/>
        </w:rPr>
      </w:pPr>
      <w:r>
        <w:rPr>
          <w:rFonts w:ascii="Arial" w:cs="Arial" w:eastAsia="Arial" w:hAnsi="Arial"/>
          <w:sz w:val="16"/>
          <w:szCs w:val="16"/>
          <w:color w:val="auto"/>
        </w:rPr>
        <w:t xml:space="preserve">11.09 </w:t>
      </w:r>
      <w:r>
        <w:rPr>
          <w:rFonts w:ascii="Arial" w:cs="Arial" w:eastAsia="Arial" w:hAnsi="Arial"/>
          <w:sz w:val="16"/>
          <w:szCs w:val="16"/>
          <w:b w:val="1"/>
          <w:bCs w:val="1"/>
          <w:color w:val="auto"/>
        </w:rPr>
        <w:t>Tax Treatment.</w:t>
      </w:r>
      <w:r>
        <w:rPr>
          <w:rFonts w:ascii="Arial" w:cs="Arial" w:eastAsia="Arial" w:hAnsi="Arial"/>
          <w:sz w:val="16"/>
          <w:szCs w:val="16"/>
          <w:color w:val="auto"/>
        </w:rPr>
        <w:t xml:space="preserve"> As required by the Code and the Treasury Regulations promulgated thereunder, the Managing Member, the Company and the applicable Exchange Member shall report any Exchange relating to such Exchange Member consummated hereunder as a taxable sale of the Exchanged Units (together with an equal number of shares of Class B Common Stock or Class D Common Stock) to the Managing Member in exchange for (a) the payment by the Managing Member of the Stock Exchange Payment, the Cash Exchange Payment, or other applicable consideration to the Exchanging Member and, if applicable, (b) corresponding payments under the Tax Receivable Agreement, and no such party shall take a contrary position on any income tax return, amendment thereof or communication with a taxing authority unless an alternate position is permitted under the Code and Treasury Regulations promulgated thereunder and the Managing Member consents in writing (such consent not to be unreasonably withheld, conditioned or delayed). Further, in connection with any Exchange consummated hereunder, the Company and/or the Managing Member shall use commercially reasonable efforts to provide the exchanging Holder with all reasonably necessary information to enable the exchanging Holder to file its income tax returns for the taxable year that includes such Exchange, including information with respect to Section 751 of the Code assets (including relevant information regarding “unrealized receivables” or “inventory items”) and Section 743(b) of the Code basis adjustments (in each case, including estimates) as soon as reasonably practicable and in all events the Company and/or the Managing Member shall provide such information within 90 days following the close of such taxable year. Within 30 days following the Exchange Date, the Managing Member shall deliver a Section 743 of the Code notification to the Company in accordance with Treasury Regulations Section 1.743-1(k)(2).</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b w:val="1"/>
          <w:bCs w:val="1"/>
          <w:color w:val="auto"/>
        </w:rPr>
        <w:t>Withholding.</w:t>
      </w:r>
      <w:r>
        <w:rPr>
          <w:rFonts w:ascii="Arial" w:cs="Arial" w:eastAsia="Arial" w:hAnsi="Arial"/>
          <w:sz w:val="16"/>
          <w:szCs w:val="16"/>
          <w:color w:val="auto"/>
        </w:rPr>
        <w:t xml:space="preserve"> The Managing Member and the Company shall be entitled to deduct and withhold from any payments made to an Exchanging Member pursuant to any Exchange consummated under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all Taxes that each of the Managing Member and the Company is required to deduct and withhold with respect to such payments under the Code (and any other provision of applicable law, including, without limitation, under Section 1445 and Section 1446(f) of the Code). In connection with any Exchange, the Exchanging Member shall, to the extent it is legally entitled to deliver such form, deliver to the Managing Member or the Company, as applicable, a certificate, dated as of the Exchange Date, in a form reasonably acceptable to the Managing Member, certifying as to such Exchanging Member’s taxpayer identification number and that such Exchanging Member is a not a foreign person for purposes of Section 1445 and Section 1446(f) of the Code (which certificate may be an Internal Revenue Service Form W-9 if then sufficient for such purposes under applicable law) (such certificate, a “</w:t>
      </w:r>
      <w:r>
        <w:rPr>
          <w:rFonts w:ascii="Arial" w:cs="Arial" w:eastAsia="Arial" w:hAnsi="Arial"/>
          <w:sz w:val="16"/>
          <w:szCs w:val="16"/>
          <w:b w:val="1"/>
          <w:bCs w:val="1"/>
          <w:i w:val="1"/>
          <w:iCs w:val="1"/>
          <w:color w:val="auto"/>
        </w:rPr>
        <w:t>Non-Foreign Person Certificate</w:t>
      </w:r>
      <w:r>
        <w:rPr>
          <w:rFonts w:ascii="Arial" w:cs="Arial" w:eastAsia="Arial" w:hAnsi="Arial"/>
          <w:sz w:val="16"/>
          <w:szCs w:val="16"/>
          <w:color w:val="auto"/>
        </w:rPr>
        <w:t>”). If an Exchanging Member is unable to provide a Non-Foreign Person Certificate in connection with an Exchange, then (a) such Exchanging Member shall provide a certificate substantially in the form described in Treasury Regulations Section 1.1446(f)- 2(c)(2)(ii)(B) or (b) the Company shall deliver a certificate reasonably acceptable to the Managing Member and substantially in the form described in Treasury Regulations Section 1.1446(f)- 2(c)(2)(ii)(C), in each case, setting forth the liabilities of the Company allocated to the Exchanged Units subject to the Exchange under Section 752 of the Code, and the Managing Member or the Company, as applicable, shall be permitted to withhold on the amount realized by such Exchanging Member in respect of such Exchange as provided in Section 1446(f) of the Code and the Treasury Regulations promulgated thereunder. The Managing Member or the Company, as applicable, may at their sole discretion reduce the number of shares of Class A Common Stock or Class C Common Stock issued to a Holder in an Exchange in an amount that corresponds to the amount of the required withholding described in the immediately preceding sentence and all such amounts shall be treated as having been paid to such Holder.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648"/>
        <w:spacing w:after="0" w:line="272"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b w:val="1"/>
          <w:bCs w:val="1"/>
          <w:color w:val="auto"/>
        </w:rPr>
        <w:t>Independent Nature of Holders’ Rights and Obligations.</w:t>
      </w:r>
      <w:r>
        <w:rPr>
          <w:rFonts w:ascii="Arial" w:cs="Arial" w:eastAsia="Arial" w:hAnsi="Arial"/>
          <w:sz w:val="17"/>
          <w:szCs w:val="17"/>
          <w:color w:val="auto"/>
        </w:rPr>
        <w:t xml:space="preserve"> The obligations of each Holder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are several and not joint with the obligations of any other Holder, and no Holder shall be responsible in any way for the performance of the obligations of any other Holder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decision of each Holder to enter into this Agreement has been made by such Holder independently of any other Holder. Nothing contained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no action taken by any Holder pursuant to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be deemed to constitute the Holders as a partnership, an association, a joint venture or any other kind of entity, or create a presumption that the Holders are in any way acting in concert or as a group with respect to such obligations or the transactions contemplated by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Managing Member acknowledges that the Holders are not acting in concert or as a group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the Managing Member agrees that it shall not assert any such claim with respect to such obligations or the transactions contemplated by this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17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12.01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12.02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All notices, requests, claims, demands and other communications hereunder shall be in writing and shall be given (and shall be deemed to have been duly given upon receipt) by delivery in person, by courier service (delivery receipt requested), by electronic mail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184" w:lineRule="exact"/>
        <w:rPr>
          <w:sz w:val="20"/>
          <w:szCs w:val="20"/>
          <w:color w:val="auto"/>
        </w:rPr>
      </w:pPr>
    </w:p>
    <w:p>
      <w:pPr>
        <w:ind w:left="1960" w:hanging="656"/>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Opal Fuels LLC</w:t>
      </w:r>
    </w:p>
    <w:p>
      <w:pPr>
        <w:spacing w:after="0" w:line="23" w:lineRule="exact"/>
        <w:rPr>
          <w:rFonts w:ascii="Arial" w:cs="Arial" w:eastAsia="Arial" w:hAnsi="Arial"/>
          <w:sz w:val="18"/>
          <w:szCs w:val="18"/>
          <w:color w:val="auto"/>
        </w:rPr>
      </w:pPr>
    </w:p>
    <w:p>
      <w:pPr>
        <w:ind w:left="1960" w:right="6220"/>
        <w:spacing w:after="0" w:line="250" w:lineRule="auto"/>
        <w:rPr>
          <w:rFonts w:ascii="Arial" w:cs="Arial" w:eastAsia="Arial" w:hAnsi="Arial"/>
          <w:sz w:val="18"/>
          <w:szCs w:val="18"/>
          <w:color w:val="auto"/>
        </w:rPr>
      </w:pPr>
      <w:r>
        <w:rPr>
          <w:rFonts w:ascii="Arial" w:cs="Arial" w:eastAsia="Arial" w:hAnsi="Arial"/>
          <w:sz w:val="18"/>
          <w:szCs w:val="18"/>
          <w:color w:val="auto"/>
        </w:rPr>
        <w:t>One North Lexington Avenue (14th Floor) White Plains, New York 10601</w:t>
      </w:r>
    </w:p>
    <w:p>
      <w:pPr>
        <w:ind w:left="1960"/>
        <w:spacing w:after="0"/>
        <w:rPr>
          <w:rFonts w:ascii="Arial" w:cs="Arial" w:eastAsia="Arial" w:hAnsi="Arial"/>
          <w:sz w:val="18"/>
          <w:szCs w:val="18"/>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White Plains, New York 10601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Chief Financial Officer</w:t>
      </w:r>
    </w:p>
    <w:p>
      <w:pPr>
        <w:spacing w:after="0" w:line="211" w:lineRule="exact"/>
        <w:rPr>
          <w:sz w:val="20"/>
          <w:szCs w:val="20"/>
          <w:color w:val="auto"/>
        </w:rPr>
      </w:pPr>
    </w:p>
    <w:p>
      <w:pPr>
        <w:ind w:left="1960" w:hanging="656"/>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to any Member, to such Member</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 xml:space="preserve">at the address of such Member as set forth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48"/>
        <w:spacing w:after="0" w:line="266" w:lineRule="auto"/>
        <w:rPr>
          <w:sz w:val="20"/>
          <w:szCs w:val="20"/>
          <w:color w:val="auto"/>
        </w:rPr>
      </w:pPr>
      <w:r>
        <w:rPr>
          <w:rFonts w:ascii="Arial" w:cs="Arial" w:eastAsia="Arial" w:hAnsi="Arial"/>
          <w:sz w:val="18"/>
          <w:szCs w:val="18"/>
          <w:color w:val="auto"/>
        </w:rPr>
        <w:t xml:space="preserve">12.03 </w:t>
      </w:r>
      <w:r>
        <w:rPr>
          <w:rFonts w:ascii="Arial" w:cs="Arial" w:eastAsia="Arial" w:hAnsi="Arial"/>
          <w:sz w:val="18"/>
          <w:szCs w:val="18"/>
          <w:b w:val="1"/>
          <w:bCs w:val="1"/>
          <w:color w:val="auto"/>
        </w:rPr>
        <w:t>Cumulative Remedies.</w:t>
      </w:r>
      <w:r>
        <w:rPr>
          <w:rFonts w:ascii="Arial" w:cs="Arial" w:eastAsia="Arial" w:hAnsi="Arial"/>
          <w:sz w:val="18"/>
          <w:szCs w:val="18"/>
          <w:color w:val="auto"/>
        </w:rPr>
        <w:t xml:space="preserve">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12.04 </w:t>
      </w:r>
      <w:r>
        <w:rPr>
          <w:rFonts w:ascii="Arial" w:cs="Arial" w:eastAsia="Arial" w:hAnsi="Arial"/>
          <w:sz w:val="18"/>
          <w:szCs w:val="18"/>
          <w:b w:val="1"/>
          <w:bCs w:val="1"/>
          <w:color w:val="auto"/>
        </w:rPr>
        <w:t>Binding Effect.</w:t>
      </w:r>
      <w:r>
        <w:rPr>
          <w:rFonts w:ascii="Arial" w:cs="Arial" w:eastAsia="Arial" w:hAnsi="Arial"/>
          <w:sz w:val="18"/>
          <w:szCs w:val="18"/>
          <w:color w:val="auto"/>
        </w:rPr>
        <w:t xml:space="preserve"> This Agreement shall be binding upon and inure to the benefit of all of the parties and, to the extent permitted by this Agreement, their successors, executors, administrators, heirs, legal representatives and assigns.</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12.05 </w:t>
      </w:r>
      <w:r>
        <w:rPr>
          <w:rFonts w:ascii="Arial" w:cs="Arial" w:eastAsia="Arial" w:hAnsi="Arial"/>
          <w:sz w:val="18"/>
          <w:szCs w:val="18"/>
          <w:b w:val="1"/>
          <w:bCs w:val="1"/>
          <w:color w:val="auto"/>
        </w:rPr>
        <w:t>Interpretation.</w:t>
      </w:r>
      <w:r>
        <w:rPr>
          <w:rFonts w:ascii="Arial" w:cs="Arial" w:eastAsia="Arial" w:hAnsi="Arial"/>
          <w:sz w:val="18"/>
          <w:szCs w:val="18"/>
          <w:color w:val="auto"/>
        </w:rPr>
        <w:t xml:space="preserve"> Throughout this Agreement, nouns, pronouns and verbs shall be construed as masculine, feminine, neuter, singular or plural, whichever shall be applicable. Unless otherwise specified, all references herein to “Articles,” “Sections” and paragraphs shall refer to corresponding provisions of this Agreement. Each party hereto acknowledges and agrees that the parties hereto have participated collectively in the negotiation and drafting of this Agreement and that he, she or it has had the opportunity to draft, review and edit the language of this Agreement; accordingly, it is the intention of the parties that no presumption for or against any party arising out of drafting all or any part of this Agreement will be applied in any dispute relating to, in connection with or involving this Agreement. Accordingly, the parties hereby waive to the fullest extent permitted by law the benefit of any rule of law or any legal decision that would require that in cases of uncertainty, the language of a contract should be interpreted most strongly against the party who drafted such language.</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12.06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Agreement may be executed and delivered (including by email or facsimile transmission)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w:t>
      </w:r>
      <w:r>
        <w:rPr>
          <w:rFonts w:ascii="Arial" w:cs="Arial" w:eastAsia="Arial" w:hAnsi="Arial"/>
          <w:sz w:val="18"/>
          <w:szCs w:val="18"/>
          <w:u w:val="single" w:color="auto"/>
          <w:color w:val="auto"/>
        </w:rPr>
        <w:t>Section 12.06</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12.07 </w:t>
      </w:r>
      <w:r>
        <w:rPr>
          <w:rFonts w:ascii="Arial" w:cs="Arial" w:eastAsia="Arial" w:hAnsi="Arial"/>
          <w:sz w:val="17"/>
          <w:szCs w:val="17"/>
          <w:b w:val="1"/>
          <w:bCs w:val="1"/>
          <w:color w:val="auto"/>
        </w:rPr>
        <w:t>Further Assurances.</w:t>
      </w:r>
      <w:r>
        <w:rPr>
          <w:rFonts w:ascii="Arial" w:cs="Arial" w:eastAsia="Arial" w:hAnsi="Arial"/>
          <w:sz w:val="17"/>
          <w:szCs w:val="17"/>
          <w:color w:val="auto"/>
        </w:rPr>
        <w:t xml:space="preserve"> Each Member shall perform all other acts and execute and deliver all other documents as may be necessary or appropriate to carry out the purposes and intent of this Agreement. In the event of any conflict between this Agreement and any Certificate of Designations, unless otherwise expressly set forth in such Certificate of Designations, the Certificate of Designations shall control.</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12.08 </w:t>
      </w:r>
      <w:r>
        <w:rPr>
          <w:rFonts w:ascii="Arial" w:cs="Arial" w:eastAsia="Arial" w:hAnsi="Arial"/>
          <w:sz w:val="18"/>
          <w:szCs w:val="18"/>
          <w:b w:val="1"/>
          <w:bCs w:val="1"/>
          <w:color w:val="auto"/>
        </w:rPr>
        <w:t>Entire Agreement; Construction.</w:t>
      </w:r>
      <w:r>
        <w:rPr>
          <w:rFonts w:ascii="Arial" w:cs="Arial" w:eastAsia="Arial" w:hAnsi="Arial"/>
          <w:sz w:val="18"/>
          <w:szCs w:val="18"/>
          <w:color w:val="auto"/>
        </w:rPr>
        <w:t xml:space="preserve"> This Agreement constitutes the entire agreement among the parties hereto pertaining to the subject matter hereof and supersedes all prior agreements and understandings, whether oral or written, pertaining thereto (including, without limitation, the Existing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12.09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Agreement shall be governed by, and construed in accordance with, the law of the State of Delaware.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left="660"/>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Submission to Jurisdiction; Waiver of Jury Trial.</w:t>
      </w:r>
    </w:p>
    <w:p>
      <w:pPr>
        <w:spacing w:after="0" w:line="229" w:lineRule="exact"/>
        <w:rPr>
          <w:sz w:val="20"/>
          <w:szCs w:val="20"/>
          <w:color w:val="auto"/>
        </w:rPr>
      </w:pPr>
    </w:p>
    <w:p>
      <w:pPr>
        <w:jc w:val="both"/>
        <w:ind w:firstLine="980"/>
        <w:spacing w:after="0" w:line="267" w:lineRule="auto"/>
        <w:tabs>
          <w:tab w:leader="none" w:pos="121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Any and all disputes which cannot be settled amicably with respect to this Agreement, including any action (at law or in equity), claim, litigation, suit, arbitration, hearing, audit, review, inquiry, proceeding or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Arial" w:cs="Arial" w:eastAsia="Arial" w:hAnsi="Arial"/>
          <w:sz w:val="17"/>
          <w:szCs w:val="17"/>
          <w:u w:val="single" w:color="auto"/>
          <w:color w:val="auto"/>
        </w:rPr>
        <w:t>Section 12.10</w:t>
      </w:r>
      <w:r>
        <w:rPr>
          <w:rFonts w:ascii="Arial" w:cs="Arial" w:eastAsia="Arial" w:hAnsi="Arial"/>
          <w:sz w:val="17"/>
          <w:szCs w:val="17"/>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 (A) 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spacing w:after="0" w:line="188" w:lineRule="exact"/>
        <w:rPr>
          <w:rFonts w:ascii="Arial" w:cs="Arial" w:eastAsia="Arial" w:hAnsi="Arial"/>
          <w:sz w:val="17"/>
          <w:szCs w:val="17"/>
          <w:color w:val="auto"/>
        </w:rPr>
      </w:pPr>
    </w:p>
    <w:p>
      <w:pPr>
        <w:jc w:val="both"/>
        <w:ind w:firstLine="980"/>
        <w:spacing w:after="0" w:line="286" w:lineRule="auto"/>
        <w:tabs>
          <w:tab w:leader="none" w:pos="123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165" w:lineRule="exact"/>
        <w:rPr>
          <w:rFonts w:ascii="Arial" w:cs="Arial" w:eastAsia="Arial" w:hAnsi="Arial"/>
          <w:sz w:val="17"/>
          <w:szCs w:val="17"/>
          <w:color w:val="auto"/>
        </w:rPr>
      </w:pPr>
    </w:p>
    <w:p>
      <w:pPr>
        <w:jc w:val="both"/>
        <w:ind w:firstLine="980"/>
        <w:spacing w:after="0" w:line="259" w:lineRule="auto"/>
        <w:tabs>
          <w:tab w:leader="none" w:pos="128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186" w:lineRule="exact"/>
        <w:rPr>
          <w:rFonts w:ascii="Arial" w:cs="Arial" w:eastAsia="Arial" w:hAnsi="Arial"/>
          <w:sz w:val="18"/>
          <w:szCs w:val="18"/>
          <w:color w:val="auto"/>
        </w:rPr>
      </w:pPr>
    </w:p>
    <w:p>
      <w:pPr>
        <w:jc w:val="both"/>
        <w:ind w:firstLine="980"/>
        <w:spacing w:after="0" w:line="275" w:lineRule="auto"/>
        <w:tabs>
          <w:tab w:leader="none" w:pos="125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EACH PARTY, FOR ITSELF AND ITS AFFILIATES, HEREBY IRREVOCABLY AND UNCONDITIONALLY WAIVES TO THE FULLEST EXTENT PERMITTED BY APPLICABLE LAW ALL RIGHT TO TRIAL BY JURY IN ANY ACTION OR COUNTERCLAIM (WHETHER BASED ON CONTRACT, TORT OR OTHERWISE) ARISING OUT OF OR RELATING TO THE ACTIONS OF THE PARTIES OR THEIR RESPECTIVE AFFILIATES PURSUANT TO THIS AGREEMENT OR THE OTHER ANCILLARY DOCUMENTS (AS DEFINED IN THE BUSINESS COMBINATION AGREEMENT) IN THE NEGOTIATION, ADMINISTRATION, PERFORMANCE OR ENFORCEMENT HEREOF OR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66"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Except as otherwise specified in this Agreement, the Company shall be responsible for all costs and expenses, including, without limitation, fees and disbursements of counsel, financial advisors and accountants, incurred by the Members and the Company in connection with the preparation, negotiation, and operation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color w:val="auto"/>
        </w:rPr>
        <w:t>Amendments and Waivers.</w:t>
      </w:r>
    </w:p>
    <w:p>
      <w:pPr>
        <w:spacing w:after="0" w:line="229" w:lineRule="exact"/>
        <w:rPr>
          <w:sz w:val="20"/>
          <w:szCs w:val="20"/>
          <w:color w:val="auto"/>
        </w:rPr>
      </w:pPr>
    </w:p>
    <w:p>
      <w:pPr>
        <w:jc w:val="both"/>
        <w:ind w:firstLine="980"/>
        <w:spacing w:after="0" w:line="284" w:lineRule="auto"/>
        <w:tabs>
          <w:tab w:leader="none" w:pos="121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This Agreement (including the Annexes hereto) may be amended, supplemented, waived or modified by the Managing Member in its sole discretion without the approval of any other Member or other Person so long as such amendment is executed and delivered to the Company by the Original Member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(i) the Series A Preferred Units are converted into Class B Units pursuant to the terms of the applicable Certificate of Designations and (ii) the holders of such converted Series A Preferred Units hold a majority of the outstanding Class A Units and Class B Units combined (such holders, the “</w:t>
      </w:r>
      <w:r>
        <w:rPr>
          <w:rFonts w:ascii="Arial" w:cs="Arial" w:eastAsia="Arial" w:hAnsi="Arial"/>
          <w:sz w:val="16"/>
          <w:szCs w:val="16"/>
          <w:b w:val="1"/>
          <w:bCs w:val="1"/>
          <w:i w:val="1"/>
          <w:iCs w:val="1"/>
          <w:color w:val="auto"/>
        </w:rPr>
        <w:t>Converted Series A Holders</w:t>
      </w:r>
      <w:r>
        <w:rPr>
          <w:rFonts w:ascii="Arial" w:cs="Arial" w:eastAsia="Arial" w:hAnsi="Arial"/>
          <w:sz w:val="16"/>
          <w:szCs w:val="16"/>
          <w:color w:val="auto"/>
        </w:rPr>
        <w:t>”), then (A) the execution and delivery to the Company of any amendment, supplement, waiver or modification by the Converted Series A Holders shall be required (except as otherwise expressly set forth in this Agreement) and</w:t>
      </w:r>
    </w:p>
    <w:p>
      <w:pPr>
        <w:spacing w:after="0" w:line="4" w:lineRule="exact"/>
        <w:rPr>
          <w:rFonts w:ascii="Arial" w:cs="Arial" w:eastAsia="Arial" w:hAnsi="Arial"/>
          <w:sz w:val="16"/>
          <w:szCs w:val="16"/>
          <w:color w:val="auto"/>
        </w:rPr>
      </w:pPr>
    </w:p>
    <w:p>
      <w:pPr>
        <w:jc w:val="both"/>
        <w:ind w:firstLine="8"/>
        <w:spacing w:after="0" w:line="283" w:lineRule="auto"/>
        <w:tabs>
          <w:tab w:leader="none" w:pos="32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execution and the execution and delivery by the Original Member Representative shall only be required with respect to any amendment, supplement, waiver or modification which amends, supplements, waives or modifies the rights and privileges of the Original Member Representative as set forth in </w:t>
      </w:r>
      <w:r>
        <w:rPr>
          <w:rFonts w:ascii="Arial" w:cs="Arial" w:eastAsia="Arial" w:hAnsi="Arial"/>
          <w:sz w:val="16"/>
          <w:szCs w:val="16"/>
          <w:u w:val="single" w:color="auto"/>
          <w:color w:val="auto"/>
        </w:rPr>
        <w:t>Sections 5.06</w:t>
      </w:r>
      <w:r>
        <w:rPr>
          <w:rFonts w:ascii="Arial" w:cs="Arial" w:eastAsia="Arial" w:hAnsi="Arial"/>
          <w:sz w:val="16"/>
          <w:szCs w:val="16"/>
          <w:color w:val="auto"/>
        </w:rPr>
        <w:t xml:space="preserve">, </w:t>
      </w:r>
      <w:r>
        <w:rPr>
          <w:rFonts w:ascii="Arial" w:cs="Arial" w:eastAsia="Arial" w:hAnsi="Arial"/>
          <w:sz w:val="16"/>
          <w:szCs w:val="16"/>
          <w:u w:val="single" w:color="auto"/>
          <w:color w:val="auto"/>
        </w:rPr>
        <w:t>5.08</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8.10</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12.12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(x) the Managing Member may, without the written consent of any Member or any other Person, amend, supplement, waive or modify any provision of this Agreement, and execute, swear to, acknowledge, deliver, file and record whatever documents may be required in connection therewith, to reflect: (1) any amendment, supplement, waiver or modification that the Managing Member determines in its reasonable discretion to be necessary or appropriate in connection with the creation, authorization or issuance of Units or any Class of equity interest in the Company pursuant to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(2) the admission, substitution, or withdrawal of Members in accordance with this Agreement, pursuant to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(3) a change in the name of the Company, the location of the principal place of business of the Company, the registered agent of the Company or the registered office of the Company; (4) any amendment, supplement, waiver or modification that the Managing Member determines in its reasonable discretion to be necessary or appropriate to address changes in U.S. federal income tax regulations, legislation or interpretation; and/or (5) a change in the Fiscal Year or taxable year of the Company and any other changes that the Managing Member determines to be necessary or appropriate as a result of a change in the Fiscal Year or taxable year of the Company including a change in the dates on which distributions are to be made by the Company and (y)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of this Agreement may be amended or modified, in whole or in part, only with the written consent of the Managing Member and the Members holding at least a majority of the then outstanding Class B Units which are not subject to vesting and forfeiture. Notwithstanding the foregoing, no amendment, including any amendment effected by way of merger, consolidation or transfer of all or substantially all the assets of the Company, may materially and adversely affect the rights of a Class without the consent of a majority in interest of such Class.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 Notwithstanding the foregoing and any other provision of this Agreement, this Agreement (including the Annexes hereto) may not be amended, supplemented, waived or modified, including any amendment effected by way of merger, consolidation or transfer of all or substantially all the assets of the Company and its Subsidiaries, in a manner that requires the approval of the holders of any Class created pursuant to a Certificate of Designations unless such approval is first obtained.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980"/>
        <w:spacing w:after="0" w:line="259" w:lineRule="auto"/>
        <w:tabs>
          <w:tab w:leader="none" w:pos="124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6" w:lineRule="exact"/>
        <w:rPr>
          <w:rFonts w:ascii="Arial" w:cs="Arial" w:eastAsia="Arial" w:hAnsi="Arial"/>
          <w:sz w:val="18"/>
          <w:szCs w:val="18"/>
          <w:color w:val="auto"/>
        </w:rPr>
      </w:pPr>
    </w:p>
    <w:p>
      <w:pPr>
        <w:jc w:val="both"/>
        <w:ind w:firstLine="980"/>
        <w:spacing w:after="0" w:line="284" w:lineRule="auto"/>
        <w:tabs>
          <w:tab w:leader="none" w:pos="126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Notwithstanding the requirements of </w:t>
      </w:r>
      <w:r>
        <w:rPr>
          <w:rFonts w:ascii="Arial" w:cs="Arial" w:eastAsia="Arial" w:hAnsi="Arial"/>
          <w:sz w:val="16"/>
          <w:szCs w:val="16"/>
          <w:u w:val="single" w:color="auto"/>
          <w:color w:val="auto"/>
        </w:rPr>
        <w:t>Section 12.12(a)</w:t>
      </w:r>
      <w:r>
        <w:rPr>
          <w:rFonts w:ascii="Arial" w:cs="Arial" w:eastAsia="Arial" w:hAnsi="Arial"/>
          <w:sz w:val="16"/>
          <w:szCs w:val="16"/>
          <w:color w:val="auto"/>
        </w:rPr>
        <w:t>, the Managing Member may, in its sole discretion, unilaterally amend this Agreement on or before the effective date of the final regulations to provide for (i) the election of a safe harbor under Proposed Treasury Regulations Section 1.83-3(l) (or any similar provision) under which the fair market value of a Company interest (or interest in an entity treated as a partnership for U.S. federal income tax purposes) that is transferred is treated as being equal to the liquidation value of that interest, (ii) an agreement by the Company and each of its Members to comply with all of the requirements set forth in such regulations and Notice 2005-43 (and any other guidance provided by the Internal Revenue Service with respect to such election) with respect to all Company interests (or interest in an entity treated as a partnership for U.S. federal income tax purposes) transferred in connection with the performance of services while the election remains effective, (iii) the allocation of items of income, gains, deductions and losses required by the final regulations similar to Proposed Treasury Regulations Sections 1.704-1(b)(4)(xii)(b), 1.704-1(b)</w:t>
      </w:r>
    </w:p>
    <w:p>
      <w:pPr>
        <w:spacing w:after="0"/>
        <w:rPr>
          <w:rFonts w:ascii="Arial" w:cs="Arial" w:eastAsia="Arial" w:hAnsi="Arial"/>
          <w:sz w:val="16"/>
          <w:szCs w:val="16"/>
          <w:color w:val="auto"/>
        </w:rPr>
      </w:pPr>
      <w:r>
        <w:rPr>
          <w:rFonts w:ascii="Arial" w:cs="Arial" w:eastAsia="Arial" w:hAnsi="Arial"/>
          <w:sz w:val="18"/>
          <w:szCs w:val="18"/>
          <w:color w:val="auto"/>
        </w:rPr>
        <w:t>(4)(xii)(c) and 1.704- 1(b)(2)(iv)(b)(1) and (iv) any other related amendments.</w:t>
      </w:r>
    </w:p>
    <w:p>
      <w:pPr>
        <w:spacing w:after="0" w:line="210" w:lineRule="exact"/>
        <w:rPr>
          <w:rFonts w:ascii="Arial" w:cs="Arial" w:eastAsia="Arial" w:hAnsi="Arial"/>
          <w:sz w:val="16"/>
          <w:szCs w:val="16"/>
          <w:color w:val="auto"/>
        </w:rPr>
      </w:pPr>
    </w:p>
    <w:p>
      <w:pPr>
        <w:jc w:val="both"/>
        <w:ind w:firstLine="980"/>
        <w:spacing w:after="0" w:line="263" w:lineRule="auto"/>
        <w:tabs>
          <w:tab w:leader="none" w:pos="122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Except as may be otherwise required by law in connection with the winding- up, liquidation, or dissolution of the Company, each Member hereby irrevocably waives any and all rights that it may have to maintain an action for judicial accounting or for partition of any of the Company’s property.</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b w:val="1"/>
          <w:bCs w:val="1"/>
          <w:color w:val="auto"/>
        </w:rPr>
        <w:t>No Third Party Beneficiaries.</w:t>
      </w:r>
      <w:r>
        <w:rPr>
          <w:rFonts w:ascii="Arial" w:cs="Arial" w:eastAsia="Arial" w:hAnsi="Arial"/>
          <w:sz w:val="18"/>
          <w:szCs w:val="18"/>
          <w:color w:val="auto"/>
        </w:rPr>
        <w:t xml:space="preserve"> This Agreement shall be binding upon and inure solely to the benefit of the parties hereto and their permitted assigns and successors and nothing herein, express or implied, is intended to or shall confer upon any other Person or entity, any legal or equitable right, benefit or remedy of any nature whatsoever under or by reason of this Agreement (other than pursuant to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employee, officer, director, agent or indemnitee of any Person who is bound by this Agreement or its Affiliates is an intended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beneficiary of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and shall be entitled to enforce its rights thereunder.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b w:val="1"/>
          <w:bCs w:val="1"/>
          <w:color w:val="auto"/>
        </w:rPr>
        <w:t>Headings.</w:t>
      </w:r>
      <w:r>
        <w:rPr>
          <w:rFonts w:ascii="Arial" w:cs="Arial" w:eastAsia="Arial" w:hAnsi="Arial"/>
          <w:sz w:val="18"/>
          <w:szCs w:val="18"/>
          <w:color w:val="auto"/>
        </w:rPr>
        <w:t xml:space="preserve"> The headings and subheadings in this Agreement are included for convenience and identification only and are in no way intended to describe, interpret, define or limit the scope, extent or intent of this Agreement or any provision hereof.</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b w:val="1"/>
          <w:bCs w:val="1"/>
          <w:color w:val="auto"/>
        </w:rPr>
        <w:t>Power of Attorney.</w:t>
      </w:r>
      <w:r>
        <w:rPr>
          <w:rFonts w:ascii="Arial" w:cs="Arial" w:eastAsia="Arial" w:hAnsi="Arial"/>
          <w:sz w:val="16"/>
          <w:szCs w:val="16"/>
          <w:color w:val="auto"/>
        </w:rPr>
        <w:t xml:space="preserve"> Each Member, by its execution hereof, hereby makes, constitutes and appoints the Company as its true and lawful agent and attorney in fact, with full power of substitution and full power and authority in its name, place and stead, to make, execute, sign, acknowledge, swear to, record and file (a) this Agreement and any amendment to this Agreement that has been consented to and adopted as herein provided; (b) all amendments to the Certificate required or permitted by law or the provisions of this Agreement; (c) all certificates and other instruments (including consents and ratifications which the Members have agreed to provide upon a matter receiving the agreed support of Members) deemed advisable by the Managing Member to carry out the provisions of this Agreement and Law or to permit the Company to become or to continue as a limited liability company or entity wherein the Members have limited liability in each jurisdiction where the Company may be doing business; (d) all instruments that the Managing Member deems appropriate to reflect a change or modification of this Agreement or the Company in accordance with this Agreement, including, without limitation, the admission of additional Members or substituted Members pursuant to the provisions of this Agreement; (e) all conveyances and other instruments or papers deemed advisable by the Managing Member to effect the liquidation and termination of the Company; and (f) all fictitious or assumed name certificates required or permitted (in light of the Company’s activities) to be filed on behalf of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648"/>
        <w:spacing w:after="0" w:line="269" w:lineRule="auto"/>
        <w:rPr>
          <w:sz w:val="20"/>
          <w:szCs w:val="20"/>
          <w:color w:val="auto"/>
        </w:rPr>
      </w:pPr>
      <w:r>
        <w:rPr>
          <w:rFonts w:ascii="Arial" w:cs="Arial" w:eastAsia="Arial" w:hAnsi="Arial"/>
          <w:sz w:val="17"/>
          <w:szCs w:val="17"/>
          <w:color w:val="auto"/>
        </w:rPr>
        <w:t xml:space="preserve">12.16 </w:t>
      </w:r>
      <w:r>
        <w:rPr>
          <w:rFonts w:ascii="Arial" w:cs="Arial" w:eastAsia="Arial" w:hAnsi="Arial"/>
          <w:sz w:val="17"/>
          <w:szCs w:val="17"/>
          <w:b w:val="1"/>
          <w:bCs w:val="1"/>
          <w:color w:val="auto"/>
        </w:rPr>
        <w:t>Separate Agreements; Schedules.</w:t>
      </w:r>
      <w:r>
        <w:rPr>
          <w:rFonts w:ascii="Arial" w:cs="Arial" w:eastAsia="Arial" w:hAnsi="Arial"/>
          <w:sz w:val="17"/>
          <w:szCs w:val="17"/>
          <w:color w:val="auto"/>
        </w:rPr>
        <w:t xml:space="preserve"> Notwithstanding any other provision of this Agreement, including </w:t>
      </w:r>
      <w:r>
        <w:rPr>
          <w:rFonts w:ascii="Arial" w:cs="Arial" w:eastAsia="Arial" w:hAnsi="Arial"/>
          <w:sz w:val="17"/>
          <w:szCs w:val="17"/>
          <w:u w:val="single" w:color="auto"/>
          <w:color w:val="auto"/>
        </w:rPr>
        <w:t>Section 12.12</w:t>
      </w:r>
      <w:r>
        <w:rPr>
          <w:rFonts w:ascii="Arial" w:cs="Arial" w:eastAsia="Arial" w:hAnsi="Arial"/>
          <w:sz w:val="17"/>
          <w:szCs w:val="17"/>
          <w:color w:val="auto"/>
        </w:rPr>
        <w:t xml:space="preserve">, the Managing Member in its sole discretion may, or may cause the Company to, without the approval of any Member or other Person, enter into separate subscription, letter or other agreements with individual Members that have become or will become Members after the date hereof with respect to any matter, which have the effect of establishing rights under, or altering, supplementing or amending the terms of, this Agreement (so long as such subscription, letter or other agreements do not conflict with the express terms of any applicable Certificate of Desginations). The parties hereto agree that any terms contained in any such separate agreement shall govern with respect to such future Member(s) party thereto notwithstanding the provisions of this Agreement. The Managing Member in its sole discretion,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 Notwithstanding anything to the contrary, solely for U.S. federal income tax purposes, this Agreement and any other separate agreement described in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shall constitute a “partnership agreement” within the meaning of Section 761 of the Code.</w:t>
      </w:r>
    </w:p>
    <w:p>
      <w:pPr>
        <w:spacing w:after="0" w:line="1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b w:val="1"/>
          <w:bCs w:val="1"/>
          <w:color w:val="auto"/>
        </w:rPr>
        <w:t>Partnership Status.</w:t>
      </w:r>
      <w:r>
        <w:rPr>
          <w:rFonts w:ascii="Arial" w:cs="Arial" w:eastAsia="Arial" w:hAnsi="Arial"/>
          <w:sz w:val="18"/>
          <w:szCs w:val="18"/>
          <w:color w:val="auto"/>
        </w:rPr>
        <w:t xml:space="preserve"> The Members intend to treat the Company as a partnership for U.S. federal income tax purposes and notwithstanding anything to the contrary herein, no election to the contrary shall be made without the consent of each of the Members.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b w:val="1"/>
          <w:bCs w:val="1"/>
          <w:color w:val="auto"/>
        </w:rPr>
        <w:t>Delivery by Facsimile or Email.</w:t>
      </w:r>
      <w:r>
        <w:rPr>
          <w:rFonts w:ascii="Arial" w:cs="Arial" w:eastAsia="Arial" w:hAnsi="Arial"/>
          <w:sz w:val="18"/>
          <w:szCs w:val="18"/>
          <w:color w:val="auto"/>
        </w:rPr>
        <w:t xml:space="preserve">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firstLine="623"/>
        <w:spacing w:after="0" w:line="28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WITNESS WHEREOF,</w:t>
      </w:r>
      <w:r>
        <w:rPr>
          <w:rFonts w:ascii="Arial" w:cs="Arial" w:eastAsia="Arial" w:hAnsi="Arial"/>
          <w:sz w:val="18"/>
          <w:szCs w:val="18"/>
          <w:color w:val="auto"/>
        </w:rPr>
        <w:t xml:space="preserve"> the parties hereto have entered into this Agreement or have caused this Agreement to be duly executed by their respective authorized officers, in each case as of the date first above stated.</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MEMBER: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OPAL HOLDCO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By: Fortistar Renewables LLC, its Manager</w:t>
      </w:r>
    </w:p>
    <w:p>
      <w:pPr>
        <w:spacing w:after="0" w:line="25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Contino</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Second Amended and Restated Limited Liability Company Agreement of Opal Fuels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0" w:name="page191"/>
    <w:bookmarkEnd w:id="190"/>
    <w:p>
      <w:pPr>
        <w:ind w:left="5640"/>
        <w:spacing w:after="0"/>
        <w:rPr>
          <w:sz w:val="20"/>
          <w:szCs w:val="20"/>
          <w:color w:val="auto"/>
        </w:rPr>
      </w:pPr>
      <w:r>
        <w:rPr>
          <w:rFonts w:ascii="Arial" w:cs="Arial" w:eastAsia="Arial" w:hAnsi="Arial"/>
          <w:sz w:val="18"/>
          <w:szCs w:val="18"/>
          <w:b w:val="1"/>
          <w:bCs w:val="1"/>
          <w:color w:val="auto"/>
        </w:rPr>
        <w:t>HILLMAN RNG INVESTMENTS,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By: Hillman Power Company L.L.C., its Managing</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Contino</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[Signature page to Second Amended and Restated Limited Liability Company Agreement of Opal Fuels LLC]</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60"/>
          </w:cols>
          <w:pgMar w:left="1440" w:top="904" w:right="899" w:bottom="1440" w:gutter="0" w:footer="0" w:header="0"/>
        </w:sectPr>
      </w:pPr>
    </w:p>
    <w:bookmarkStart w:id="191" w:name="page192"/>
    <w:bookmarkEnd w:id="191"/>
    <w:p>
      <w:pPr>
        <w:ind w:left="564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Limited Liability Company Agreement of Opal Fuels LLC</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A</w:t>
            </w:r>
          </w:p>
        </w:tc>
        <w:tc>
          <w:tcPr>
            <w:tcW w:w="120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360" w:type="dxa"/>
            <w:vAlign w:val="bottom"/>
          </w:tcPr>
          <w:p>
            <w:pPr>
              <w:spacing w:after="0"/>
              <w:rPr>
                <w:sz w:val="24"/>
                <w:szCs w:val="24"/>
                <w:color w:val="auto"/>
              </w:rPr>
            </w:pPr>
          </w:p>
        </w:tc>
        <w:tc>
          <w:tcPr>
            <w:tcW w:w="29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9"/>
              </w:rPr>
              <w:t>Schedule of Members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Series A</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Series A-1</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Class A</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Class B</w:t>
            </w:r>
          </w:p>
        </w:tc>
        <w:tc>
          <w:tcPr>
            <w:tcW w:w="0" w:type="dxa"/>
            <w:vAlign w:val="bottom"/>
          </w:tcPr>
          <w:p>
            <w:pPr>
              <w:spacing w:after="0"/>
              <w:rPr>
                <w:sz w:val="1"/>
                <w:szCs w:val="1"/>
                <w:color w:val="auto"/>
              </w:rPr>
            </w:pPr>
          </w:p>
        </w:tc>
      </w:tr>
      <w:tr>
        <w:trPr>
          <w:trHeight w:val="241"/>
        </w:trPr>
        <w:tc>
          <w:tcPr>
            <w:tcW w:w="4360" w:type="dxa"/>
            <w:vAlign w:val="bottom"/>
          </w:tcPr>
          <w:p>
            <w:pPr>
              <w:spacing w:after="0"/>
              <w:rPr>
                <w:sz w:val="20"/>
                <w:szCs w:val="20"/>
                <w:color w:val="auto"/>
              </w:rPr>
            </w:pPr>
            <w:r>
              <w:rPr>
                <w:rFonts w:ascii="Arial" w:cs="Arial" w:eastAsia="Arial" w:hAnsi="Arial"/>
                <w:sz w:val="18"/>
                <w:szCs w:val="18"/>
                <w:b w:val="1"/>
                <w:bCs w:val="1"/>
                <w:color w:val="auto"/>
              </w:rPr>
              <w:t>Member Name and Address</w:t>
            </w: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Preferred Units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Preferred Units</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Units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0" w:type="dxa"/>
            <w:vAlign w:val="bottom"/>
          </w:tcPr>
          <w:p>
            <w:pPr>
              <w:spacing w:after="0"/>
              <w:rPr>
                <w:sz w:val="1"/>
                <w:szCs w:val="1"/>
                <w:color w:val="auto"/>
              </w:rPr>
            </w:pPr>
          </w:p>
        </w:tc>
      </w:tr>
      <w:tr>
        <w:trPr>
          <w:trHeight w:val="202"/>
        </w:trPr>
        <w:tc>
          <w:tcPr>
            <w:tcW w:w="4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OPAL Fuels Inc.</w:t>
            </w:r>
          </w:p>
        </w:tc>
        <w:tc>
          <w:tcPr>
            <w:tcW w:w="8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 North Lexington Avenue, Suite 1450</w:t>
            </w: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Plains, NY 10601</w:t>
            </w:r>
          </w:p>
        </w:tc>
        <w:tc>
          <w:tcPr>
            <w:tcW w:w="29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25,171,390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OPAL HoldCo LLC</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One North Lexington Avenue, Suite 1450</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White Plains, NY 10601</w:t>
            </w:r>
          </w:p>
        </w:tc>
        <w:tc>
          <w:tcPr>
            <w:tcW w:w="2940" w:type="dxa"/>
            <w:vAlign w:val="bottom"/>
            <w:gridSpan w:val="6"/>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142,377,450</w:t>
            </w:r>
          </w:p>
        </w:tc>
        <w:tc>
          <w:tcPr>
            <w:tcW w:w="0" w:type="dxa"/>
            <w:vAlign w:val="bottom"/>
          </w:tcPr>
          <w:p>
            <w:pPr>
              <w:spacing w:after="0"/>
              <w:rPr>
                <w:sz w:val="1"/>
                <w:szCs w:val="1"/>
                <w:color w:val="auto"/>
              </w:rPr>
            </w:pPr>
          </w:p>
        </w:tc>
      </w:tr>
      <w:tr>
        <w:trPr>
          <w:trHeight w:val="202"/>
        </w:trPr>
        <w:tc>
          <w:tcPr>
            <w:tcW w:w="730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Hillman RNG Investments, LLC One North Lexington Avenue, Suite 1450</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Plains, NY 10601</w:t>
            </w:r>
          </w:p>
        </w:tc>
        <w:tc>
          <w:tcPr>
            <w:tcW w:w="29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2,021,587</w:t>
            </w: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Mendocino Capital, LLC</w:t>
            </w:r>
          </w:p>
        </w:tc>
        <w:tc>
          <w:tcPr>
            <w:tcW w:w="1540" w:type="dxa"/>
            <w:vAlign w:val="bottom"/>
            <w:gridSpan w:val="3"/>
            <w:vMerge w:val="restart"/>
          </w:tcPr>
          <w:p>
            <w:pPr>
              <w:spacing w:after="0"/>
              <w:rPr>
                <w:sz w:val="17"/>
                <w:szCs w:val="17"/>
                <w:color w:val="auto"/>
              </w:rPr>
            </w:pPr>
          </w:p>
        </w:tc>
        <w:tc>
          <w:tcPr>
            <w:tcW w:w="14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1,000,000</w:t>
            </w: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4360" w:type="dxa"/>
            <w:vAlign w:val="bottom"/>
          </w:tcPr>
          <w:p>
            <w:pPr>
              <w:ind w:left="180"/>
              <w:spacing w:after="0"/>
              <w:rPr>
                <w:sz w:val="20"/>
                <w:szCs w:val="20"/>
                <w:color w:val="auto"/>
              </w:rPr>
            </w:pPr>
            <w:r>
              <w:rPr>
                <w:rFonts w:ascii="Arial" w:cs="Arial" w:eastAsia="Arial" w:hAnsi="Arial"/>
                <w:sz w:val="18"/>
                <w:szCs w:val="18"/>
                <w:color w:val="auto"/>
              </w:rPr>
              <w:t>700 Universe Boulevard Juno Beach, Florida 33408</w:t>
            </w:r>
          </w:p>
        </w:tc>
        <w:tc>
          <w:tcPr>
            <w:tcW w:w="154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vMerge w:val="continue"/>
            <w:shd w:val="clear" w:color="auto" w:fill="CCEEFF"/>
          </w:tcPr>
          <w:p>
            <w:pPr>
              <w:spacing w:after="0"/>
              <w:rPr>
                <w:sz w:val="21"/>
                <w:szCs w:val="21"/>
                <w:color w:val="auto"/>
              </w:rPr>
            </w:pPr>
          </w:p>
        </w:tc>
        <w:tc>
          <w:tcPr>
            <w:tcW w:w="1540" w:type="dxa"/>
            <w:vAlign w:val="bottom"/>
            <w:gridSpan w:val="3"/>
            <w:shd w:val="clear" w:color="auto" w:fill="CCEEFF"/>
          </w:tcPr>
          <w:p>
            <w:pPr>
              <w:spacing w:after="0"/>
              <w:rPr>
                <w:sz w:val="21"/>
                <w:szCs w:val="21"/>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1,000,000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25,171,390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144,399,037</w:t>
            </w:r>
          </w:p>
        </w:tc>
        <w:tc>
          <w:tcPr>
            <w:tcW w:w="0" w:type="dxa"/>
            <w:vAlign w:val="bottom"/>
          </w:tcPr>
          <w:p>
            <w:pPr>
              <w:spacing w:after="0"/>
              <w:rPr>
                <w:sz w:val="1"/>
                <w:szCs w:val="1"/>
                <w:color w:val="auto"/>
              </w:rPr>
            </w:pPr>
          </w:p>
        </w:tc>
      </w:tr>
      <w:tr>
        <w:trPr>
          <w:trHeight w:val="21"/>
        </w:trPr>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jc w:val="center"/>
              <w:ind w:left="1030"/>
              <w:spacing w:after="0"/>
              <w:rPr>
                <w:sz w:val="20"/>
                <w:szCs w:val="20"/>
                <w:color w:val="auto"/>
              </w:rPr>
            </w:pPr>
            <w:r>
              <w:rPr>
                <w:rFonts w:ascii="Arial" w:cs="Arial" w:eastAsia="Arial" w:hAnsi="Arial"/>
                <w:sz w:val="18"/>
                <w:szCs w:val="18"/>
                <w:color w:val="auto"/>
                <w:w w:val="93"/>
              </w:rPr>
              <w:t>-61-</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Exchange Notice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Form of Exchange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Reference is hereby made to the Second Amended and Restated Limited Liability Company Agreement of Opal Fuels LLC, dated as of July 21, 2022 (as amended from time to time in accordance with its terms, the “</w:t>
      </w:r>
      <w:r>
        <w:rPr>
          <w:rFonts w:ascii="Arial" w:cs="Arial" w:eastAsia="Arial" w:hAnsi="Arial"/>
          <w:sz w:val="18"/>
          <w:szCs w:val="18"/>
          <w:u w:val="single" w:color="auto"/>
          <w:color w:val="auto"/>
        </w:rPr>
        <w:t>LLC Agreement</w:t>
      </w:r>
      <w:r>
        <w:rPr>
          <w:rFonts w:ascii="Arial" w:cs="Arial" w:eastAsia="Arial" w:hAnsi="Arial"/>
          <w:sz w:val="18"/>
          <w:szCs w:val="18"/>
          <w:color w:val="auto"/>
        </w:rPr>
        <w:t>”) of Opal Fuels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by and among Opal Fuels Inc., a Delaware corporation (“</w:t>
      </w:r>
      <w:r>
        <w:rPr>
          <w:rFonts w:ascii="Arial" w:cs="Arial" w:eastAsia="Arial" w:hAnsi="Arial"/>
          <w:sz w:val="18"/>
          <w:szCs w:val="18"/>
          <w:u w:val="single" w:color="auto"/>
          <w:color w:val="auto"/>
        </w:rPr>
        <w:t>PubCo</w:t>
      </w:r>
      <w:r>
        <w:rPr>
          <w:rFonts w:ascii="Arial" w:cs="Arial" w:eastAsia="Arial" w:hAnsi="Arial"/>
          <w:sz w:val="18"/>
          <w:szCs w:val="18"/>
          <w:color w:val="auto"/>
        </w:rPr>
        <w:t>”), and each other Person who is or at any time becomes a Member in accordance with the terms of the LLC Agreement (such Persons, together with PubCo, the “</w:t>
      </w:r>
      <w:r>
        <w:rPr>
          <w:rFonts w:ascii="Arial" w:cs="Arial" w:eastAsia="Arial" w:hAnsi="Arial"/>
          <w:sz w:val="18"/>
          <w:szCs w:val="18"/>
          <w:u w:val="single" w:color="auto"/>
          <w:color w:val="auto"/>
        </w:rPr>
        <w:t>Holders</w:t>
      </w:r>
      <w:r>
        <w:rPr>
          <w:rFonts w:ascii="Arial" w:cs="Arial" w:eastAsia="Arial" w:hAnsi="Arial"/>
          <w:sz w:val="18"/>
          <w:szCs w:val="18"/>
          <w:color w:val="auto"/>
        </w:rPr>
        <w:t>”). Capitalized terms used but not defined herein shall have the meanings given to them in the LLC Agreement.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Holder hereby transfers and surrenders to the Company the number of Units set forth below held by such Holder in Exchange for the issuance to the undersigned Holder of that number of shares of Class A Common Stock equal to the number of Units so exchanged (to be issued in its name as set forth below), or, at the election of PubCo within three (3) Business Days of this notice, for a Cash Exchange Payment to the account set forth below, in each case in accordance with the LLC Agreement. Any portion of the Exchange not settled for a Cash Exchange Payment shall be settled for a Stock Exchange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Legal Name of Holder: 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 to be Exchanged:____________________________________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Exchange Payment instructions:_____________________________________________</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Unitholder desires the shares of Class A Common Stock be settled through the facilities of Continental Stock Transfer and Trust Company (“</w:t>
      </w:r>
      <w:r>
        <w:rPr>
          <w:rFonts w:ascii="Arial" w:cs="Arial" w:eastAsia="Arial" w:hAnsi="Arial"/>
          <w:sz w:val="18"/>
          <w:szCs w:val="18"/>
          <w:u w:val="single" w:color="auto"/>
          <w:color w:val="auto"/>
        </w:rPr>
        <w:t>CST</w:t>
      </w:r>
      <w:r>
        <w:rPr>
          <w:rFonts w:ascii="Arial" w:cs="Arial" w:eastAsia="Arial" w:hAnsi="Arial"/>
          <w:sz w:val="18"/>
          <w:szCs w:val="18"/>
          <w:color w:val="auto"/>
        </w:rPr>
        <w:t>”), please indicate the account of the CST participant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event PubCo elects to certificate the shares of Class A Common Stock issued to the Holder, please indicate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Name for Certificate Delivery: 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for Certificate Delivery: __________________________________________</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undersigned hereby represents and warrants that the undersigned is the owner of the number of Units the undersigned is electing to Exchange pursuant to this Exchange Notice, and that such Units are not subject to any liens or restrictions on transfer (other than restrictions imposed by the LLC Agreement, the charter and governing documents of PubCo and applicable Law).</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undersigned hereby irrevocably constitutes and appoints any officer of PubCo, as applicable, as the attorney of the undersigned, with full power of substitution and resubstitution in the premises, solely to do any and all things and to take any and all actions necessary to effect the Exchange elected 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CERTIFICATE OF DESIGNATIONS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PREFERRED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LLC</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Certificate of Designations of Opal Fuels LLC, a limited liability company organized and existing under the laws of the State of Delaware (the “</w:t>
      </w:r>
      <w:r>
        <w:rPr>
          <w:rFonts w:ascii="Arial" w:cs="Arial" w:eastAsia="Arial" w:hAnsi="Arial"/>
          <w:sz w:val="18"/>
          <w:szCs w:val="18"/>
          <w:i w:val="1"/>
          <w:iCs w:val="1"/>
          <w:color w:val="auto"/>
        </w:rPr>
        <w:t>Company</w:t>
      </w:r>
      <w:r>
        <w:rPr>
          <w:rFonts w:ascii="Arial" w:cs="Arial" w:eastAsia="Arial" w:hAnsi="Arial"/>
          <w:sz w:val="18"/>
          <w:szCs w:val="18"/>
          <w:color w:val="auto"/>
        </w:rPr>
        <w:t>”), sets forth the relative rights, powers, privileges, limitations and restrictions of a series of preferred units designated “Series A Preferred Units,” as established by the Board of Managers of the Company (the “</w:t>
      </w:r>
      <w:r>
        <w:rPr>
          <w:rFonts w:ascii="Arial" w:cs="Arial" w:eastAsia="Arial" w:hAnsi="Arial"/>
          <w:sz w:val="18"/>
          <w:szCs w:val="18"/>
          <w:i w:val="1"/>
          <w:iCs w:val="1"/>
          <w:color w:val="auto"/>
        </w:rPr>
        <w:t>Board of Managers</w:t>
      </w:r>
      <w:r>
        <w:rPr>
          <w:rFonts w:ascii="Arial" w:cs="Arial" w:eastAsia="Arial" w:hAnsi="Arial"/>
          <w:sz w:val="18"/>
          <w:szCs w:val="18"/>
          <w:color w:val="auto"/>
        </w:rPr>
        <w:t>”) in accordance with the provisions of the Amended and Restated Operating Agreement of the Company, dated as of November 29, 2021 as may be amended from time to time (the “</w:t>
      </w:r>
      <w:r>
        <w:rPr>
          <w:rFonts w:ascii="Arial" w:cs="Arial" w:eastAsia="Arial" w:hAnsi="Arial"/>
          <w:sz w:val="18"/>
          <w:szCs w:val="18"/>
          <w:i w:val="1"/>
          <w:iCs w:val="1"/>
          <w:color w:val="auto"/>
        </w:rPr>
        <w:t>Operating Agreement</w:t>
      </w:r>
      <w:r>
        <w:rPr>
          <w:rFonts w:ascii="Arial" w:cs="Arial" w:eastAsia="Arial" w:hAnsi="Arial"/>
          <w:sz w:val="18"/>
          <w:szCs w:val="18"/>
          <w:color w:val="auto"/>
        </w:rPr>
        <w:t>”),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Designation.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hereby authorized and created a series of preferred units of the Company, the designation of which shall be “Series A Preferred Units” (the “</w:t>
      </w:r>
      <w:r>
        <w:rPr>
          <w:rFonts w:ascii="Arial" w:cs="Arial" w:eastAsia="Arial" w:hAnsi="Arial"/>
          <w:sz w:val="18"/>
          <w:szCs w:val="18"/>
          <w:i w:val="1"/>
          <w:iCs w:val="1"/>
          <w:color w:val="auto"/>
        </w:rPr>
        <w:t>Series A Preferred Units</w:t>
      </w:r>
      <w:r>
        <w:rPr>
          <w:rFonts w:ascii="Arial" w:cs="Arial" w:eastAsia="Arial" w:hAnsi="Arial"/>
          <w:sz w:val="18"/>
          <w:szCs w:val="18"/>
          <w:color w:val="auto"/>
        </w:rPr>
        <w:t>”), and which Series A Preferred Units shall constitute “Units” as defined in the Operating Agreement. Each Series A Preferred Unit shall be identical in all respects to every other Series A Preferred Unit.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Number of Units.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number of authorized Series A Preferred Units shall be 2,000,000. That number from time to time may be increased or decreased (but not below the number of Series A Preferred Units then outstanding) by further resolution duly adopted by the Board of Managers (or any duly authorized committee thereof) and by updating this Certificate of Designations stating that such increase or decrease, as the case may be, has been so authorized;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decrease shall require the advanced written consent of the Requisite Holders. The Company may issue fractional Series A Preferred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with respect to Series A Preferred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meaning set forth in the Operating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Preferred Units</w:t>
      </w:r>
      <w:r>
        <w:rPr>
          <w:rFonts w:ascii="Arial" w:cs="Arial" w:eastAsia="Arial" w:hAnsi="Arial"/>
          <w:sz w:val="18"/>
          <w:szCs w:val="18"/>
          <w:color w:val="auto"/>
        </w:rPr>
        <w:t xml:space="preserve">” means any Preferred Units the issuance of which is approved by Mendocino or the Requisite Holders, as applicable, pursuant to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below.</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Amount</w:t>
      </w:r>
      <w:r>
        <w:rPr>
          <w:rFonts w:ascii="Arial" w:cs="Arial" w:eastAsia="Arial" w:hAnsi="Arial"/>
          <w:sz w:val="18"/>
          <w:szCs w:val="18"/>
          <w:color w:val="auto"/>
        </w:rPr>
        <w:t xml:space="preserve">” means, as determined as of any date with respect to any Series A Preferred Unit, the sum of (i) the Original Issue Price and (ii) the amount of any accrued and unpaid cash dividends thereon that have been compounded as of such date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(which clause (ii), for the avoidance of doubt, shall not include the amount of any cash dividends that were satisfied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via the issuance of additional Series A Preferred Units in lieu of payment thereof).</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a business combination (in whatever form) of the Company with a publicly-traded special purpose acquisition company (a “</w:t>
      </w:r>
      <w:r>
        <w:rPr>
          <w:rFonts w:ascii="Arial" w:cs="Arial" w:eastAsia="Arial" w:hAnsi="Arial"/>
          <w:sz w:val="18"/>
          <w:szCs w:val="18"/>
          <w:i w:val="1"/>
          <w:iCs w:val="1"/>
          <w:color w:val="auto"/>
        </w:rPr>
        <w:t>SPAC</w:t>
      </w:r>
      <w:r>
        <w:rPr>
          <w:rFonts w:ascii="Arial" w:cs="Arial" w:eastAsia="Arial" w:hAnsi="Arial"/>
          <w:sz w:val="18"/>
          <w:szCs w:val="18"/>
          <w:color w:val="auto"/>
        </w:rPr>
        <w:t>”) that constitutes the SPAC’s “initial business combination” as described in the prospectus for the SPAC’s initial public offering and results in the Common Units becoming publicly traded on the NYSE or NASDAQ or becoming exchangeable at the request of a holder thereof for shares of a SPAC which are publicly traded on the NYSE or NASDAQ or an equivalent value in cash pursuant to Exchange Rights. As used herein, the term “Business Combination” also includes any associated financing arrangements entered into by the Company or the SPAC (or any successor thereto or resulting entity) in conjunction with the Business Combination for the issuance of equity securities, including any associated private investment in public equity of the SPAC (or any successor thereto or resulting entity).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or Friday on which banking institutions are not authorized or obligated by law, regulation or executive order to close in New York, New York.</w:t>
      </w:r>
    </w:p>
    <w:p>
      <w:pPr>
        <w:spacing w:after="0" w:line="170"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means the occurrence of either of the following after the original issue date of the Series A Preferred Units: (i) the direct or indirect sale, lease, transfer, conveyance or other disposition (including by way of merger or consolidation), in one or a series of related transactions, of all or substantially all of the properties or assets of the Company and its Subsidiaries taken as a whole, to any “person” (as that term is used in Section 13(d)(3) of the Exchange Act), (ii) the consummation of any transaction or series of related transactions (including any merger or consolidation) the result of which is that any “person” (as defined above), other than Opal Holdco LLC or its Affiliates, becomes the beneficial owner, directly or indirectly, of more than 50% of (a) the Company’s voting Units, measured by voting power rather than number of Units, or (b) the voting capital stock of a Reporting Company Affiliate that results from a Business Combination or IPO, or (iii) following a Business Combination or IPO, the resulting Reporting Company Affiliate deregistering its common stock under Section 12(b) of the Exchange Act or ceasing to be required to file current and periodic reports under Section 13 or 15(d) of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a Change of Control does not include a Business Combination or an IPO.</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Units</w:t>
      </w:r>
      <w:r>
        <w:rPr>
          <w:rFonts w:ascii="Arial" w:cs="Arial" w:eastAsia="Arial" w:hAnsi="Arial"/>
          <w:sz w:val="17"/>
          <w:szCs w:val="17"/>
          <w:color w:val="auto"/>
        </w:rPr>
        <w:t xml:space="preserve">” means the Company’s “Common Units” as defined in the Operating Agreement, as such units may be exchanged, reclassified, subdivided, combined or otherwise adjusted from time to time (other than pursuant to the exercise of any Exchange Rights following an IPO or Business Combination); </w:t>
      </w:r>
      <w:r>
        <w:rPr>
          <w:rFonts w:ascii="Arial" w:cs="Arial" w:eastAsia="Arial" w:hAnsi="Arial"/>
          <w:sz w:val="17"/>
          <w:szCs w:val="17"/>
          <w:u w:val="single" w:color="auto"/>
          <w:color w:val="auto"/>
        </w:rPr>
        <w:t>provided</w:t>
      </w:r>
      <w:r>
        <w:rPr>
          <w:rFonts w:ascii="Arial" w:cs="Arial" w:eastAsia="Arial" w:hAnsi="Arial"/>
          <w:sz w:val="17"/>
          <w:szCs w:val="17"/>
          <w:color w:val="auto"/>
        </w:rPr>
        <w:t>, that if pursuant to an IPO or Business Combination, holders of Common Units are issued common voting shares of the Reporting Company Affiliate (other than pursuant to the exercise of Exchange Rights) paired to their holdings of Common Units (“</w:t>
      </w:r>
      <w:r>
        <w:rPr>
          <w:rFonts w:ascii="Arial" w:cs="Arial" w:eastAsia="Arial" w:hAnsi="Arial"/>
          <w:sz w:val="17"/>
          <w:szCs w:val="17"/>
          <w:i w:val="1"/>
          <w:iCs w:val="1"/>
          <w:color w:val="auto"/>
        </w:rPr>
        <w:t>Paired Voting Shares</w:t>
      </w:r>
      <w:r>
        <w:rPr>
          <w:rFonts w:ascii="Arial" w:cs="Arial" w:eastAsia="Arial" w:hAnsi="Arial"/>
          <w:sz w:val="17"/>
          <w:szCs w:val="17"/>
          <w:color w:val="auto"/>
        </w:rPr>
        <w:t xml:space="preserve">”), then any Common Units issued upon conversion of any Delayed Redemption Units shall be coupled with an equal number of Paired Voting Shares issued to the Delayed Redemption Holder by the Reporting Company Affiliate;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Paired Voting Shares shall entitle the holder thereof to only a single vote per Paired Voting Share in respect of those matters for which holders of the Reporting Company Affiliate’s voting shares are entitled to vote, notwithstanding that other holders of Common Units may receive pursuant to the IPO or Business Combination Paired Voting Shares entitling the holder thereof to more than one vote (but not more than five votes) per Paired Voting Share in respect of those matters for which holders of the Reporting Company Affiliate’s voting shares are entitled to vote;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holders of Units, other than holders of Common Units as of the Original Subscription Date and Hillman RNG (and their respective Affiliates), shall be permitted to receive pursuant to the IPO or Business Combination Paired Voting Shares entitling the holder thereof to more than one vote per Paired Voting Share in respect of those matters for which holders of the Reporting Company Affiliate’s voting shares are entitled to vote.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 Price</w:t>
      </w:r>
      <w:r>
        <w:rPr>
          <w:rFonts w:ascii="Arial" w:cs="Arial" w:eastAsia="Arial" w:hAnsi="Arial"/>
          <w:sz w:val="18"/>
          <w:szCs w:val="18"/>
          <w:color w:val="auto"/>
        </w:rPr>
        <w:t>” means, as of the applicable Conversion Time:</w:t>
      </w:r>
    </w:p>
    <w:p>
      <w:pPr>
        <w:spacing w:after="0" w:line="225" w:lineRule="exact"/>
        <w:rPr>
          <w:sz w:val="20"/>
          <w:szCs w:val="20"/>
          <w:color w:val="auto"/>
        </w:rPr>
      </w:pPr>
    </w:p>
    <w:p>
      <w:pPr>
        <w:ind w:firstLine="1303"/>
        <w:spacing w:after="0" w:line="277" w:lineRule="auto"/>
        <w:tabs>
          <w:tab w:leader="none" w:pos="152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the Common Units are directly traded on a National Securities Exchange, the VWAP of the Common Units over the twenty (20) trading day period ending on the last trading day immediately preceding the Conversion Date;</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8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the Common Units are not directly traded on a National Securities Exchange, but are exchangeable or convertible into Pubco Common Shares pursuant to Exchange Rights, the VWAP of the Pubco Common Shares over the twenty (20) trading day period ending on the last trading day immediately preceding the Conversion Date (as adjusted to account for the exchange or conversion ratio between the Common Units and the Pubco Common Shares pursuant to the Exchange Rights);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1304"/>
        <w:spacing w:after="0" w:line="253" w:lineRule="auto"/>
        <w:tabs>
          <w:tab w:leader="none" w:pos="162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all other cases, the amount (the “</w:t>
      </w:r>
      <w:r>
        <w:rPr>
          <w:rFonts w:ascii="Arial" w:cs="Arial" w:eastAsia="Arial" w:hAnsi="Arial"/>
          <w:sz w:val="18"/>
          <w:szCs w:val="18"/>
          <w:i w:val="1"/>
          <w:iCs w:val="1"/>
          <w:color w:val="auto"/>
        </w:rPr>
        <w:t>Common Unit FMV</w:t>
      </w:r>
      <w:r>
        <w:rPr>
          <w:rFonts w:ascii="Arial" w:cs="Arial" w:eastAsia="Arial" w:hAnsi="Arial"/>
          <w:sz w:val="18"/>
          <w:szCs w:val="18"/>
          <w:color w:val="auto"/>
        </w:rPr>
        <w:t>”) that a holder of one Common Unit would receive if each of the assets of the Company were to be sold for its fair market value at the applicable Conversion Time, the Company were to pay all of its outstanding liabilities, and the remaining proceeds were to be distributed to the Company’s Members in accordance with the terms of the Operating Agreement. The Common Unit FMV shall be determined by the Board of Managers, acting in good faith and using the Valuation Methodology. The Board of Manager’s determination shall be provided by the Company in writing to the Delayed Redemption Holder (a “</w:t>
      </w:r>
      <w:r>
        <w:rPr>
          <w:rFonts w:ascii="Arial" w:cs="Arial" w:eastAsia="Arial" w:hAnsi="Arial"/>
          <w:sz w:val="18"/>
          <w:szCs w:val="18"/>
          <w:i w:val="1"/>
          <w:iCs w:val="1"/>
          <w:color w:val="auto"/>
        </w:rPr>
        <w:t>Board Determination Notice</w:t>
      </w:r>
      <w:r>
        <w:rPr>
          <w:rFonts w:ascii="Arial" w:cs="Arial" w:eastAsia="Arial" w:hAnsi="Arial"/>
          <w:sz w:val="18"/>
          <w:szCs w:val="18"/>
          <w:color w:val="auto"/>
        </w:rPr>
        <w:t xml:space="preserve">”) exercising its conversion right pursuant to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no later than ten (10) Business Days after receipt of a Conversion Election Notice from such Delayed Redemption Holder in respect of such conversion election, and which determination shall be final and binding on the Company and the Delayed Redemption Holder unless such Delayed Redemption Holder notifies the Company in writing (an “</w:t>
      </w:r>
      <w:r>
        <w:rPr>
          <w:rFonts w:ascii="Arial" w:cs="Arial" w:eastAsia="Arial" w:hAnsi="Arial"/>
          <w:sz w:val="18"/>
          <w:szCs w:val="18"/>
          <w:i w:val="1"/>
          <w:iCs w:val="1"/>
          <w:color w:val="auto"/>
        </w:rPr>
        <w:t>Objection Notice</w:t>
      </w:r>
      <w:r>
        <w:rPr>
          <w:rFonts w:ascii="Arial" w:cs="Arial" w:eastAsia="Arial" w:hAnsi="Arial"/>
          <w:sz w:val="18"/>
          <w:szCs w:val="18"/>
          <w:color w:val="auto"/>
        </w:rPr>
        <w:t>”) no later than five (5) Business Days after receipt of the Board Determination Notice that the Delayed Redemption Holder objects to the Board of Manager’s determination of the Common Unit FMV (an “</w:t>
      </w:r>
      <w:r>
        <w:rPr>
          <w:rFonts w:ascii="Arial" w:cs="Arial" w:eastAsia="Arial" w:hAnsi="Arial"/>
          <w:sz w:val="18"/>
          <w:szCs w:val="18"/>
          <w:i w:val="1"/>
          <w:iCs w:val="1"/>
          <w:color w:val="auto"/>
        </w:rPr>
        <w:t>Objecting Holder</w:t>
      </w:r>
      <w:r>
        <w:rPr>
          <w:rFonts w:ascii="Arial" w:cs="Arial" w:eastAsia="Arial" w:hAnsi="Arial"/>
          <w:sz w:val="18"/>
          <w:szCs w:val="18"/>
          <w:color w:val="auto"/>
        </w:rPr>
        <w:t>”), in which case:</w:t>
      </w:r>
    </w:p>
    <w:p>
      <w:pPr>
        <w:spacing w:after="0" w:line="194" w:lineRule="exact"/>
        <w:rPr>
          <w:rFonts w:ascii="Arial" w:cs="Arial" w:eastAsia="Arial" w:hAnsi="Arial"/>
          <w:sz w:val="18"/>
          <w:szCs w:val="18"/>
          <w:color w:val="auto"/>
        </w:rPr>
      </w:pPr>
    </w:p>
    <w:p>
      <w:pPr>
        <w:jc w:val="both"/>
        <w:ind w:firstLine="1951"/>
        <w:spacing w:after="0" w:line="257" w:lineRule="auto"/>
        <w:tabs>
          <w:tab w:leader="none" w:pos="220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Company and the Objecting Holder shall each promptly retain (at their own respective cost and expense) no later than ten (10) Business Days after delivery of the Objection Notice, a nationally or regionally recognized independent third party valuation firm of their respective choosing (A) with expertise in valuing companies similar to the Company, and (B) acting as an expert and not an arbitrator (each, a “</w:t>
      </w:r>
      <w:r>
        <w:rPr>
          <w:rFonts w:ascii="Arial" w:cs="Arial" w:eastAsia="Arial" w:hAnsi="Arial"/>
          <w:sz w:val="18"/>
          <w:szCs w:val="18"/>
          <w:i w:val="1"/>
          <w:iCs w:val="1"/>
          <w:color w:val="auto"/>
        </w:rPr>
        <w:t>Qualified</w:t>
      </w:r>
      <w:r>
        <w:rPr>
          <w:rFonts w:ascii="Arial" w:cs="Arial" w:eastAsia="Arial" w:hAnsi="Arial"/>
          <w:sz w:val="18"/>
          <w:szCs w:val="18"/>
          <w:color w:val="auto"/>
        </w:rPr>
        <w:t xml:space="preserve"> </w:t>
      </w:r>
      <w:r>
        <w:rPr>
          <w:rFonts w:ascii="Arial" w:cs="Arial" w:eastAsia="Arial" w:hAnsi="Arial"/>
          <w:sz w:val="18"/>
          <w:szCs w:val="18"/>
          <w:i w:val="1"/>
          <w:iCs w:val="1"/>
          <w:color w:val="auto"/>
        </w:rPr>
        <w:t>Valuation Firm</w:t>
      </w:r>
      <w:r>
        <w:rPr>
          <w:rFonts w:ascii="Arial" w:cs="Arial" w:eastAsia="Arial" w:hAnsi="Arial"/>
          <w:sz w:val="18"/>
          <w:szCs w:val="18"/>
          <w:color w:val="auto"/>
        </w:rPr>
        <w:t>”) to determine the Common Unit FMV (which determination shall be a single price, and not a range) as derived from a valuation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using the Valuation Methodology (each, a “</w:t>
      </w:r>
      <w:r>
        <w:rPr>
          <w:rFonts w:ascii="Arial" w:cs="Arial" w:eastAsia="Arial" w:hAnsi="Arial"/>
          <w:sz w:val="18"/>
          <w:szCs w:val="18"/>
          <w:i w:val="1"/>
          <w:iCs w:val="1"/>
          <w:color w:val="auto"/>
        </w:rPr>
        <w:t>Valuation</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952"/>
        <w:spacing w:after="0" w:line="259" w:lineRule="auto"/>
        <w:tabs>
          <w:tab w:leader="none" w:pos="221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Company and the Objecting Holder shall (A) each promptly provide such information to the two Qualified Valuation Firms (at the same time) as is reasonably requested by either Qualified Valuation Firm and (B) instruct the two Qualified Valuation Firms to each render their Valuation and their associated determination of the Common Unit FMV within thirty (30) days of having been retained by the Company or the Objecting Holder, as applicable;</w:t>
      </w:r>
    </w:p>
    <w:p>
      <w:pPr>
        <w:spacing w:after="0" w:line="186" w:lineRule="exact"/>
        <w:rPr>
          <w:rFonts w:ascii="Arial" w:cs="Arial" w:eastAsia="Arial" w:hAnsi="Arial"/>
          <w:sz w:val="18"/>
          <w:szCs w:val="18"/>
          <w:color w:val="auto"/>
        </w:rPr>
      </w:pPr>
    </w:p>
    <w:p>
      <w:pPr>
        <w:jc w:val="both"/>
        <w:ind w:firstLine="1952"/>
        <w:spacing w:after="0" w:line="259" w:lineRule="auto"/>
        <w:tabs>
          <w:tab w:leader="none" w:pos="220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the higher of the Common Unit FMVs determined by the two Qualified Valuation Firms is less than fifteen percent (15%) greater than the lower of the Common Unit FMVs determined by the two Qualified Valuation Firms, then, unless the Objecting Holder has made a Conversion Withdrawal as described below, the Common Unit FMV shall equal the average of the two Common Unit FMVs, and shall be final and binding on the Company and the Objecting Holder;</w:t>
      </w:r>
    </w:p>
    <w:p>
      <w:pPr>
        <w:spacing w:after="0" w:line="186" w:lineRule="exact"/>
        <w:rPr>
          <w:rFonts w:ascii="Arial" w:cs="Arial" w:eastAsia="Arial" w:hAnsi="Arial"/>
          <w:sz w:val="18"/>
          <w:szCs w:val="18"/>
          <w:color w:val="auto"/>
        </w:rPr>
      </w:pPr>
    </w:p>
    <w:p>
      <w:pPr>
        <w:jc w:val="both"/>
        <w:ind w:firstLine="1952"/>
        <w:spacing w:after="0" w:line="287" w:lineRule="auto"/>
        <w:tabs>
          <w:tab w:leader="none" w:pos="2223"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If the higher of the Common Unit FMVs determined by the two Qualified Valuation Firms is more than fifteen percent (15%) greater than the lower of the Common Unit FMVs determined by the two Qualified Valuation Firms, then, unless the Objecting Holder has made a Conversion Withdrawal as described below, the two Qualified Valuation Firms shall then select a third Qualified Valuation Firm to determine the Common Unit FMV based on a Valuation using the Valuation Methodology conducted by the third Qualified Valuation Firm (such third Qualified Valuation Firm shall be jointly retained by the Company and the Objecting Holder and the cost and expense of such third Valuation Firm shall be shared equally between the Company and the Objecting Holder), with the third Qualified Valuation Firm provided such information by the Company, the Objecting Holder and the two Qualified Valuation Firms as is reasonably requested by the third Qualified Valuation Firm and instructed to render its Valuation and associated determination of the Common Unit FMV within thirty (30) days of having been retained by the Company and the Objecting Holder, in which case the determination of the third Qualified Valuation Firm of the Common Unit FMV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determination shall in no event be greater than the higher Common Unit FMV previously determined by the original two Qualified Valuation Firms or less than the lower Common Unit FMV previously determined by such original two Qualified Valuation Firms) shall be final and binding on the Company and the Objecting Holder;</w:t>
      </w:r>
    </w:p>
    <w:p>
      <w:pPr>
        <w:spacing w:after="0" w:line="171" w:lineRule="exact"/>
        <w:rPr>
          <w:rFonts w:ascii="Arial" w:cs="Arial" w:eastAsia="Arial" w:hAnsi="Arial"/>
          <w:sz w:val="16"/>
          <w:szCs w:val="16"/>
          <w:color w:val="auto"/>
        </w:rPr>
      </w:pPr>
    </w:p>
    <w:p>
      <w:pPr>
        <w:jc w:val="both"/>
        <w:ind w:firstLine="1952"/>
        <w:spacing w:after="0" w:line="273" w:lineRule="auto"/>
        <w:tabs>
          <w:tab w:leader="none" w:pos="2206" w:val="left"/>
        </w:tabs>
        <w:numPr>
          <w:ilvl w:val="1"/>
          <w:numId w:val="204"/>
        </w:numPr>
        <w:rPr>
          <w:rFonts w:ascii="Arial" w:cs="Arial" w:eastAsia="Arial" w:hAnsi="Arial"/>
          <w:sz w:val="17"/>
          <w:szCs w:val="17"/>
          <w:color w:val="auto"/>
        </w:rPr>
      </w:pPr>
      <w:r>
        <w:rPr>
          <w:rFonts w:ascii="Arial" w:cs="Arial" w:eastAsia="Arial" w:hAnsi="Arial"/>
          <w:sz w:val="17"/>
          <w:szCs w:val="17"/>
          <w:color w:val="auto"/>
        </w:rPr>
        <w:t>The determination made pursuant to clause (3) or (4), as applicable, shall be final and binding five (5) Business Days after notice of such determination is provided to the Company and the Objecting Holder; provided, however, that the Objecting Holder may withdraw its Conversion Election Notice at any time within five (5) Business Days of receipt of the Common Unit FMVs determined by the two Qualified Valuation Firms pursuant to clauses (1)-(3) (a “</w:t>
      </w:r>
      <w:r>
        <w:rPr>
          <w:rFonts w:ascii="Arial" w:cs="Arial" w:eastAsia="Arial" w:hAnsi="Arial"/>
          <w:sz w:val="17"/>
          <w:szCs w:val="17"/>
          <w:i w:val="1"/>
          <w:iCs w:val="1"/>
          <w:color w:val="auto"/>
        </w:rPr>
        <w:t>Conversion Withdrawal</w:t>
      </w:r>
      <w:r>
        <w:rPr>
          <w:rFonts w:ascii="Arial" w:cs="Arial" w:eastAsia="Arial" w:hAnsi="Arial"/>
          <w:sz w:val="17"/>
          <w:szCs w:val="17"/>
          <w:color w:val="auto"/>
        </w:rPr>
        <w:t>”), in which case the conversion contemplated by Section 6(d)(i) shall not occur (without prejudice to the Objecting Holder’s right to submit additional Conversion Election Notices in the future pursuant to Section 6(d)(i)), and the Objecting Holder shall be required to pay one hundred percent (100%) of Qualified Valuation Firm fees contemplated by clauses (1)- (3).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w:t>
      </w:r>
      <w:r>
        <w:rPr>
          <w:rFonts w:ascii="Arial" w:cs="Arial" w:eastAsia="Arial" w:hAnsi="Arial"/>
          <w:sz w:val="18"/>
          <w:szCs w:val="18"/>
          <w:color w:val="auto"/>
        </w:rPr>
        <w:t>” refers, with respect to the Company, to the consolidation of accounts of the Company and its Subsidiaries (except to the extent otherwise expressly provided herein)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Subsidiaries</w:t>
      </w:r>
      <w:r>
        <w:rPr>
          <w:rFonts w:ascii="Arial" w:cs="Arial" w:eastAsia="Arial" w:hAnsi="Arial"/>
          <w:sz w:val="18"/>
          <w:szCs w:val="18"/>
          <w:color w:val="auto"/>
        </w:rPr>
        <w:t>” means the Subsidiaries of the Company that are Consolidated with the Company.</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Contract</w:t>
      </w:r>
      <w:r>
        <w:rPr>
          <w:rFonts w:ascii="Arial" w:cs="Arial" w:eastAsia="Arial" w:hAnsi="Arial"/>
          <w:sz w:val="17"/>
          <w:szCs w:val="17"/>
          <w:color w:val="auto"/>
        </w:rPr>
        <w:t>” means any written agreement, contract, license, sublicense, subcontract, settlement agreement, lease, understanding, arrangement, instrument, note, purchase order, warranty, insurance policy, benefit plan or legally binding commitment or undertaking of any nature.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Date</w:t>
      </w:r>
      <w:r>
        <w:rPr>
          <w:rFonts w:ascii="Arial" w:cs="Arial" w:eastAsia="Arial" w:hAnsi="Arial"/>
          <w:sz w:val="18"/>
          <w:szCs w:val="18"/>
          <w:color w:val="auto"/>
        </w:rPr>
        <w:t>” means the date on which the Conversion Time occurs.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Conversion Price</w:t>
      </w:r>
      <w:r>
        <w:rPr>
          <w:rFonts w:ascii="Arial" w:cs="Arial" w:eastAsia="Arial" w:hAnsi="Arial"/>
          <w:sz w:val="16"/>
          <w:szCs w:val="16"/>
          <w:color w:val="auto"/>
        </w:rPr>
        <w:t>” means as of the applicable Conversion Time, (a) in the event that any Series A-1 Preferred Units have been redeemed in violation of this Certificate of Designations prior to the Conversion Time: 70% of the Common Unit Price as of the Conversion Time, and (b) in the event that no Series A-1 Preferred Units have been redeemed in violation of this Certificate of Designations prior to the Conversion Time: (i) if the Conversion</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Time occurs during the period commencing on the associated Delayed Redemption Date and before the first (1</w:t>
      </w:r>
      <w:r>
        <w:rPr>
          <w:rFonts w:ascii="Arial" w:cs="Arial" w:eastAsia="Arial" w:hAnsi="Arial"/>
          <w:sz w:val="26"/>
          <w:szCs w:val="26"/>
          <w:color w:val="auto"/>
          <w:vertAlign w:val="superscript"/>
        </w:rPr>
        <w:t>st</w:t>
      </w:r>
      <w:r>
        <w:rPr>
          <w:rFonts w:ascii="Arial" w:cs="Arial" w:eastAsia="Arial" w:hAnsi="Arial"/>
          <w:sz w:val="16"/>
          <w:szCs w:val="16"/>
          <w:color w:val="auto"/>
        </w:rPr>
        <w:t>) anniversary thereof, 80% of the Common Unit Price as of the Conversion Time, (ii) if the Conversion Time occurs during the period commencing on first (1</w:t>
      </w:r>
      <w:r>
        <w:rPr>
          <w:rFonts w:ascii="Arial" w:cs="Arial" w:eastAsia="Arial" w:hAnsi="Arial"/>
          <w:sz w:val="26"/>
          <w:szCs w:val="26"/>
          <w:color w:val="auto"/>
          <w:vertAlign w:val="superscript"/>
        </w:rPr>
        <w:t>st</w:t>
      </w:r>
      <w:r>
        <w:rPr>
          <w:rFonts w:ascii="Arial" w:cs="Arial" w:eastAsia="Arial" w:hAnsi="Arial"/>
          <w:sz w:val="16"/>
          <w:szCs w:val="16"/>
          <w:color w:val="auto"/>
        </w:rPr>
        <w:t>) anniversary the Delayed Redemption Date and 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anniversary of the Delayed Redemption Date, 75% of the Common Unit Price as of the Conversion Time, and (iii) if the</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Conversion Time occurs at any time on or after the second (2</w:t>
      </w:r>
      <w:r>
        <w:rPr>
          <w:rFonts w:ascii="Arial" w:cs="Arial" w:eastAsia="Arial" w:hAnsi="Arial"/>
          <w:sz w:val="29"/>
          <w:szCs w:val="29"/>
          <w:color w:val="auto"/>
          <w:vertAlign w:val="superscript"/>
        </w:rPr>
        <w:t>nd</w:t>
      </w:r>
      <w:r>
        <w:rPr>
          <w:rFonts w:ascii="Arial" w:cs="Arial" w:eastAsia="Arial" w:hAnsi="Arial"/>
          <w:sz w:val="18"/>
          <w:szCs w:val="18"/>
          <w:color w:val="auto"/>
        </w:rPr>
        <w:t>) anniversary of the Delayed Redemption Date, 70% of the Common Unit Price as of the Conversion Time.</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Payment Date</w:t>
      </w:r>
      <w:r>
        <w:rPr>
          <w:rFonts w:ascii="Arial" w:cs="Arial" w:eastAsia="Arial" w:hAnsi="Arial"/>
          <w:sz w:val="18"/>
          <w:szCs w:val="18"/>
          <w:color w:val="auto"/>
        </w:rPr>
        <w:t>” means March 31, June 30, September 30 and December 31 of each year, beginning, in respect of a Series A Preferred Unit, with the first such date to occur following the date such Series A Preferred Unit is issued.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Period</w:t>
      </w:r>
      <w:r>
        <w:rPr>
          <w:rFonts w:ascii="Arial" w:cs="Arial" w:eastAsia="Arial" w:hAnsi="Arial"/>
          <w:sz w:val="18"/>
          <w:szCs w:val="18"/>
          <w:color w:val="auto"/>
        </w:rPr>
        <w:t>” means, with respect to a Series A Preferred Unit, the period from, and including, the date of issuance of the Series A Preferred Unit or any Dividend Payment Date to, but excluding, the next Dividend Payment Date.</w:t>
      </w:r>
    </w:p>
    <w:p>
      <w:pPr>
        <w:spacing w:after="0" w:line="170"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 Sales Agreement</w:t>
      </w:r>
      <w:r>
        <w:rPr>
          <w:rFonts w:ascii="Arial" w:cs="Arial" w:eastAsia="Arial" w:hAnsi="Arial"/>
          <w:sz w:val="18"/>
          <w:szCs w:val="18"/>
          <w:color w:val="auto"/>
        </w:rPr>
        <w:t>” means the Environmental Attributes Purchase and Sale Agreement, by and between the Company and NextEra Energy Marketing, LLC, dated November 29, 2021.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means, with respect to any period for the Company (a “</w:t>
      </w:r>
      <w:r>
        <w:rPr>
          <w:rFonts w:ascii="Arial" w:cs="Arial" w:eastAsia="Arial" w:hAnsi="Arial"/>
          <w:sz w:val="18"/>
          <w:szCs w:val="18"/>
          <w:i w:val="1"/>
          <w:iCs w:val="1"/>
          <w:color w:val="auto"/>
        </w:rPr>
        <w:t>Measurement Period</w:t>
      </w:r>
      <w:r>
        <w:rPr>
          <w:rFonts w:ascii="Arial" w:cs="Arial" w:eastAsia="Arial" w:hAnsi="Arial"/>
          <w:sz w:val="18"/>
          <w:szCs w:val="18"/>
          <w:color w:val="auto"/>
        </w:rPr>
        <w:t>”), the Consolidated net income of the Company for such Measurement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(i) without duplication and to the extent deducted in the calculation of Consolidated net income for such period, the sum of:</w:t>
      </w:r>
    </w:p>
    <w:p>
      <w:pPr>
        <w:spacing w:after="0" w:line="225" w:lineRule="exact"/>
        <w:rPr>
          <w:sz w:val="20"/>
          <w:szCs w:val="20"/>
          <w:color w:val="auto"/>
        </w:rPr>
      </w:pPr>
    </w:p>
    <w:p>
      <w:pPr>
        <w:ind w:left="900" w:hanging="244"/>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taxes imposed on or measured by income and franchise taxes paid or accrued;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225" w:lineRule="exact"/>
        <w:rPr>
          <w:rFonts w:ascii="Arial" w:cs="Arial" w:eastAsia="Arial" w:hAnsi="Arial"/>
          <w:sz w:val="18"/>
          <w:szCs w:val="18"/>
          <w:color w:val="auto"/>
        </w:rPr>
      </w:pPr>
    </w:p>
    <w:p>
      <w:pPr>
        <w:ind w:left="960" w:hanging="259"/>
        <w:spacing w:after="0"/>
        <w:tabs>
          <w:tab w:leader="none" w:pos="9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non-cash losses or charges on any Hedge Agreement resulting from the requirements of FASB ASC 815 for that period;</w:t>
      </w:r>
    </w:p>
    <w:p>
      <w:pPr>
        <w:spacing w:after="0" w:line="225" w:lineRule="exact"/>
        <w:rPr>
          <w:sz w:val="20"/>
          <w:szCs w:val="20"/>
          <w:color w:val="auto"/>
        </w:rPr>
      </w:pPr>
    </w:p>
    <w:p>
      <w:pPr>
        <w:ind w:left="660" w:hanging="4"/>
        <w:spacing w:after="0" w:line="277" w:lineRule="auto"/>
        <w:tabs>
          <w:tab w:leader="none" w:pos="94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both (i) losses from sales or other dispositions of assets (other than sales in the ordinary course of business) and (ii) other non-cash extraordinary or non-recurring losses;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ind w:firstLine="656"/>
        <w:spacing w:after="0" w:line="277" w:lineRule="auto"/>
        <w:tabs>
          <w:tab w:leader="none" w:pos="89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non-cash charges or expenses arising from grants of stock appreciation rights, stock options, profit or incentive units, restricted stock or other equity grants or awards;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other non-cash charges for such period ((i) including non-cash accretion of asset retirement obligations in accordance with FASB ASC 410, Accounting for Asset Retirement and Environmental Obligations, unrealized losses on Hedge Agreements, accretion expense, deferred royalty expense and impairment expense, but (ii) excluding accruals for cash expenses in the ordinary course of business);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Transaction Expenses to the extent paid in cash and not capitalized, in an aggregate amount not to exceed $2,500,000;</w:t>
      </w:r>
    </w:p>
    <w:p>
      <w:pPr>
        <w:spacing w:after="0" w:line="225" w:lineRule="exact"/>
        <w:rPr>
          <w:rFonts w:ascii="Arial" w:cs="Arial" w:eastAsia="Arial" w:hAnsi="Arial"/>
          <w:sz w:val="18"/>
          <w:szCs w:val="18"/>
          <w:color w:val="auto"/>
        </w:rPr>
      </w:pPr>
    </w:p>
    <w:p>
      <w:pPr>
        <w:ind w:firstLine="656"/>
        <w:spacing w:after="0" w:line="258" w:lineRule="auto"/>
        <w:tabs>
          <w:tab w:leader="none" w:pos="88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aggregate amount of cash paid in settlement of the deferred royalty liability claim of GFL Environmental Inc. during the fiscal quarter ending December 31, 2021, in an aggregate amount not to exceed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$3,500,000; and</w:t>
      </w:r>
    </w:p>
    <w:p>
      <w:pPr>
        <w:spacing w:after="0" w:line="210" w:lineRule="exact"/>
        <w:rPr>
          <w:rFonts w:ascii="Arial" w:cs="Arial" w:eastAsia="Arial" w:hAnsi="Arial"/>
          <w:sz w:val="18"/>
          <w:szCs w:val="18"/>
          <w:color w:val="auto"/>
        </w:rPr>
      </w:pPr>
    </w:p>
    <w:p>
      <w:pPr>
        <w:ind w:firstLine="656"/>
        <w:spacing w:after="0" w:line="277" w:lineRule="auto"/>
        <w:tabs>
          <w:tab w:leader="none" w:pos="90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net equity losses of the Company and its Consolidated Subsidiaries attributable to equity interests held by the Company and its Consolidated Subsidiaries in Persons that are not Consolidated Subsidiaries;</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without duplication and to the extent not otherwise included in Consolidated net income for such period, the amount of cash distributions actually received during such period by the Company and its Consolidated Subsidiaries in respect of equity interests held in entities that are not Consolidated Subsidiaries;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without duplication and to the extent included in the calculation of Consolidated net income for such period, the sum of:</w:t>
      </w:r>
    </w:p>
    <w:p>
      <w:pPr>
        <w:spacing w:after="0" w:line="225" w:lineRule="exact"/>
        <w:rPr>
          <w:sz w:val="20"/>
          <w:szCs w:val="20"/>
          <w:color w:val="auto"/>
        </w:rPr>
      </w:pPr>
    </w:p>
    <w:p>
      <w:pPr>
        <w:ind w:left="900" w:hanging="244"/>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non-cash gains on any Hedge Agreements resulting from the requirements of FASB ASC 815 for that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extraordinary or non-recurring non-cash gains;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gains from sales or other dispositions of assets (other than sales in the ordinary course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940" w:hanging="284"/>
        <w:spacing w:after="0"/>
        <w:tabs>
          <w:tab w:leader="none" w:pos="94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other non-cash gains increasing Consolidated net income for such period (excluding accruals for cash revenues in the ordinary course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left="900" w:hanging="244"/>
        <w:spacing w:after="0"/>
        <w:tabs>
          <w:tab w:leader="none" w:pos="9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cash payments made (or incurred) on account of any non-cash charges added back to EBITDA pursuant to clause (i)(d), clause (i)(e), clause (i)</w:t>
      </w:r>
    </w:p>
    <w:p>
      <w:pPr>
        <w:spacing w:after="0" w:line="46" w:lineRule="exact"/>
        <w:rPr>
          <w:rFonts w:ascii="Arial" w:cs="Arial" w:eastAsia="Arial" w:hAnsi="Arial"/>
          <w:sz w:val="16"/>
          <w:szCs w:val="16"/>
          <w:color w:val="auto"/>
        </w:rPr>
      </w:pPr>
    </w:p>
    <w:p>
      <w:pPr>
        <w:ind w:left="240" w:hanging="232"/>
        <w:spacing w:after="0"/>
        <w:tabs>
          <w:tab w:leader="none" w:pos="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or clause (i)(g) in a previous Measurement Period (including cash payments on account of previously deferred royalty expenses); and</w:t>
      </w:r>
    </w:p>
    <w:p>
      <w:pPr>
        <w:spacing w:after="0" w:line="210" w:lineRule="exact"/>
        <w:rPr>
          <w:rFonts w:ascii="Arial" w:cs="Arial" w:eastAsia="Arial" w:hAnsi="Arial"/>
          <w:sz w:val="18"/>
          <w:szCs w:val="18"/>
          <w:color w:val="auto"/>
        </w:rPr>
      </w:pPr>
    </w:p>
    <w:p>
      <w:pPr>
        <w:ind w:firstLine="656"/>
        <w:spacing w:after="0" w:line="277" w:lineRule="auto"/>
        <w:tabs>
          <w:tab w:leader="none" w:pos="90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net equity earnings of the Company and its Consolidated Subsidiaries attributable to equity interests held by the Company and its Consolidated Subsidiaries in Persons that are not Consolidated Subsidiaries; and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to the extent otherwise included in Consolidated net income, the net income of any Consolidated Subsidiary that is not wholly-owned by the Company or a wholly-owned Consolidated Subsidiary of the Company, except to the extent of cash distributions actually received during such period by the Company and/or a wholly-owned Consolidated Subsidiary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w:t>
      </w:r>
      <w:r>
        <w:rPr>
          <w:rFonts w:ascii="Arial" w:cs="Arial" w:eastAsia="Arial" w:hAnsi="Arial"/>
          <w:sz w:val="18"/>
          <w:szCs w:val="18"/>
          <w:color w:val="auto"/>
        </w:rPr>
        <w:t>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Rights</w:t>
      </w:r>
      <w:r>
        <w:rPr>
          <w:rFonts w:ascii="Arial" w:cs="Arial" w:eastAsia="Arial" w:hAnsi="Arial"/>
          <w:sz w:val="17"/>
          <w:szCs w:val="17"/>
          <w:color w:val="auto"/>
        </w:rPr>
        <w:t>” means the exchange rights to be provided in favor of holders of Common Units provided to such holders in connection with a Business Combination or IPO that provide for the exchange of Common Units (either separately or in combination with other securities) into the publicly-traded common stock of the resulting Reporting Company Affiliate (the “</w:t>
      </w:r>
      <w:r>
        <w:rPr>
          <w:rFonts w:ascii="Arial" w:cs="Arial" w:eastAsia="Arial" w:hAnsi="Arial"/>
          <w:sz w:val="17"/>
          <w:szCs w:val="17"/>
          <w:i w:val="1"/>
          <w:iCs w:val="1"/>
          <w:color w:val="auto"/>
        </w:rPr>
        <w:t>Pubco Common Shares</w:t>
      </w:r>
      <w:r>
        <w:rPr>
          <w:rFonts w:ascii="Arial" w:cs="Arial" w:eastAsia="Arial" w:hAnsi="Arial"/>
          <w:sz w:val="17"/>
          <w:szCs w:val="17"/>
          <w:color w:val="auto"/>
        </w:rPr>
        <w:t>”), or an equivalent value in cash.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64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nation or government, any state, county, city or other political subdivision thereof and any entity exercising executive, legislative, judicial, regulatory or administrative functions of or pertaining to government.</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Guaranty Obligation</w:t>
      </w:r>
      <w:r>
        <w:rPr>
          <w:rFonts w:ascii="Arial" w:cs="Arial" w:eastAsia="Arial" w:hAnsi="Arial"/>
          <w:sz w:val="18"/>
          <w:szCs w:val="18"/>
          <w:color w:val="auto"/>
        </w:rPr>
        <w:t xml:space="preserve">” means, without duplication, any obligation, contingent or otherwise, of the Company or any of its Subsidiaries, guaranteeing or entered into for the purpose of guaranteeing any indebtedness of any other Person in any manner, whether directly or indirectly, and including any obligation of the Company or any of its Subsidiaries, direct or indirect, which, in economic effect, is substantially equivalent to a guarantee of indebtedness of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term “Guaranty Obligation” shall not include endorsements for collection or deposit of instruments in the ordinary course of business, and</w:t>
      </w:r>
    </w:p>
    <w:p>
      <w:pPr>
        <w:spacing w:after="0" w:line="3" w:lineRule="exact"/>
        <w:rPr>
          <w:sz w:val="20"/>
          <w:szCs w:val="20"/>
          <w:color w:val="auto"/>
        </w:rPr>
      </w:pPr>
    </w:p>
    <w:p>
      <w:pPr>
        <w:jc w:val="both"/>
        <w:ind w:firstLine="8"/>
        <w:spacing w:after="0" w:line="255" w:lineRule="auto"/>
        <w:tabs>
          <w:tab w:leader="none" w:pos="27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used in this definition, the “indebtedness” of a Person shall include only such obligations of such Person of the types referred to in the clauses (i) through (iv) of the definition of Total Indebtedness and Equity Obligation Amount (disregarding, in each case, the phrase “of the Company or its Subsidiaries”).</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Hedge Agreement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“Hillman Exchange Agreement</w:t>
      </w:r>
      <w:r>
        <w:rPr>
          <w:rFonts w:ascii="Arial" w:cs="Arial" w:eastAsia="Arial" w:hAnsi="Arial"/>
          <w:sz w:val="16"/>
          <w:szCs w:val="16"/>
          <w:color w:val="auto"/>
        </w:rPr>
        <w:t>” means that certain Exchange Agreement, dated November 29, 2021 as between the Company and Hillman RNG.</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Hillman Transaction</w:t>
      </w:r>
      <w:r>
        <w:rPr>
          <w:rFonts w:ascii="Arial" w:cs="Arial" w:eastAsia="Arial" w:hAnsi="Arial"/>
          <w:sz w:val="17"/>
          <w:szCs w:val="17"/>
          <w:color w:val="auto"/>
        </w:rPr>
        <w:t>” means the contribution, exchange or other transfer by Hillman RNG Investments, LLC (“</w:t>
      </w:r>
      <w:r>
        <w:rPr>
          <w:rFonts w:ascii="Arial" w:cs="Arial" w:eastAsia="Arial" w:hAnsi="Arial"/>
          <w:sz w:val="17"/>
          <w:szCs w:val="17"/>
          <w:i w:val="1"/>
          <w:iCs w:val="1"/>
          <w:color w:val="auto"/>
        </w:rPr>
        <w:t>Hillman RNG</w:t>
      </w:r>
      <w:r>
        <w:rPr>
          <w:rFonts w:ascii="Arial" w:cs="Arial" w:eastAsia="Arial" w:hAnsi="Arial"/>
          <w:sz w:val="17"/>
          <w:szCs w:val="17"/>
          <w:color w:val="auto"/>
        </w:rPr>
        <w:t>”) to the Company (or a wholly-owned Subsidiary of the Company) of Hillman RNG’s interests in Pine Bend Holdco LLC, Noble Road Holdco LLC, Sunoma Holdco LLC, and CV RNG Holdings LLC (or a merger of Hillman RNG with the Company or a wholly-owned Subsidiary of the Company) such that following such transactions, 100% of the outstanding equity interests of Pine Bend Holdco LLC, Noble Road Holdco LLC, Sunoma Holdco LLC, and CV RNG Holdings LLC shall be owned by the Company (including indirectly through one or more wholly-owned Subsidiaries of the Company).</w:t>
      </w:r>
    </w:p>
    <w:p>
      <w:pPr>
        <w:spacing w:after="0" w:line="176"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Incentive Units</w:t>
      </w:r>
      <w:r>
        <w:rPr>
          <w:rFonts w:ascii="Arial" w:cs="Arial" w:eastAsia="Arial" w:hAnsi="Arial"/>
          <w:sz w:val="17"/>
          <w:szCs w:val="17"/>
          <w:color w:val="auto"/>
        </w:rPr>
        <w:t>” means any units issued by the Company intended to constitute an interest in the future profits of the Company satisfying the requirements for a partnership profits interest transferred or issued in connection with the performance of services, as set forth in Revenue Procedures 93-27 and 2001-43, or any future IRS guidance or other authority that supplements or supersedes the foregoing Revenue Procedures.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the first underwritten public offering under the Securities Act of the Common Units or common stock of a Reporting Company Affiliate for which the Common Units are exchangeable pursuant to Exchange Rights (including via a newly-formed parent or sister corporation or other transaction structure, including structures commonly referred to as “up-C” or “double dummy” structures) and following which the Common Units are publicly traded on the NYSE or NASDAQ.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Expense</w:t>
      </w:r>
      <w:r>
        <w:rPr>
          <w:rFonts w:ascii="Arial" w:cs="Arial" w:eastAsia="Arial" w:hAnsi="Arial"/>
          <w:sz w:val="18"/>
          <w:szCs w:val="18"/>
          <w:color w:val="auto"/>
        </w:rPr>
        <w:t>” means with respect to any period for the Company and its Subsidiaries, the aggregate amount of interest payable by such Persons during such period (determined in accordance with GAAP) in respect of those items described in clauses (i)-(viii) of the definition of Total Indebtedness and Equity Obligation Amount (including interest imputed under Capital Leases (defined below), but excluding interest paid in kind, and all net payment obligations pursuant to Hedge Agreements), whether or not actually paid.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Units</w:t>
      </w:r>
      <w:r>
        <w:rPr>
          <w:rFonts w:ascii="Arial" w:cs="Arial" w:eastAsia="Arial" w:hAnsi="Arial"/>
          <w:sz w:val="18"/>
          <w:szCs w:val="18"/>
          <w:color w:val="auto"/>
        </w:rPr>
        <w:t>” means the Common Units, any Incentive Units and any other class or series of units of the Company now existing or hereafter authorized over which the Series A Preferred Units have preference or priority as to the payment of dividends and as to the distribution of assets upon any Liquidation.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Member</w:t>
      </w:r>
      <w:r>
        <w:rPr>
          <w:rFonts w:ascii="Arial" w:cs="Arial" w:eastAsia="Arial" w:hAnsi="Arial"/>
          <w:sz w:val="18"/>
          <w:szCs w:val="18"/>
          <w:color w:val="auto"/>
        </w:rPr>
        <w:t>” or “</w:t>
      </w:r>
      <w:r>
        <w:rPr>
          <w:rFonts w:ascii="Arial" w:cs="Arial" w:eastAsia="Arial" w:hAnsi="Arial"/>
          <w:sz w:val="18"/>
          <w:szCs w:val="18"/>
          <w:i w:val="1"/>
          <w:iCs w:val="1"/>
          <w:color w:val="auto"/>
        </w:rPr>
        <w:t>Members</w:t>
      </w:r>
      <w:r>
        <w:rPr>
          <w:rFonts w:ascii="Arial" w:cs="Arial" w:eastAsia="Arial" w:hAnsi="Arial"/>
          <w:sz w:val="18"/>
          <w:szCs w:val="18"/>
          <w:color w:val="auto"/>
        </w:rPr>
        <w:t>” has the meaning set forth in the Operating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Mendocino</w:t>
      </w:r>
      <w:r>
        <w:rPr>
          <w:rFonts w:ascii="Arial" w:cs="Arial" w:eastAsia="Arial" w:hAnsi="Arial"/>
          <w:sz w:val="18"/>
          <w:szCs w:val="18"/>
          <w:color w:val="auto"/>
        </w:rPr>
        <w:t>” means Mendocino Capital, LLC, or an Affiliate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any of The Nasdaq Global Select Market, The Nasdaq Global Market and The Nasdaq Capital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National Securities Exchange</w:t>
      </w:r>
      <w:r>
        <w:rPr>
          <w:rFonts w:ascii="Arial" w:cs="Arial" w:eastAsia="Arial" w:hAnsi="Arial"/>
          <w:sz w:val="18"/>
          <w:szCs w:val="18"/>
          <w:color w:val="auto"/>
        </w:rPr>
        <w:t>” means a securities exchange that has registered with the SEC under Section 6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NYSE</w:t>
      </w:r>
      <w:r>
        <w:rPr>
          <w:rFonts w:ascii="Arial" w:cs="Arial" w:eastAsia="Arial" w:hAnsi="Arial"/>
          <w:sz w:val="18"/>
          <w:szCs w:val="18"/>
          <w:color w:val="auto"/>
        </w:rPr>
        <w:t>” means any of the New York Stock Exchange or the NYSE American.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Issue Price</w:t>
      </w:r>
      <w:r>
        <w:rPr>
          <w:rFonts w:ascii="Arial" w:cs="Arial" w:eastAsia="Arial" w:hAnsi="Arial"/>
          <w:sz w:val="18"/>
          <w:szCs w:val="18"/>
          <w:color w:val="auto"/>
        </w:rPr>
        <w:t>” means $100.00 per Series A Preferred Unit, subject to appropriate adjustment in the event of any exchange, reclassification, subdivision, combination or other adjustment to the Series A Preferred Units.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Subscription Date</w:t>
      </w:r>
      <w:r>
        <w:rPr>
          <w:rFonts w:ascii="Arial" w:cs="Arial" w:eastAsia="Arial" w:hAnsi="Arial"/>
          <w:sz w:val="18"/>
          <w:szCs w:val="18"/>
          <w:color w:val="auto"/>
        </w:rPr>
        <w:t>” means the date that the Company and Mendocino enter into a subscription agreement with respect to the purchase by Mendocino of Series A Preferred Units in an amount up to $100 million.</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Units</w:t>
      </w:r>
      <w:r>
        <w:rPr>
          <w:rFonts w:ascii="Arial" w:cs="Arial" w:eastAsia="Arial" w:hAnsi="Arial"/>
          <w:sz w:val="18"/>
          <w:szCs w:val="18"/>
          <w:color w:val="auto"/>
        </w:rPr>
        <w:t>” means any class or series of units of the Company now existing or hereafter authorized which ranks on par with the Series A Preferred Units as to the payment of dividends or as to the distribution of assets upon any Liquidation, including, if and when authorized and issued as contemplated by the Hillman Exchange Agreement, the Series A-1 Preferred Units.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limited liability company, corporation, business trust, joint stock company, trust, unincorporated association, joint venture, Governmental Authority or other entity of whatever nature.</w:t>
      </w:r>
    </w:p>
    <w:p>
      <w:pPr>
        <w:spacing w:after="0" w:line="170"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Pre-Approved Preferred Units</w:t>
      </w:r>
      <w:r>
        <w:rPr>
          <w:rFonts w:ascii="Arial" w:cs="Arial" w:eastAsia="Arial" w:hAnsi="Arial"/>
          <w:sz w:val="16"/>
          <w:szCs w:val="16"/>
          <w:color w:val="auto"/>
        </w:rPr>
        <w:t>” mean Preferred Units meeting all of the following criteria: (a) such Preferred Units are not Senior Units, (b) upon issuance of such Preferred Units, the Preferred Obligation Amount shall not exceed $100 million, and (c) if such Preferred Units permit the holder thereof to require the Company to redeem or repurchase such Preferred Units, such mandatory redemption or repurchase may only be exercised by the holder of such Preferred Units following thirty (30) days after the 4-Year Anniversary Date (other than in connection with a Change of Control).</w:t>
      </w:r>
    </w:p>
    <w:p>
      <w:pPr>
        <w:spacing w:after="0" w:line="15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Obligation Amount</w:t>
      </w:r>
      <w:r>
        <w:rPr>
          <w:rFonts w:ascii="Arial" w:cs="Arial" w:eastAsia="Arial" w:hAnsi="Arial"/>
          <w:sz w:val="18"/>
          <w:szCs w:val="18"/>
          <w:color w:val="auto"/>
        </w:rPr>
        <w:t>” means, as of any applicable determination date hereunder, an amount equal to the aggregate amount payable to the holders of outstanding Preferred Units upon a Liquidation from the associated Liquidation Proceeds; provided, however, that the Preferred Obligation Amount shall not include any obligations associated with the Series A Preferred Units (including any amounts payable in respect thereof upon a Liquidation).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Units</w:t>
      </w:r>
      <w:r>
        <w:rPr>
          <w:rFonts w:ascii="Arial" w:cs="Arial" w:eastAsia="Arial" w:hAnsi="Arial"/>
          <w:sz w:val="18"/>
          <w:szCs w:val="18"/>
          <w:color w:val="auto"/>
        </w:rPr>
        <w:t>” means any class or series of Units now existing or hereafter authorized which has preference or priority over the Common Units as to the payment of dividends or as to the distribution of assets upon any Liquidation.</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Reporting Company Affiliate</w:t>
      </w:r>
      <w:r>
        <w:rPr>
          <w:rFonts w:ascii="Arial" w:cs="Arial" w:eastAsia="Arial" w:hAnsi="Arial"/>
          <w:sz w:val="18"/>
          <w:szCs w:val="18"/>
          <w:color w:val="auto"/>
        </w:rPr>
        <w:t>” means, following an IPO or Business Combination, a Company Affiliate that pursuant to an IPO or Business Combination becomes the parent reporting company of the Company obligated to file current and periodic reports under Section 13 or 15(d) of the Exchange 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Requisite Holders</w:t>
      </w:r>
      <w:r>
        <w:rPr>
          <w:rFonts w:ascii="Arial" w:cs="Arial" w:eastAsia="Arial" w:hAnsi="Arial"/>
          <w:sz w:val="18"/>
          <w:szCs w:val="18"/>
          <w:color w:val="auto"/>
        </w:rPr>
        <w:t>” means (i) Mendocino, if Mendocino is the only Holder or (ii) the holders of a majority of the then outstanding Series A Preferred Units, if there is more than one Holder.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Units</w:t>
      </w:r>
      <w:r>
        <w:rPr>
          <w:rFonts w:ascii="Arial" w:cs="Arial" w:eastAsia="Arial" w:hAnsi="Arial"/>
          <w:sz w:val="18"/>
          <w:szCs w:val="18"/>
          <w:color w:val="auto"/>
        </w:rPr>
        <w:t>” means any class or series of units of the Company now existing or hereafter authorized which has preference or priority over the Series A Preferred Units as to the payment of dividends or as to the distribution of assets upon any Liquidation.</w:t>
      </w:r>
    </w:p>
    <w:p>
      <w:pPr>
        <w:spacing w:after="0" w:line="170"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A-1 Preferred Units</w:t>
      </w:r>
      <w:r>
        <w:rPr>
          <w:rFonts w:ascii="Arial" w:cs="Arial" w:eastAsia="Arial" w:hAnsi="Arial"/>
          <w:sz w:val="18"/>
          <w:szCs w:val="18"/>
          <w:color w:val="auto"/>
        </w:rPr>
        <w:t>” means the “Series A-1 Preferred Units” contemplated to be designated and issued by the Company pursuant to the terms of the Hillman Exchange Agreement.</w:t>
      </w:r>
    </w:p>
    <w:p>
      <w:pPr>
        <w:spacing w:after="0" w:line="170"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the Company, any corporation, partnership, limited liability company, association, joint venture or other business entity of which (i) if a corporation, at least 50% of the total voting power of shares of stock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(ii) if a partnership, limited liability company, association, joint venture or other business entity (other than a corporation), at least 50% of the partnership, joint venture or other similar ownership interest thereof (whether voting or economic) is at the time owned or controlled, directly or indirectly, by the Company or one or more Subsidiaries of the Company or a combination thereof. For purposes hereof, the Company and its Subsidiaries shall be deemed to have at least 50% ownership interest in a limited liability company, partnership, association or other business entity (other than a corporation) if the Company or one or more Subsidiaries of the Company or a combination thereof shall be allocated at least 50%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w:t>
      </w:r>
      <w:r>
        <w:rPr>
          <w:rFonts w:ascii="Arial" w:cs="Arial" w:eastAsia="Arial" w:hAnsi="Arial"/>
          <w:sz w:val="18"/>
          <w:szCs w:val="18"/>
          <w:color w:val="auto"/>
        </w:rPr>
        <w:t>” means the Subscription Agreement, dated November 29, 2021 between the Company and Mendocino providing for the subscription by Mendocino from the Company of Series A Preferred Units.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Indebtedness and Equity Obligation Amount</w:t>
      </w:r>
      <w:r>
        <w:rPr>
          <w:rFonts w:ascii="Arial" w:cs="Arial" w:eastAsia="Arial" w:hAnsi="Arial"/>
          <w:sz w:val="16"/>
          <w:szCs w:val="16"/>
          <w:color w:val="auto"/>
        </w:rPr>
        <w:t>” means, with respect to the Company and its Subsidiaries as of any applicable determination date hereunder, an amount equal to the sum of, without duplication (and, in each case, irrespective of whether GAAP require such obligations be reported as indebtedness of the Company or its Subsidiaries on the Company’s or its Subsidiaries’ financial statements or whether the Company or its Subsidiaries actually so report such obligations): (i) all obligations of the Company or its Subsidiaries for borrowed money or in respect of loans or advances, (ii) all obligations of the Company or its Subsidiaries evidenced by bonds, debentures, notes or other similar instruments or debt securities, (iii) all obligations of the Company or its Subsidiaries under leases, where the obligations of the lessee in respect of such lease are required in accordance with GAAP to be capitalized on a balance sheet of the lessee (“</w:t>
      </w:r>
      <w:r>
        <w:rPr>
          <w:rFonts w:ascii="Arial" w:cs="Arial" w:eastAsia="Arial" w:hAnsi="Arial"/>
          <w:sz w:val="16"/>
          <w:szCs w:val="16"/>
          <w:i w:val="1"/>
          <w:iCs w:val="1"/>
          <w:color w:val="auto"/>
        </w:rPr>
        <w:t>Capital Leases</w:t>
      </w:r>
      <w:r>
        <w:rPr>
          <w:rFonts w:ascii="Arial" w:cs="Arial" w:eastAsia="Arial" w:hAnsi="Arial"/>
          <w:sz w:val="16"/>
          <w:szCs w:val="16"/>
          <w:color w:val="auto"/>
        </w:rPr>
        <w:t xml:space="preserve">”), (iv) all obligations in respect of letters of credit and bankers’ acceptances issued for the account of the Company and its Subsidiaries, (v) all obligations of any Person of the types referred to in the foregoing clauses (i) through (iv) (disregarding, in each case, the phrase “of the Company or its Subsidiaries”) secured by any lien on any property owned by the Company or its Subsidiaries (even if neither the Company nor any of its Subsidiaries has assumed or otherwise become liable for the payment thereof); (vi) all Guaranty Obligations of the Company or any of its Subsidiaries, and (vii) with respect to any outstanding Senior Units and Pari Passu Units, the aggregate amount payable to the holders of such Senior Units or Pari Passu Units upon a Liquidation from the associated Liquidation Proceeds in preference to or on parity with the Series A Preferred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avoidance of doubt, the Total Indebtedness and Equity Obligation Amount shall not include (A) any obligations associated with the Series A Preferred Units (including any amounts payable in respect thereof upon a Liquidation) or (B) any trade payables incurred in the ordinary course of business and payable in accordance with customary practices;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any Subsidiary that is not a Consolidated Subsidiary (a “</w:t>
      </w:r>
      <w:r>
        <w:rPr>
          <w:rFonts w:ascii="Arial" w:cs="Arial" w:eastAsia="Arial" w:hAnsi="Arial"/>
          <w:sz w:val="16"/>
          <w:szCs w:val="16"/>
          <w:i w:val="1"/>
          <w:iCs w:val="1"/>
          <w:color w:val="auto"/>
        </w:rPr>
        <w:t>Non-Consolidated Subsidiary</w:t>
      </w:r>
      <w:r>
        <w:rPr>
          <w:rFonts w:ascii="Arial" w:cs="Arial" w:eastAsia="Arial" w:hAnsi="Arial"/>
          <w:sz w:val="16"/>
          <w:szCs w:val="16"/>
          <w:color w:val="auto"/>
        </w:rPr>
        <w:t>”), (I) if such Subsidiary is a partnership and the Company or any Consolidated Subsidiary is a general partner, the Total Indebtedness and Equity Obligation Amount shall include the full amount of all obligations described in clause (i)-</w:t>
      </w:r>
    </w:p>
    <w:p>
      <w:pPr>
        <w:spacing w:after="0" w:line="11" w:lineRule="exact"/>
        <w:rPr>
          <w:sz w:val="20"/>
          <w:szCs w:val="20"/>
          <w:color w:val="auto"/>
        </w:rPr>
      </w:pPr>
    </w:p>
    <w:p>
      <w:pPr>
        <w:jc w:val="both"/>
        <w:ind w:firstLine="8"/>
        <w:spacing w:after="0" w:line="287" w:lineRule="auto"/>
        <w:tabs>
          <w:tab w:leader="none" w:pos="31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above, unless such obligations of such partnership are without recourse to such general partner, or (II) otherwise, the Total Indebtedness and Equity Obligation Amount shall only include a pro rata portion of the amounts otherwise includable in the definition of “Total Indebtedness and Equity Obligation Amount” pursuant to clauses (i)-(viii) above in respect of such Non-Consolidated Subsidiary (the “Non-Consolidated Subsidiary Indebtedness Amount”), calculated by multiplying (x) the percentage of the voting stock or other voting interests of the Non-Consolidated Subsidiary owned by the Company and/or its Consolidated Subsidiaries and (y) the Non-Consolidated Subsidiary Indebtedness Amount of such Non-Consolidated Subsidiary. For purposes of the foregoing definition, any obligation of the type described in clauses (i) through (vi) of the foregoing definition (disregarding, in each case, the phrase “of the Company or its Subsidiaries”) of a partnership in which the Company or any Subsidiary of the Company is a general partner shall be deemed to be an obligation of the Company or such Subsidiary (as applicable), unless such partnership obligation is without recourse to such general partner.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Agreements</w:t>
      </w:r>
      <w:r>
        <w:rPr>
          <w:rFonts w:ascii="Arial" w:cs="Arial" w:eastAsia="Arial" w:hAnsi="Arial"/>
          <w:sz w:val="18"/>
          <w:szCs w:val="18"/>
          <w:color w:val="auto"/>
        </w:rPr>
        <w:t>” means any agreement, instrument, certificate, schedule, exhibit or other document relating to any one or more of the Transactions.</w:t>
      </w:r>
    </w:p>
    <w:p>
      <w:pPr>
        <w:spacing w:after="0" w:line="170"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(a) the transactions contemplated by the Subscription Agreement, this Certificate of Designations, the Operating Agreement and the EA Sales Agreement, (b) a Business Combination (or financing arrangements entered into by the Company or its Subsidiaries or the SPAC (or any successor thereto or resulting entity) in conjunction with a Business Combination for the issuance of equity securities, including any associated private investment in public equity of the SPAC (or any successor thereto or resulting entity)),</w:t>
      </w:r>
    </w:p>
    <w:p>
      <w:pPr>
        <w:spacing w:after="0" w:line="2" w:lineRule="exact"/>
        <w:rPr>
          <w:sz w:val="20"/>
          <w:szCs w:val="20"/>
          <w:color w:val="auto"/>
        </w:rPr>
      </w:pPr>
    </w:p>
    <w:p>
      <w:pPr>
        <w:ind w:firstLine="8"/>
        <w:spacing w:after="0" w:line="260" w:lineRule="auto"/>
        <w:tabs>
          <w:tab w:leader="none" w:pos="27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IPO, (d) any other equity or debt financing (including with any Lender) entered into by the Company or its Subsidiaries, and (e) the Hillman Transaction.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Expenses</w:t>
      </w:r>
      <w:r>
        <w:rPr>
          <w:rFonts w:ascii="Arial" w:cs="Arial" w:eastAsia="Arial" w:hAnsi="Arial"/>
          <w:sz w:val="18"/>
          <w:szCs w:val="18"/>
          <w:color w:val="auto"/>
        </w:rPr>
        <w:t>” means the aggregate amount, without duplication, of all fees and expenses (including commissions) incurred by or on behalf of the Company or its Subsidiaries during calendar year 2021 in connection with the negotiation, preparation or execution of the Transaction Agreements or the consummation of the Transactions, including the fees and expenses of outside legal counsel, accountants, advisors, brokers, placement agents, investment bankers, consultants, or other agents or service providers.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Units</w:t>
      </w:r>
      <w:r>
        <w:rPr>
          <w:rFonts w:ascii="Arial" w:cs="Arial" w:eastAsia="Arial" w:hAnsi="Arial"/>
          <w:sz w:val="18"/>
          <w:szCs w:val="18"/>
          <w:color w:val="auto"/>
        </w:rPr>
        <w:t>” means the Company’s “Units” as defined in the Operating Agreement.</w:t>
      </w:r>
    </w:p>
    <w:p>
      <w:pPr>
        <w:spacing w:after="0" w:line="225"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Valuation Methodology</w:t>
      </w:r>
      <w:r>
        <w:rPr>
          <w:rFonts w:ascii="Arial" w:cs="Arial" w:eastAsia="Arial" w:hAnsi="Arial"/>
          <w:sz w:val="16"/>
          <w:szCs w:val="16"/>
          <w:color w:val="auto"/>
        </w:rPr>
        <w:t>” means a commercially reasonable estimate of the amount that would be realized by the Company if each asset of the Company (and each asset of each partnership, limited liability company, trust, joint venture or other entity in which the Company owns a direct or indirect interest), treating the Company as a going concern, were sold to an unrelated purchaser in an arms’ length transaction where neither the purchaser nor the seller were under economic compulsion to enter into the transaction (without regard to any discount in value as a result of the Company’s minority interest in any property or any illiquidity of the Company’s interest in any property), which estimate, to the extent relying on any commodity, renewable energy attribute or other forecasts, shall be based on the Person making the estimate’s own or other independent third party forecasts.</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VWAP</w:t>
      </w:r>
      <w:r>
        <w:rPr>
          <w:rFonts w:ascii="Arial" w:cs="Arial" w:eastAsia="Arial" w:hAnsi="Arial"/>
          <w:sz w:val="18"/>
          <w:szCs w:val="18"/>
          <w:color w:val="auto"/>
        </w:rPr>
        <w:t>” means, with respect to a specified time period, the volume weighted average price of the Common Units or Pubco Common Shares, as applicable, over such time period (as adjusted to reflect any dividends or distributions (including stock splits) for which the record date thereof occurs during such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Section 4. Dividends, Priority and Restrictions.</w:t>
      </w:r>
    </w:p>
    <w:p>
      <w:pPr>
        <w:spacing w:after="0" w:line="225" w:lineRule="exact"/>
        <w:rPr>
          <w:sz w:val="20"/>
          <w:szCs w:val="20"/>
          <w:color w:val="auto"/>
        </w:rPr>
      </w:pPr>
    </w:p>
    <w:p>
      <w:pPr>
        <w:jc w:val="both"/>
        <w:ind w:firstLine="656"/>
        <w:spacing w:after="0" w:line="284" w:lineRule="auto"/>
        <w:tabs>
          <w:tab w:leader="none" w:pos="903"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Rate and Payment. </w:t>
      </w:r>
      <w:r>
        <w:rPr>
          <w:rFonts w:ascii="Arial" w:cs="Arial" w:eastAsia="Arial" w:hAnsi="Arial"/>
          <w:sz w:val="16"/>
          <w:szCs w:val="16"/>
          <w:color w:val="auto"/>
        </w:rPr>
        <w:t>From and after the date of issuance of a Series A Preferred Unit, the record holder thereof (the “</w:t>
      </w:r>
      <w:r>
        <w:rPr>
          <w:rFonts w:ascii="Arial" w:cs="Arial" w:eastAsia="Arial" w:hAnsi="Arial"/>
          <w:sz w:val="16"/>
          <w:szCs w:val="16"/>
          <w:i w:val="1"/>
          <w:iCs w:val="1"/>
          <w:color w:val="auto"/>
        </w:rPr>
        <w:t>Holder</w:t>
      </w:r>
      <w:r>
        <w:rPr>
          <w:rFonts w:ascii="Arial" w:cs="Arial" w:eastAsia="Arial" w:hAnsi="Arial"/>
          <w:sz w:val="16"/>
          <w:szCs w:val="16"/>
          <w:color w:val="auto"/>
        </w:rPr>
        <w:t>”) shall be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to receive cash dividends, which shall be cumulative and shall accrue on the Base Amount of each Series A Preferred Unit at the rate of eight percent (8%) per annum (accruing daily and compounding monthly until paid in full from the date of issuance of such Series A Preferred Unit, whether or not declared, and subject to such rate increases as may be provided for herein) on the Base Amount (the “</w:t>
      </w:r>
      <w:r>
        <w:rPr>
          <w:rFonts w:ascii="Arial" w:cs="Arial" w:eastAsia="Arial" w:hAnsi="Arial"/>
          <w:sz w:val="16"/>
          <w:szCs w:val="16"/>
          <w:i w:val="1"/>
          <w:iCs w:val="1"/>
          <w:color w:val="auto"/>
        </w:rPr>
        <w:t>Series A Mandatory Cumulative Dividends</w:t>
      </w:r>
      <w:r>
        <w:rPr>
          <w:rFonts w:ascii="Arial" w:cs="Arial" w:eastAsia="Arial" w:hAnsi="Arial"/>
          <w:sz w:val="16"/>
          <w:szCs w:val="16"/>
          <w:color w:val="auto"/>
        </w:rPr>
        <w:t xml:space="preserve">”), to the fullest extent permitted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lieu of paying such Series A Mandatory Cumulative Dividends in cash on any one or more of the first eight (8) Dividend Payment Dates following the first date that any Series A Preferred Units are issued by the Company, the Company shall have the option, at its sole and exclusive election, to pay all Series A Mandatory Cumulative Dividends (including Series A Mandatory Cumulative Dividends accruing on Series A Preferred Units issued after such first date) that are accrued as of any such Dividend Payment Date on all outstanding Series A Preferred Units by issuing a number of additional Series A Preferred Units (or fraction thereof) to the Holders having a value equal to the Series A Mandatory Cumulative Dividend payable to the Holders on such Dividend Payment Date (with each additional Series A Preferred Unit so issued valued at the Original Issue Price, and with any fractional Series A Preferred Unit so issued being proportionately valued). Any Series A Preferred Units issued in payment of Series A Mandatory Cumulative Dividends payable on any Dividend Payment Date shall be deemed to be issued as of such Dividend Payment Date and cumulative dividends shall accrue thereon from and after such date. To the extent not paid in cash (including as a result of such dividend payment not being permitted by applicable law) or by issuance of additional Series A Preferred Units, the Series A Mandatory Cumulative Dividends on the Series A Preferred Unit shall continue to accrue and compound whether or not declared. The Series A Mandatory Cumulative Dividends shall be payable quarterly in arrears on each Dividend Payment Date, beginning, with respect to a Series A Preferred Unit, with the first Dividend Payment Date following the date on which such Series A Preferred Unit is issued;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such day is not a Business Day, then payment of any dividend otherwise payable on that date will be made on the next succeeding day that is a Business Day (unless that day falls in the next calendar year, in which case payment of such dividend will occur on the immediately preceding Business Day), in each case, without any additional dividends accruing or other payment adjustment and the relevant Dividend Period will not be adjusted. The record date for payment of dividends on the Series A Preferred Units shall be the fifteenth day of the calendar month preceding the month in which the Dividend Payment Date falls. The amount of dividends payable shall be computed on the basis of a 360-day year of twelve 30-day months. Dollar amounts resulting from that calculation shall be rounded to the nearest cent, with one-half cent being rounded upward.</w:t>
      </w:r>
    </w:p>
    <w:p>
      <w:pPr>
        <w:spacing w:after="0" w:line="394" w:lineRule="exact"/>
        <w:rPr>
          <w:rFonts w:ascii="Arial" w:cs="Arial" w:eastAsia="Arial" w:hAnsi="Arial"/>
          <w:sz w:val="16"/>
          <w:szCs w:val="16"/>
          <w:b w:val="1"/>
          <w:bCs w:val="1"/>
          <w:color w:val="auto"/>
        </w:rPr>
      </w:pPr>
    </w:p>
    <w:p>
      <w:pPr>
        <w:jc w:val="both"/>
        <w:ind w:firstLine="656"/>
        <w:spacing w:after="0" w:line="266" w:lineRule="auto"/>
        <w:tabs>
          <w:tab w:leader="none" w:pos="95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Priority and Restrictions</w:t>
      </w:r>
      <w:r>
        <w:rPr>
          <w:rFonts w:ascii="Arial" w:cs="Arial" w:eastAsia="Arial" w:hAnsi="Arial"/>
          <w:sz w:val="18"/>
          <w:szCs w:val="18"/>
          <w:color w:val="auto"/>
        </w:rPr>
        <w:t>. So long as any Series A Preferred Units remain outstanding or are issuable pursuant to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Agreement, subject to the qualifications and exceptions set forth in this Certificate of Designations, except in the case of Approved Preferred Units:</w:t>
      </w:r>
    </w:p>
    <w:p>
      <w:pPr>
        <w:spacing w:after="0" w:line="179" w:lineRule="exact"/>
        <w:rPr>
          <w:rFonts w:ascii="Arial" w:cs="Arial" w:eastAsia="Arial" w:hAnsi="Arial"/>
          <w:sz w:val="18"/>
          <w:szCs w:val="18"/>
          <w:b w:val="1"/>
          <w:bCs w:val="1"/>
          <w:color w:val="auto"/>
        </w:rPr>
      </w:pPr>
    </w:p>
    <w:p>
      <w:pPr>
        <w:jc w:val="both"/>
        <w:ind w:left="660" w:firstLine="968"/>
        <w:spacing w:after="0" w:line="279" w:lineRule="auto"/>
        <w:tabs>
          <w:tab w:leader="none" w:pos="1862"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no dividend or distribution shall be paid or set aside for payment on any Junior Units other than (w) a dividend or distribution payable solely in Common Units, (x) any distribution of Paired Voting Shares contributed by a Reporting Company Affiliate to the Company in connection with a Business Combination or IPO, (y) tax distributions with respect to the Junior Units that are set forth in the Operating Agreement or (z) dividends or distributions permitted to be paid pursuant to clause (ii) of the second sentence of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below;</w:t>
      </w:r>
    </w:p>
    <w:p>
      <w:pPr>
        <w:spacing w:after="0" w:line="171" w:lineRule="exact"/>
        <w:rPr>
          <w:rFonts w:ascii="Arial" w:cs="Arial" w:eastAsia="Arial" w:hAnsi="Arial"/>
          <w:sz w:val="17"/>
          <w:szCs w:val="17"/>
          <w:color w:val="auto"/>
        </w:rPr>
      </w:pPr>
    </w:p>
    <w:p>
      <w:pPr>
        <w:jc w:val="both"/>
        <w:ind w:left="660" w:firstLine="968"/>
        <w:spacing w:after="0" w:line="254" w:lineRule="auto"/>
        <w:tabs>
          <w:tab w:leader="none" w:pos="189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no dividend or distribution shall be paid or set aside for payment on any Pari Passu Units at any time (A) when there are Delayed Redemption Units outstanding or (B) with respect to any dividend or distribution to be paid or set aside for payment with respect to Series A-1 Preferred Units, when a Material Breach of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remains uncured, other than, in the case of each of (A) and (B), (w) a dividend or distribution payable solely in Common Units, (x) any distribution of Paired Voting Shares contributed by a Reporting Company Affiliate to the Company in connection with a Business Combination or IPO, (y) tax distributions with respect to the Pari Passu Units that are set forth in the Operating Agreement or (z) dividends or distributions permitted to be paid pursuant to clause (ii) of the second sentence of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below;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left="660" w:firstLine="968"/>
        <w:spacing w:after="0" w:line="269" w:lineRule="auto"/>
        <w:tabs>
          <w:tab w:leader="none" w:pos="196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no Units (other than Series A Preferred Units) shall be repurchased, redeemed or otherwise acquired for consideration by the Company, directly or indirectly, other than (A) following thirty (30) days after the 4-Year Anniversary Date, Pre-Approved Pari Passu Units, provided no Delayed Redemption Units are then outstanding, (B) contemporaneous with a Change of Control (provided that if holders of Series A Preferred Units elect to have their Series A Preferred Units redeemed in conjunction with such Change of Control as provided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below, all such Series A Preferred Units for which holders have elected redemption are so redeemed prior to or contemporaneously with any repurchase, redemption or other acquisition of any other class or series of Units pursuant to such Change of Control), (C) following an IPO or Business Combination, pursuant to the exercise of any Exchange Rights, (D) as a result of a reclassification of Junior Units into other Junior Units or the exchange or conversion of one Junior Unit for or into another Junior Unit, (E) through the use of the proceeds of a substantially contemporaneous sale of, in the case of Junior Units, other Junior Units, and in the case of Pari Passu Units, other Pari Passu Units or Junior Units, provided that in the case of this clause (E) that there are no Delayed Redemption Units outstanding and such repurchase, redemption or acquisition is not of Series A-1 Preferred Units, or (F) repurchases or redemptions or other acquisitions of Junior Units or Pari Passu Units permitted pursuant to clause (ii) of the second sentence of Section 4(d) below.</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The foregoing limitations in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do not apply to (I) the payment of any costs, fees, operating expenses or other expenses (1) incurred by a Reporting Company Affiliate in connection with serving as a manager or managing member of the Company or (2) allocable to the Company or otherwise incurred by a Reporting Company Affiliate in connection with operating the Company’s business (including expenses allocated to the Reporting Company Affiliate by its Affiliates) or (II) purchases or acquisitions of any Common Units or any Incentive Units either (x) in a cumulative amount from the Original Subscription Date not to exceed $15 million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$15 million limitation may be exceeded with the prior written consent of the Requisite Holders (or, if no Series A Preferred Units have yet been issued as of such time, then the prior written consent of Mendocino), which consent, in each case, shall not be unreasonably withheld, conditioned or delayed) or (y) at a price no greater than the price per unit paid in cash by the recipient for such units, provided, in the case of each of (x) and (y), that (A) such purchase or acquisition is pursuant to an incentive or benefit plan or arrangement (including any employment, severance or consulting agreement) of the Company or any Subsidiary of the Company heretofore or hereafter adopted, and</w:t>
      </w:r>
    </w:p>
    <w:p>
      <w:pPr>
        <w:spacing w:after="0" w:line="6" w:lineRule="exact"/>
        <w:rPr>
          <w:sz w:val="20"/>
          <w:szCs w:val="20"/>
          <w:color w:val="auto"/>
        </w:rPr>
      </w:pPr>
    </w:p>
    <w:p>
      <w:pPr>
        <w:ind w:left="300" w:hanging="292"/>
        <w:spacing w:after="0"/>
        <w:tabs>
          <w:tab w:leader="none" w:pos="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there are no Delayed Redemption Units outstanding at such time.</w:t>
      </w:r>
    </w:p>
    <w:p>
      <w:pPr>
        <w:spacing w:after="0" w:line="206" w:lineRule="exact"/>
        <w:rPr>
          <w:rFonts w:ascii="Arial" w:cs="Arial" w:eastAsia="Arial" w:hAnsi="Arial"/>
          <w:sz w:val="18"/>
          <w:szCs w:val="18"/>
          <w:color w:val="auto"/>
        </w:rPr>
      </w:pPr>
    </w:p>
    <w:p>
      <w:pPr>
        <w:jc w:val="both"/>
        <w:ind w:firstLine="656"/>
        <w:spacing w:after="0" w:line="266" w:lineRule="auto"/>
        <w:tabs>
          <w:tab w:leader="none" w:pos="994"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No Other Rights to Distributions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or as otherwise set forth in the Operating Agreement, a</w:t>
      </w:r>
      <w:r>
        <w:rPr>
          <w:rFonts w:ascii="Arial" w:cs="Arial" w:eastAsia="Arial" w:hAnsi="Arial"/>
          <w:sz w:val="18"/>
          <w:szCs w:val="18"/>
          <w:b w:val="1"/>
          <w:bCs w:val="1"/>
          <w:color w:val="auto"/>
        </w:rPr>
        <w:t xml:space="preserve"> </w:t>
      </w:r>
      <w:r>
        <w:rPr>
          <w:rFonts w:ascii="Arial" w:cs="Arial" w:eastAsia="Arial" w:hAnsi="Arial"/>
          <w:sz w:val="18"/>
          <w:szCs w:val="18"/>
          <w:color w:val="auto"/>
        </w:rPr>
        <w:t>Holder shall not be entitled to any dividends or distributions with respect to the Series A Preferred Units (including tax distributions and whether upon dissolution, liquidation or winding up of the Company or otherwise).</w:t>
      </w:r>
    </w:p>
    <w:p>
      <w:pPr>
        <w:spacing w:after="0" w:line="175" w:lineRule="exact"/>
        <w:rPr>
          <w:rFonts w:ascii="Arial" w:cs="Arial" w:eastAsia="Arial" w:hAnsi="Arial"/>
          <w:sz w:val="18"/>
          <w:szCs w:val="18"/>
          <w:b w:val="1"/>
          <w:bCs w:val="1"/>
          <w:color w:val="auto"/>
        </w:rPr>
      </w:pPr>
    </w:p>
    <w:p>
      <w:pPr>
        <w:jc w:val="both"/>
        <w:ind w:firstLine="656"/>
        <w:spacing w:after="0" w:line="285" w:lineRule="auto"/>
        <w:tabs>
          <w:tab w:leader="none" w:pos="940" w:val="left"/>
        </w:tabs>
        <w:numPr>
          <w:ilvl w:val="1"/>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Qualifications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4(b)</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w:t>
      </w:r>
      <w:r>
        <w:rPr>
          <w:rFonts w:ascii="Arial" w:cs="Arial" w:eastAsia="Arial" w:hAnsi="Arial"/>
          <w:sz w:val="16"/>
          <w:szCs w:val="16"/>
          <w:color w:val="auto"/>
        </w:rPr>
        <w:t>, dividends and other distributions (payable in cash, units or otherwise)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by the Board of Managers or any duly authorized committee of the Board of Managers may be declared and paid on any Approved Preferred Units, Junior Units or Pari Passu Units from time to time out of any funds legally available therefor, and the Series A Preferred Units shall not be entitled to participate in any such dividend or other distributions. Notwithstanding anything to the contrary set forth in this Certificate of Designations, nothing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limit or restrict the Company or its Affiliates from (i) paying any costs, fees, operating expenses or other expenses (1) incurred by a Reporting Company Affiliate in connection with serving as a manager or managing member of the Company or (2) allocable to the Company or otherwise incurred by a Reporting Company Affiliate in connection with operating the Company’s business (including expenses allocated to the Reporting Company Affiliate by its Affiliates), or (ii) in addition to any other circumstances specified in this Certificate of Designations in which the Company is permitted to pay any dividend or distribution on or repurchase, redeem or otherwise acquire any Junior Units or Pari Passu Units, declaring or paying any dividend or distribution on or repurchasing, redeeming or otherwise acquiring any Junior Units or Pari Passu Units in a cumulative amount from the Original Subscription Date not to exceed $100 million;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net cash proceeds to the Company (after payment of all transaction expenses and, in the case of a Business Combination, any post-closing redemption payments) resulting from (A) a Business Combination (or financing arrangements entered into by the Company or the SPAC (or any successor thereto or resulting entity) in conjunction with a Business Combination for the issuance of equity securities that are junior to the Series A Preferred Units, including any associated private investment in public equity of the SPAC (or any successor thereto or resulting entity)), (B) an IPO or (C) any other equity financing consisting of the issuance of equity securities that are junior to the Series A Preferred Units, in each case, occurring after the Original Subscription Date are at least $335 million;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declaration or payment of any dividend or distribution with respect to, or the repurchase or redemption of, any Junior Units or Pari Passu Units in a cumulative amount not to exceed $100 million contemplated by clause (ii) shall not be permitted at any time that any Delayed Redemption Units are then outstanding.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656"/>
        <w:spacing w:after="0" w:line="268" w:lineRule="auto"/>
        <w:tabs>
          <w:tab w:leader="none" w:pos="918"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Rate upon an Event of Default. </w:t>
      </w:r>
      <w:r>
        <w:rPr>
          <w:rFonts w:ascii="Arial" w:cs="Arial" w:eastAsia="Arial" w:hAnsi="Arial"/>
          <w:sz w:val="17"/>
          <w:szCs w:val="17"/>
          <w:color w:val="auto"/>
        </w:rPr>
        <w:t>In the event the Company materially breaches any of its obligations to a Holder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4</w:t>
      </w:r>
      <w:r>
        <w:rPr>
          <w:rFonts w:ascii="Arial" w:cs="Arial" w:eastAsia="Arial" w:hAnsi="Arial"/>
          <w:sz w:val="17"/>
          <w:szCs w:val="17"/>
          <w:color w:val="auto"/>
        </w:rPr>
        <w:t xml:space="preserve"> (including a failure to pay dividends on the Series A Preferred Units either in cash or by issuance of additional Series A Preferred Units (to the extent permitted under Section 4(a), regardless of whether such dividends are permitted by applicable law)), </w:t>
      </w:r>
      <w:r>
        <w:rPr>
          <w:rFonts w:ascii="Arial" w:cs="Arial" w:eastAsia="Arial" w:hAnsi="Arial"/>
          <w:sz w:val="17"/>
          <w:szCs w:val="17"/>
          <w:u w:val="single" w:color="auto"/>
          <w:color w:val="auto"/>
        </w:rPr>
        <w:t>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(each a “</w:t>
      </w:r>
      <w:r>
        <w:rPr>
          <w:rFonts w:ascii="Arial" w:cs="Arial" w:eastAsia="Arial" w:hAnsi="Arial"/>
          <w:sz w:val="17"/>
          <w:szCs w:val="17"/>
          <w:i w:val="1"/>
          <w:iCs w:val="1"/>
          <w:color w:val="auto"/>
        </w:rPr>
        <w:t>Material Breach</w:t>
      </w:r>
      <w:r>
        <w:rPr>
          <w:rFonts w:ascii="Arial" w:cs="Arial" w:eastAsia="Arial" w:hAnsi="Arial"/>
          <w:sz w:val="17"/>
          <w:szCs w:val="17"/>
          <w:color w:val="auto"/>
        </w:rPr>
        <w:t xml:space="preserve">”), in addition to any other rights or remedies such Holder may have at law, in equity, under contract or otherwise, the dividend rate on such Holder’s outstanding Series A Preferred Units (as otherwise provided in </w:t>
      </w:r>
      <w:r>
        <w:rPr>
          <w:rFonts w:ascii="Arial" w:cs="Arial" w:eastAsia="Arial" w:hAnsi="Arial"/>
          <w:sz w:val="17"/>
          <w:szCs w:val="17"/>
          <w:u w:val="single" w:color="auto"/>
          <w:color w:val="auto"/>
        </w:rPr>
        <w:t>Section 4(a)</w:t>
      </w:r>
      <w:r>
        <w:rPr>
          <w:rFonts w:ascii="Arial" w:cs="Arial" w:eastAsia="Arial" w:hAnsi="Arial"/>
          <w:sz w:val="17"/>
          <w:szCs w:val="17"/>
          <w:color w:val="auto"/>
        </w:rPr>
        <w:t>) shall be increased to the greater of (i) twelve percent (12%) per annum and (ii) the dividend rate then in effect plus two percent (2%) per annum, until such time as such Material Breach is cured (at which time the dividend rate shall return to the dividend rate in effect prior to such increase in respect of such Material Breach). In the event of multiple Material Breaches that are unrelated to one another (each an “</w:t>
      </w:r>
      <w:r>
        <w:rPr>
          <w:rFonts w:ascii="Arial" w:cs="Arial" w:eastAsia="Arial" w:hAnsi="Arial"/>
          <w:sz w:val="17"/>
          <w:szCs w:val="17"/>
          <w:i w:val="1"/>
          <w:iCs w:val="1"/>
          <w:color w:val="auto"/>
        </w:rPr>
        <w:t>Unrelated Material Breach</w:t>
      </w:r>
      <w:r>
        <w:rPr>
          <w:rFonts w:ascii="Arial" w:cs="Arial" w:eastAsia="Arial" w:hAnsi="Arial"/>
          <w:sz w:val="17"/>
          <w:szCs w:val="17"/>
          <w:color w:val="auto"/>
        </w:rPr>
        <w:t xml:space="preserve">”) and that remain uncured contemporaneously with one another, such dividend rate shall increase by an additional two percent (2%) per annum for each Unrelated Material Breach that is in addition to the Material Breach specified in the immediately preceding sentence, until such time as such Unrelated Material Breach is cured (at which time the dividend rate shall return to the dividend rate in effect prior to such increase in respect of such Unrelated Material Breach);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circumstance shall such dividend rate exceed twenty percent (20%) per annum at any time. For the avoidance of doubt, any failure to pay cash dividends when due for a specific quarterly period shall be deemed an Unrelated Material Breach from the failure to pay cash dividends when due for a different specific quarterly period. Furthermore, and notwithstanding the foregoing, in the event that any Series A-1 Preferred Units are redeemed in violation of this Certificate of Designations, the dividend rate on all Series A Preferred Units shall immediately and permanently be increased to twenty percent (20%) until such time as all Series A Preferred Units have been redeemed by the Company in full.</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Section 5. Distributions upon Dissolution. </w:t>
      </w:r>
      <w:r>
        <w:rPr>
          <w:rFonts w:ascii="Arial" w:cs="Arial" w:eastAsia="Arial" w:hAnsi="Arial"/>
          <w:sz w:val="16"/>
          <w:szCs w:val="16"/>
          <w:color w:val="auto"/>
        </w:rPr>
        <w:t>Upon dissolution, liquidation or winding up of the Company (a “</w:t>
      </w:r>
      <w:r>
        <w:rPr>
          <w:rFonts w:ascii="Arial" w:cs="Arial" w:eastAsia="Arial" w:hAnsi="Arial"/>
          <w:sz w:val="16"/>
          <w:szCs w:val="16"/>
          <w:i w:val="1"/>
          <w:iCs w:val="1"/>
          <w:color w:val="auto"/>
        </w:rPr>
        <w:t>Liquidation</w:t>
      </w:r>
      <w:r>
        <w:rPr>
          <w:rFonts w:ascii="Arial" w:cs="Arial" w:eastAsia="Arial" w:hAnsi="Arial"/>
          <w:sz w:val="16"/>
          <w:szCs w:val="16"/>
          <w:color w:val="auto"/>
        </w:rPr>
        <w:t>”), to the fullest extent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by applicable law, the Holders shall be entitled to receive from any proceeds resulting from the Liquidation of the Company (“</w:t>
      </w:r>
      <w:r>
        <w:rPr>
          <w:rFonts w:ascii="Arial" w:cs="Arial" w:eastAsia="Arial" w:hAnsi="Arial"/>
          <w:sz w:val="16"/>
          <w:szCs w:val="16"/>
          <w:i w:val="1"/>
          <w:iCs w:val="1"/>
          <w:color w:val="auto"/>
        </w:rPr>
        <w:t>Liquidation Proceeds</w:t>
      </w:r>
      <w:r>
        <w:rPr>
          <w:rFonts w:ascii="Arial" w:cs="Arial" w:eastAsia="Arial" w:hAnsi="Arial"/>
          <w:sz w:val="16"/>
          <w:szCs w:val="16"/>
          <w:color w:val="auto"/>
        </w:rPr>
        <w:t>”), before any Liquidation Proceeds shall be distributed in respect of any Junior Units, an amount per Series A Preferred Unit equal to the Base Amount as of the date of Liquidation (the “</w:t>
      </w:r>
      <w:r>
        <w:rPr>
          <w:rFonts w:ascii="Arial" w:cs="Arial" w:eastAsia="Arial" w:hAnsi="Arial"/>
          <w:sz w:val="16"/>
          <w:szCs w:val="16"/>
          <w:i w:val="1"/>
          <w:iCs w:val="1"/>
          <w:color w:val="auto"/>
        </w:rPr>
        <w:t>Liquidation Payment</w:t>
      </w:r>
      <w:r>
        <w:rPr>
          <w:rFonts w:ascii="Arial" w:cs="Arial" w:eastAsia="Arial" w:hAnsi="Arial"/>
          <w:sz w:val="16"/>
          <w:szCs w:val="16"/>
          <w:color w:val="auto"/>
        </w:rPr>
        <w:t>”). If, following (i) the satisfaction of the Company’s debts and liabilities (including the satisfaction of all indebtedness to Members and/or their Affiliates to the extent otherwise permitted by law) including the expenses of liquidation, and including the establishment of any reserves which the Board of Managers (or liquidation agent) may deem reasonably for any contingent, conditional or unmatured contractual liabilities or obligations of the Company and (ii) the payment to the holders of any Senior Units of the full amounts to which they may be entitled upon such Liquidation, the remaining Liquidation Proceeds are insufficient to pay Holders and the holder of any Pari Passu Units in full the Liquidation Payment per Series A Preferred Unit and the liquidation preference amount payable to the holders of any Pari Passu Units, then the Company shall allocate any remaining Liquidation Proceeds on a pro rata basis among the holders of Series A Preferred Units and Pari Passu Units then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Redemption.</w:t>
      </w:r>
    </w:p>
    <w:p>
      <w:pPr>
        <w:spacing w:after="0" w:line="225" w:lineRule="exact"/>
        <w:rPr>
          <w:sz w:val="20"/>
          <w:szCs w:val="20"/>
          <w:color w:val="auto"/>
        </w:rPr>
      </w:pPr>
    </w:p>
    <w:p>
      <w:pPr>
        <w:jc w:val="both"/>
        <w:ind w:firstLine="656"/>
        <w:spacing w:after="0" w:line="269" w:lineRule="auto"/>
        <w:tabs>
          <w:tab w:leader="none" w:pos="903"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Optional Redemption</w:t>
      </w:r>
      <w:r>
        <w:rPr>
          <w:rFonts w:ascii="Arial" w:cs="Arial" w:eastAsia="Arial" w:hAnsi="Arial"/>
          <w:sz w:val="17"/>
          <w:szCs w:val="17"/>
          <w:color w:val="auto"/>
        </w:rPr>
        <w:t>. To the fullest extent permitted by applicable law, the Series A Preferred Units may be redeemed, in whole or in part, at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election (in its sole and absolute discretion), at any time, at a price, payable solely in cash, equal to the Base Amount per Series A Preferred Unit as of the date of redemption (the “</w:t>
      </w:r>
      <w:r>
        <w:rPr>
          <w:rFonts w:ascii="Arial" w:cs="Arial" w:eastAsia="Arial" w:hAnsi="Arial"/>
          <w:sz w:val="17"/>
          <w:szCs w:val="17"/>
          <w:i w:val="1"/>
          <w:iCs w:val="1"/>
          <w:color w:val="auto"/>
        </w:rPr>
        <w:t>Redemption Price</w:t>
      </w:r>
      <w:r>
        <w:rPr>
          <w:rFonts w:ascii="Arial" w:cs="Arial" w:eastAsia="Arial" w:hAnsi="Arial"/>
          <w:sz w:val="17"/>
          <w:szCs w:val="17"/>
          <w:color w:val="auto"/>
        </w:rPr>
        <w:t>”). Any such redemption election by the Company (i) shall be made ratably across all Holders based on the number of Series A Preferred Units held by each Holder such that the Company shall redeem the same percentage of Series A Preferred Units held by each Holder, and (ii) may be made contingent upon the happening of any event or circumstance (including a Change of Control). If on any Optional Redemption Date, Delaware law governing distributions to members of a limited liability company does not permit the Company to redeem all the Series A Preferred Units to be redeemed, the Company shall ratably redeem the maximum number of Series A Preferred Units that it may redeem consistent with such law, and shall redeem the remaining Series A Preferred Units as soon as it may lawfully do so under such law (with the Series A Mandatory Cumulative Dividends continuing to accrue and compound during such interim period). The Company shall send written notice of its redemption election (the “</w:t>
      </w:r>
      <w:r>
        <w:rPr>
          <w:rFonts w:ascii="Arial" w:cs="Arial" w:eastAsia="Arial" w:hAnsi="Arial"/>
          <w:sz w:val="17"/>
          <w:szCs w:val="17"/>
          <w:i w:val="1"/>
          <w:iCs w:val="1"/>
          <w:color w:val="auto"/>
        </w:rPr>
        <w:t>Optional Redemption Notice</w:t>
      </w:r>
      <w:r>
        <w:rPr>
          <w:rFonts w:ascii="Arial" w:cs="Arial" w:eastAsia="Arial" w:hAnsi="Arial"/>
          <w:sz w:val="17"/>
          <w:szCs w:val="17"/>
          <w:color w:val="auto"/>
        </w:rPr>
        <w:t>”) to each Holder not less than ten (10) or more than sixty (60) days prior to each Optional Redemption Date (defined below). Each Optional Redemption Notice shall state:</w:t>
      </w:r>
    </w:p>
    <w:p>
      <w:pPr>
        <w:spacing w:after="0" w:line="185" w:lineRule="exact"/>
        <w:rPr>
          <w:rFonts w:ascii="Arial" w:cs="Arial" w:eastAsia="Arial" w:hAnsi="Arial"/>
          <w:sz w:val="17"/>
          <w:szCs w:val="17"/>
          <w:b w:val="1"/>
          <w:bCs w:val="1"/>
          <w:color w:val="auto"/>
        </w:rPr>
      </w:pPr>
    </w:p>
    <w:p>
      <w:pPr>
        <w:ind w:firstLine="1628"/>
        <w:spacing w:after="0" w:line="277" w:lineRule="auto"/>
        <w:tabs>
          <w:tab w:leader="none" w:pos="184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number of Series A Preferred Units held by such Holders that the Company shall redeem on the Optional Redemption Date specified in the Optional Redemption Notice;</w:t>
      </w:r>
    </w:p>
    <w:p>
      <w:pPr>
        <w:spacing w:after="0" w:line="170" w:lineRule="exact"/>
        <w:rPr>
          <w:rFonts w:ascii="Arial" w:cs="Arial" w:eastAsia="Arial" w:hAnsi="Arial"/>
          <w:sz w:val="18"/>
          <w:szCs w:val="18"/>
          <w:color w:val="auto"/>
        </w:rPr>
      </w:pPr>
    </w:p>
    <w:p>
      <w:pPr>
        <w:ind w:left="1900" w:hanging="272"/>
        <w:spacing w:after="0"/>
        <w:tabs>
          <w:tab w:leader="none" w:pos="1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Optional Redemption Date and the Redemption Price; and</w:t>
      </w:r>
    </w:p>
    <w:p>
      <w:pPr>
        <w:spacing w:after="0" w:line="225" w:lineRule="exact"/>
        <w:rPr>
          <w:rFonts w:ascii="Arial" w:cs="Arial" w:eastAsia="Arial" w:hAnsi="Arial"/>
          <w:sz w:val="18"/>
          <w:szCs w:val="18"/>
          <w:color w:val="auto"/>
        </w:rPr>
      </w:pPr>
    </w:p>
    <w:p>
      <w:pPr>
        <w:ind w:right="20" w:firstLine="1628"/>
        <w:spacing w:after="0" w:line="308" w:lineRule="auto"/>
        <w:tabs>
          <w:tab w:leader="none" w:pos="1949" w:val="left"/>
        </w:tabs>
        <w:numPr>
          <w:ilvl w:val="1"/>
          <w:numId w:val="218"/>
        </w:numPr>
        <w:rPr>
          <w:rFonts w:ascii="Arial" w:cs="Arial" w:eastAsia="Arial" w:hAnsi="Arial"/>
          <w:sz w:val="17"/>
          <w:szCs w:val="17"/>
          <w:color w:val="auto"/>
        </w:rPr>
      </w:pPr>
      <w:r>
        <w:rPr>
          <w:rFonts w:ascii="Arial" w:cs="Arial" w:eastAsia="Arial" w:hAnsi="Arial"/>
          <w:sz w:val="17"/>
          <w:szCs w:val="17"/>
          <w:color w:val="auto"/>
        </w:rPr>
        <w:t>to the extent such Holder holds its Series A Preferred Units in certificated form, the certificate or certificates representing the Series A Preferred Units to be redeemed which will be surrendered to the Company in the manner and at the place designated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date of each such redemption provided in the Optional Redemption Notice shall be referred to as an “</w:t>
      </w:r>
      <w:r>
        <w:rPr>
          <w:rFonts w:ascii="Arial" w:cs="Arial" w:eastAsia="Arial" w:hAnsi="Arial"/>
          <w:sz w:val="18"/>
          <w:szCs w:val="18"/>
          <w:i w:val="1"/>
          <w:iCs w:val="1"/>
          <w:color w:val="auto"/>
        </w:rPr>
        <w:t>Optional Redemption Date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656"/>
        <w:spacing w:after="0" w:line="284" w:lineRule="auto"/>
        <w:tabs>
          <w:tab w:leader="none" w:pos="976"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Mandatory Redemption</w:t>
      </w:r>
      <w:r>
        <w:rPr>
          <w:rFonts w:ascii="Arial" w:cs="Arial" w:eastAsia="Arial" w:hAnsi="Arial"/>
          <w:sz w:val="16"/>
          <w:szCs w:val="16"/>
          <w:color w:val="auto"/>
        </w:rPr>
        <w:t>. If at any time a Holder delivers written notice to the Company requesting redemption (in whole or in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A Preferred Units held by such Holder (each, a “</w:t>
      </w:r>
      <w:r>
        <w:rPr>
          <w:rFonts w:ascii="Arial" w:cs="Arial" w:eastAsia="Arial" w:hAnsi="Arial"/>
          <w:sz w:val="16"/>
          <w:szCs w:val="16"/>
          <w:i w:val="1"/>
          <w:iCs w:val="1"/>
          <w:color w:val="auto"/>
        </w:rPr>
        <w:t>Mandatory Redemption Request</w:t>
      </w:r>
      <w:r>
        <w:rPr>
          <w:rFonts w:ascii="Arial" w:cs="Arial" w:eastAsia="Arial" w:hAnsi="Arial"/>
          <w:sz w:val="16"/>
          <w:szCs w:val="16"/>
          <w:color w:val="auto"/>
        </w:rPr>
        <w:t>”) either (i) in connection with a Change of Control or (ii) at any time on or after the four (4) year anniversary of the Original Subscription Date (the “</w:t>
      </w:r>
      <w:r>
        <w:rPr>
          <w:rFonts w:ascii="Arial" w:cs="Arial" w:eastAsia="Arial" w:hAnsi="Arial"/>
          <w:sz w:val="16"/>
          <w:szCs w:val="16"/>
          <w:i w:val="1"/>
          <w:iCs w:val="1"/>
          <w:color w:val="auto"/>
        </w:rPr>
        <w:t>4-Year Anniversary Date</w:t>
      </w:r>
      <w:r>
        <w:rPr>
          <w:rFonts w:ascii="Arial" w:cs="Arial" w:eastAsia="Arial" w:hAnsi="Arial"/>
          <w:sz w:val="16"/>
          <w:szCs w:val="16"/>
          <w:color w:val="auto"/>
        </w:rPr>
        <w:t xml:space="preserve">”), then the Company shall redeem, to the fullest extent permitted by applicable law (subject to the next sentence), on the Mandatory Redemption Date (defined below), at the Redemption Price per Series A Preferred Unit (payable solely in cash), the number of Series A Preferred Units requested by the Holder to be redeemed in the Mandatory Redemption Request. In connection with the foregoing, the Company shall apply all of its assets to any such redemption, and to no other corporate or other purpose, except to the extent prohibited by Delaware law governing distributions to unitholders or as restricted by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or by Section 12(b) of the Subscription Agreement. In connection with a Change of Control, the Company shall provide written notice (a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color w:val="auto"/>
        </w:rPr>
        <w:t>”) to Holders at least fifteen (15) Business Days prior to the anticipated date of consummation of the Change of Control (such anticipated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Closing Date</w:t>
      </w:r>
      <w:r>
        <w:rPr>
          <w:rFonts w:ascii="Arial" w:cs="Arial" w:eastAsia="Arial" w:hAnsi="Arial"/>
          <w:sz w:val="16"/>
          <w:szCs w:val="16"/>
          <w:color w:val="auto"/>
        </w:rPr>
        <w:t>”) stating, (i) the Closing Date, (ii) that Holders may elect to have all, or a portion of, their Series A Preferred Units redeemed upon the consummation of the Change of Control by delivering to the Company a Mandatory Redemption Request no later than the later of (A) seven (7) Business Days following receipt of the Change of Control Notice or (B) twenty (20) Business Days prior to the Closing Date specified in the written notice, (iii) the Redemption Price, and (iv) for Holders which hold Series A Preferred Units in certificated form, if any, the certificate or certificates representing the Series A Preferred Units to be redeemed which will be surrendered to the Company in the manner and at the place designated by the Company. In the case of a Mandatory Redemption Request other than in connection with a Change of Control, within thirty (30) days after receipt of the Mandatory Redemption Request, the Company shall send to the Holder making such Mandatory Redemption Request a written confirmation notice (the “</w:t>
      </w:r>
      <w:r>
        <w:rPr>
          <w:rFonts w:ascii="Arial" w:cs="Arial" w:eastAsia="Arial" w:hAnsi="Arial"/>
          <w:sz w:val="16"/>
          <w:szCs w:val="16"/>
          <w:i w:val="1"/>
          <w:iCs w:val="1"/>
          <w:color w:val="auto"/>
        </w:rPr>
        <w:t>Confirmation Notice</w:t>
      </w:r>
      <w:r>
        <w:rPr>
          <w:rFonts w:ascii="Arial" w:cs="Arial" w:eastAsia="Arial" w:hAnsi="Arial"/>
          <w:sz w:val="16"/>
          <w:szCs w:val="16"/>
          <w:color w:val="auto"/>
        </w:rPr>
        <w:t>”) stating, (i) the Mandatory Redemption Date applicable to such Mandatory Redemption Request, (ii) the Redemption Price and (iii) for Holders which hold Series A Preferred Units in certificated form, if any, the certificate or certificates representing the Series A Preferred Units to be redeemed which will be surrendered to the Company in the manner and at the place designated by the Company. “</w:t>
      </w:r>
      <w:r>
        <w:rPr>
          <w:rFonts w:ascii="Arial" w:cs="Arial" w:eastAsia="Arial" w:hAnsi="Arial"/>
          <w:sz w:val="16"/>
          <w:szCs w:val="16"/>
          <w:i w:val="1"/>
          <w:iCs w:val="1"/>
          <w:color w:val="auto"/>
        </w:rPr>
        <w:t>Mandatory Redemption Date</w:t>
      </w:r>
      <w:r>
        <w:rPr>
          <w:rFonts w:ascii="Arial" w:cs="Arial" w:eastAsia="Arial" w:hAnsi="Arial"/>
          <w:sz w:val="16"/>
          <w:szCs w:val="16"/>
          <w:color w:val="auto"/>
        </w:rPr>
        <w:t xml:space="preserve">” means (i) in the case of a Change of Control, the date of consummation of such Change of Control and (ii) in the case of a redemption of Series A Preferred Units to occur on or after the 4-Year Anniversary Date, no later than 90 days after the Company’s receipt of the Mandatory Redemption Request in respect of such Series A Preferred Units but in no event prior to the 4-Year Anniversary Date for such Series A Preferred Units. If on any Mandatory Redemption Date, Delaware law governing distributions to Members does not permit the Company to redeem all Series A Preferred Units to be redeemed, the Company shall ratably redeem the maximum number of Series A Preferred Units that it may redeem consistent with such law, and shall redeem the remaining Series A Preferred Units as soon as it may lawfully do so under such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applicable Mandatory Redemption Request relates to the consummation of a Change of Control, the Company shall not permit the consummation of such Change of Control to occur unless and until all Series A Preferred Units requested by the Holder to be redeemed in the Mandatory Redemption Request are redeemed at the Redemption Price.</w:t>
      </w:r>
    </w:p>
    <w:p>
      <w:pPr>
        <w:spacing w:after="0" w:line="169" w:lineRule="exact"/>
        <w:rPr>
          <w:rFonts w:ascii="Arial" w:cs="Arial" w:eastAsia="Arial" w:hAnsi="Arial"/>
          <w:sz w:val="16"/>
          <w:szCs w:val="16"/>
          <w:b w:val="1"/>
          <w:bCs w:val="1"/>
          <w:color w:val="auto"/>
        </w:rPr>
      </w:pPr>
    </w:p>
    <w:p>
      <w:pPr>
        <w:jc w:val="both"/>
        <w:ind w:firstLine="656"/>
        <w:spacing w:after="0" w:line="271" w:lineRule="auto"/>
        <w:tabs>
          <w:tab w:leader="none" w:pos="920"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Surrender of Certificates</w:t>
      </w:r>
      <w:r>
        <w:rPr>
          <w:rFonts w:ascii="Arial" w:cs="Arial" w:eastAsia="Arial" w:hAnsi="Arial"/>
          <w:sz w:val="17"/>
          <w:szCs w:val="17"/>
          <w:color w:val="auto"/>
        </w:rPr>
        <w:t>. On or before the applicable Optional Redemption Date or Mandatory Redemption Date (each a “</w:t>
      </w:r>
      <w:r>
        <w:rPr>
          <w:rFonts w:ascii="Arial" w:cs="Arial" w:eastAsia="Arial" w:hAnsi="Arial"/>
          <w:sz w:val="17"/>
          <w:szCs w:val="17"/>
          <w:i w:val="1"/>
          <w:iCs w:val="1"/>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Date</w:t>
      </w:r>
      <w:r>
        <w:rPr>
          <w:rFonts w:ascii="Arial" w:cs="Arial" w:eastAsia="Arial" w:hAnsi="Arial"/>
          <w:sz w:val="17"/>
          <w:szCs w:val="17"/>
          <w:color w:val="auto"/>
        </w:rPr>
        <w:t>”), each Holder of Series A Preferred Units to be redeemed on such Redemption Date, shall, if a Holder holds Series A Preferred Units in certificated</w:t>
      </w:r>
      <w:r>
        <w:rPr>
          <w:rFonts w:ascii="Arial" w:cs="Arial" w:eastAsia="Arial" w:hAnsi="Arial"/>
          <w:sz w:val="17"/>
          <w:szCs w:val="17"/>
          <w:i w:val="1"/>
          <w:iCs w:val="1"/>
          <w:color w:val="auto"/>
        </w:rPr>
        <w:t xml:space="preserve"> </w:t>
      </w:r>
      <w:r>
        <w:rPr>
          <w:rFonts w:ascii="Arial" w:cs="Arial" w:eastAsia="Arial" w:hAnsi="Arial"/>
          <w:sz w:val="17"/>
          <w:szCs w:val="17"/>
          <w:color w:val="auto"/>
        </w:rPr>
        <w:t>form, surrender the certificate or certificates representing such units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in the manner and at the place designated in the Optional Redemption Notice, Change of Control Notice or Confirmation Notice, as applicable, and thereupon the Redemption Price for such units shall be payable to the order of the person whose name appears on such certificate or certificates as the owner thereof. In the event less than all of the Series A Preferred Units represented by a certificate are redeemed, a new certificate, instrument, or book entry representing the unredeemed Series A Preferred Units shall promptly be issued to such Holder.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firstLine="656"/>
        <w:spacing w:after="0" w:line="272" w:lineRule="auto"/>
        <w:tabs>
          <w:tab w:leader="none" w:pos="944"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Mandatory Redemption Delay</w:t>
      </w:r>
      <w:r>
        <w:rPr>
          <w:rFonts w:ascii="Arial" w:cs="Arial" w:eastAsia="Arial" w:hAnsi="Arial"/>
          <w:sz w:val="17"/>
          <w:szCs w:val="17"/>
          <w:color w:val="auto"/>
        </w:rPr>
        <w:t>. If any Series A Preferred Units subject to a Mandatory Redemption Request are not redeemed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Mandatory Redemption Date for any reason (such date, a “</w:t>
      </w:r>
      <w:r>
        <w:rPr>
          <w:rFonts w:ascii="Arial" w:cs="Arial" w:eastAsia="Arial" w:hAnsi="Arial"/>
          <w:sz w:val="17"/>
          <w:szCs w:val="17"/>
          <w:i w:val="1"/>
          <w:iCs w:val="1"/>
          <w:color w:val="auto"/>
        </w:rPr>
        <w:t>Delayed Redemption Date</w:t>
      </w:r>
      <w:r>
        <w:rPr>
          <w:rFonts w:ascii="Arial" w:cs="Arial" w:eastAsia="Arial" w:hAnsi="Arial"/>
          <w:sz w:val="17"/>
          <w:szCs w:val="17"/>
          <w:color w:val="auto"/>
        </w:rPr>
        <w:t>” and such failure to timely redeem, a “</w:t>
      </w:r>
      <w:r>
        <w:rPr>
          <w:rFonts w:ascii="Arial" w:cs="Arial" w:eastAsia="Arial" w:hAnsi="Arial"/>
          <w:sz w:val="17"/>
          <w:szCs w:val="17"/>
          <w:i w:val="1"/>
          <w:iCs w:val="1"/>
          <w:color w:val="auto"/>
        </w:rPr>
        <w:t>Delayed</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w:t>
      </w:r>
      <w:r>
        <w:rPr>
          <w:rFonts w:ascii="Arial" w:cs="Arial" w:eastAsia="Arial" w:hAnsi="Arial"/>
          <w:sz w:val="17"/>
          <w:szCs w:val="17"/>
          <w:color w:val="auto"/>
        </w:rPr>
        <w:t>”), all such unredeemed Series A Preferred Units shall remain outstanding and entitled to all the rights and preferences provided herein.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for so long as such Mandatory Redemption Request remains unsatisfied, the Holder(s) of such unredeemed Series A Preferred Units (a “</w:t>
      </w:r>
      <w:r>
        <w:rPr>
          <w:rFonts w:ascii="Arial" w:cs="Arial" w:eastAsia="Arial" w:hAnsi="Arial"/>
          <w:sz w:val="17"/>
          <w:szCs w:val="17"/>
          <w:i w:val="1"/>
          <w:iCs w:val="1"/>
          <w:color w:val="auto"/>
        </w:rPr>
        <w:t>Delayed Redemption Holder</w:t>
      </w:r>
      <w:r>
        <w:rPr>
          <w:rFonts w:ascii="Arial" w:cs="Arial" w:eastAsia="Arial" w:hAnsi="Arial"/>
          <w:sz w:val="17"/>
          <w:szCs w:val="17"/>
          <w:color w:val="auto"/>
        </w:rPr>
        <w:t>” and such unredeemed Series A Preferred Units, for so long as such Series A Preferred Units have not been redeemed or converted to Common Units, being referred to as “</w:t>
      </w:r>
      <w:r>
        <w:rPr>
          <w:rFonts w:ascii="Arial" w:cs="Arial" w:eastAsia="Arial" w:hAnsi="Arial"/>
          <w:sz w:val="17"/>
          <w:szCs w:val="17"/>
          <w:i w:val="1"/>
          <w:iCs w:val="1"/>
          <w:color w:val="auto"/>
        </w:rPr>
        <w:t>Delayed Redemption Units</w:t>
      </w:r>
      <w:r>
        <w:rPr>
          <w:rFonts w:ascii="Arial" w:cs="Arial" w:eastAsia="Arial" w:hAnsi="Arial"/>
          <w:sz w:val="17"/>
          <w:szCs w:val="17"/>
          <w:color w:val="auto"/>
        </w:rPr>
        <w:t>”) shall have the following rights and remedies (which shall constitute such Holder(s)’(s) sole rights and remedies with respect to such unredeemed Series A Preferred Units in circumstances in which the Company is not permitted by applicable law to satisfy such Mandatory Redemption Request in full:</w:t>
      </w:r>
    </w:p>
    <w:p>
      <w:pPr>
        <w:spacing w:after="0" w:line="175" w:lineRule="exact"/>
        <w:rPr>
          <w:rFonts w:ascii="Arial" w:cs="Arial" w:eastAsia="Arial" w:hAnsi="Arial"/>
          <w:sz w:val="17"/>
          <w:szCs w:val="17"/>
          <w:b w:val="1"/>
          <w:bCs w:val="1"/>
          <w:color w:val="auto"/>
        </w:rPr>
      </w:pPr>
    </w:p>
    <w:p>
      <w:pPr>
        <w:jc w:val="both"/>
        <w:ind w:firstLine="1628"/>
        <w:spacing w:after="0" w:line="283" w:lineRule="auto"/>
        <w:tabs>
          <w:tab w:leader="none" w:pos="183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Until the satisfaction of such Mandatory Redemption Request in full, the Delayed Redemption Holder may elect to convert all, or a portion of, its Delayed Redemption Units into a number of Common Units equal to (i) the number of Delayed Redemption Units the Delayed Redemption Holder elects to convert into Common Units multiplied by a fraction (x) the numerator of which is the Base Amount for the Delayed Redemption Units, and (y) the denominator of which is the then-applicable Conversion Price. In order for a Delayed Redemption Holder to convert Delayed Redemption Units into Common Units, such Holder shall (a) provide written notice (a “</w:t>
      </w:r>
      <w:r>
        <w:rPr>
          <w:rFonts w:ascii="Arial" w:cs="Arial" w:eastAsia="Arial" w:hAnsi="Arial"/>
          <w:sz w:val="16"/>
          <w:szCs w:val="16"/>
          <w:i w:val="1"/>
          <w:iCs w:val="1"/>
          <w:color w:val="auto"/>
        </w:rPr>
        <w:t>Conversion Election Notice</w:t>
      </w:r>
      <w:r>
        <w:rPr>
          <w:rFonts w:ascii="Arial" w:cs="Arial" w:eastAsia="Arial" w:hAnsi="Arial"/>
          <w:sz w:val="16"/>
          <w:szCs w:val="16"/>
          <w:color w:val="auto"/>
        </w:rPr>
        <w:t>”) to the Company’s transfer agent at the office of the transfer agent for the Series A Preferred Units (or to the Company, pursuant to the notice requirements set forth in the Operating Agreement, if the Company serves as its own transfer agent) that such Holder elects to convert all or any number of such Holder’s Delayed Redemption Units and (b), if such Holder’s shares are certificated, surrender the certificate or certificates for such Delayed Redemption Units (or, if such Delayed Redemption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Series A Preferred Units (or to the Company, pursuant to the notice requirements set forth in the Operating Agreement, if the Company serves as its own transfer agent). Such notice shall state such Holder’s name or the names of the nominees in which such Holder wishes the Common Units to be issued.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The close of business on the date of receipt by the transfer agent (or by the Company if the Company serves as its own transfer agent) of such notice and, if applicable, certificates (or lost certificate affidavit and agreement) shall be the time of conversion (the “</w:t>
      </w:r>
      <w:r>
        <w:rPr>
          <w:rFonts w:ascii="Arial" w:cs="Arial" w:eastAsia="Arial" w:hAnsi="Arial"/>
          <w:sz w:val="16"/>
          <w:szCs w:val="16"/>
          <w:i w:val="1"/>
          <w:iCs w:val="1"/>
          <w:color w:val="auto"/>
        </w:rPr>
        <w:t>Conversion Time</w:t>
      </w:r>
      <w:r>
        <w:rPr>
          <w:rFonts w:ascii="Arial" w:cs="Arial" w:eastAsia="Arial" w:hAnsi="Arial"/>
          <w:sz w:val="16"/>
          <w:szCs w:val="16"/>
          <w:color w:val="auto"/>
        </w:rPr>
        <w:t xml:space="preserve">”), and the Common Units issuable upon conversion of the Delayed Redemption Units shall be deemed to be outstanding of record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the Common Unit Price used in calculating the Conversion Price is determined pursuant to </w:t>
      </w:r>
      <w:r>
        <w:rPr>
          <w:rFonts w:ascii="Arial" w:cs="Arial" w:eastAsia="Arial" w:hAnsi="Arial"/>
          <w:sz w:val="16"/>
          <w:szCs w:val="16"/>
          <w:u w:val="single" w:color="auto"/>
          <w:color w:val="auto"/>
        </w:rPr>
        <w:t>paragraph (iii)</w:t>
      </w:r>
      <w:r>
        <w:rPr>
          <w:rFonts w:ascii="Arial" w:cs="Arial" w:eastAsia="Arial" w:hAnsi="Arial"/>
          <w:sz w:val="16"/>
          <w:szCs w:val="16"/>
          <w:color w:val="auto"/>
        </w:rPr>
        <w:t xml:space="preserve"> of the definition of “Common Unit Price,” the Conversion Time shall be deferred until such time as the Common Unit Price is finally determined as set forth in said </w:t>
      </w:r>
      <w:r>
        <w:rPr>
          <w:rFonts w:ascii="Arial" w:cs="Arial" w:eastAsia="Arial" w:hAnsi="Arial"/>
          <w:sz w:val="16"/>
          <w:szCs w:val="16"/>
          <w:u w:val="single" w:color="auto"/>
          <w:color w:val="auto"/>
        </w:rPr>
        <w:t>paragraph (iii</w:t>
      </w:r>
      <w:r>
        <w:rPr>
          <w:rFonts w:ascii="Arial" w:cs="Arial" w:eastAsia="Arial" w:hAnsi="Arial"/>
          <w:sz w:val="16"/>
          <w:szCs w:val="16"/>
          <w:color w:val="auto"/>
        </w:rPr>
        <w:t xml:space="preserve">) of the definition of “Common Unit Price.” Notwithstanding the foregoing, any election by a Delayed Redemption Holder to convert any Delayed Redemption Units into Common Units pursuant to this </w:t>
      </w:r>
      <w:r>
        <w:rPr>
          <w:rFonts w:ascii="Arial" w:cs="Arial" w:eastAsia="Arial" w:hAnsi="Arial"/>
          <w:sz w:val="16"/>
          <w:szCs w:val="16"/>
          <w:u w:val="single" w:color="auto"/>
          <w:color w:val="auto"/>
        </w:rPr>
        <w:t>Section 6(d)(i)</w:t>
      </w:r>
      <w:r>
        <w:rPr>
          <w:rFonts w:ascii="Arial" w:cs="Arial" w:eastAsia="Arial" w:hAnsi="Arial"/>
          <w:sz w:val="16"/>
          <w:szCs w:val="16"/>
          <w:color w:val="auto"/>
        </w:rPr>
        <w:t xml:space="preserve"> shall (A) be for no less than the lesser of (1) Delayed Redemption Units with an aggregate Base Amount equal to or greater than $25 million and (2) all of the Delayed Redemption Units held by the Delayed Redemption Holder and (B) shall occur no more frequently than once per rolling three month-period. For the avoidance of doubt, any Common Units issued upon conversion of any Delayed Redemption Units shall be coupled with an equal number of Paired Voting Shares issued to the Delayed Redemption Holder to the extent Holders of Common Units were issued any Paired Voting Shares in conjunction with an IPO, Business Combination or other transaction. In the event that a Business Combination has occurred prior to the Conversion Time, the Company will cooperate with the Delayed Redemption Holder to permit the Delayed Redemption Holder, if such Delayed Redemption Holder requests, to effect and consummate Exchange Rights with respect to the Common Units into which the Delayed Redemption Units convert at a time that is contemporaneous with or immediately following the Conversion Time, and if the terms of such Exchange Rights under the Operating Agreement do not permit the Delayed Redemption Holder to exchange Common Units and Paired Voting Shares for Pubco Common Shares at or immediately following the Conversion Time, to provide the Delayed Redemption Holder the opportunity, at the Delayed Redemption Holder’s option, to either withdraw such Conversion Election Notice or delay the Conversion Time with respect to such Conversion Election Notice until such time as such exchange will be permitted under the Operating Agreement. Such Exchange Rights shall afford the Delayed Redemption Holder only the right to receive Pubco Common Shares entitling the holder thereof to a single vote per Pubco Common Share in respect of those matters for which holders of the Reporting Company Affiliate’s voting shares are entitled to vote, notwithstanding that other holders of Common Units may receive pursuant to the IPO or Business Combination Exchange Rights entitling the holder thereof to receive upon exchange or conversion of their Common Units Pubco Common Shares entitling the holder thereof to more than one vote (but not more than five votes) per Pubco Common Share in respect of those matters for which holders of the Reporting Company Affiliate’s voting shares are entitled to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holders of Units, other than holders of Common Units as of the Original Subscription Date and Hillman RNG (and their respective Affiliates), shall be permitted to receive in conjunction with a Business Combination Exchange Rights entitling such holder to receive upon exchange or conversion of their Units Pubco Common Shares entitling the holder thereof to more than one vote per Pubco Common Share in respect of those matters for which holders of the Reporting Company Affiliate’s voting shares are entitled to vote. Notwithstanding anything to the contrary in the Operating Agreement, no Common Units issued upon conversion of the Delayed Redemption Units, nor any Pubco Common Shares issued in exchange therefor, shall be subject to any lock-up restrictions.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1628"/>
        <w:spacing w:after="0" w:line="286" w:lineRule="auto"/>
        <w:tabs>
          <w:tab w:leader="none" w:pos="192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Until such time as all Delayed Redemption Units are redeemed or converted to Common Units, the dividend rate on all outstanding Series A Preferred Units (as provided in </w:t>
      </w:r>
      <w:r>
        <w:rPr>
          <w:rFonts w:ascii="Arial" w:cs="Arial" w:eastAsia="Arial" w:hAnsi="Arial"/>
          <w:sz w:val="16"/>
          <w:szCs w:val="16"/>
          <w:u w:val="single" w:color="auto"/>
          <w:color w:val="auto"/>
        </w:rPr>
        <w:t>Section 4(a)</w:t>
      </w:r>
      <w:r>
        <w:rPr>
          <w:rFonts w:ascii="Arial" w:cs="Arial" w:eastAsia="Arial" w:hAnsi="Arial"/>
          <w:sz w:val="16"/>
          <w:szCs w:val="16"/>
          <w:color w:val="auto"/>
        </w:rPr>
        <w:t>, as further adjusted by Section 4</w:t>
      </w:r>
      <w:r>
        <w:rPr>
          <w:rFonts w:ascii="Arial" w:cs="Arial" w:eastAsia="Arial" w:hAnsi="Arial"/>
          <w:sz w:val="16"/>
          <w:szCs w:val="16"/>
          <w:u w:val="single" w:color="auto"/>
          <w:color w:val="auto"/>
        </w:rPr>
        <w:t>(e)</w:t>
      </w:r>
      <w:r>
        <w:rPr>
          <w:rFonts w:ascii="Arial" w:cs="Arial" w:eastAsia="Arial" w:hAnsi="Arial"/>
          <w:sz w:val="16"/>
          <w:szCs w:val="16"/>
          <w:color w:val="auto"/>
        </w:rPr>
        <w:t>) shall (i) be increased to twelve percent (12%) per annum of the Base Amount (or, if the current dividend rate is already at or higher than twelve percent (12%) per annum pursuant to Section 4(e), be left at such rate), commencing on the Delayed Redemption Date, and (ii) be further increased in increments of two percent (2%) per annum of the Base Amount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with the first such increment commencing on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anniversary of the Delayed Redemption Date and each additional increment commencing following the conclusion of each succeeding ninety (90) day period thereafter (subject to a total dividend rate cap of twenty percent (20%) per annum of the Base Amount); and</w:t>
      </w:r>
    </w:p>
    <w:p>
      <w:pPr>
        <w:spacing w:after="0" w:line="202" w:lineRule="exact"/>
        <w:rPr>
          <w:sz w:val="20"/>
          <w:szCs w:val="20"/>
          <w:color w:val="auto"/>
        </w:rPr>
      </w:pPr>
    </w:p>
    <w:p>
      <w:pPr>
        <w:jc w:val="both"/>
        <w:ind w:firstLine="1628"/>
        <w:spacing w:after="0" w:line="272" w:lineRule="auto"/>
        <w:tabs>
          <w:tab w:leader="none" w:pos="195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If Series A Preferred Units with an aggregate Base Amount of at least $25 million become Delayed Redemptions Units and remain Delayed Redemption Units more than six (6) months following the Delayed Redemption Date in respect of such units, then the Requisite Holders shall have the right (but not the obligation) to appoint a single member to the Board of Managers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as a result of an IPO or Business Combination, there is a Reporting Company Affiliate, then such appointment right shall instead be with respect to the board of directors (or similar governing body) of the Reporting Company Affiliate). Such appointment right shall expire (and the Requisite Holders shall cause any individual appointed to the Board of Managers or to the board of directors (or similar governing body) of the Reporting Company Affiliate to resign therefrom) at such time as Series A Preferred Units with an aggregate Base Amount of less than $25 million remain Delayed Redemption Units.</w:t>
      </w:r>
    </w:p>
    <w:p>
      <w:pPr>
        <w:spacing w:after="0" w:line="1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paragraphs (i) –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in lieu of receiving any of the rights and remedies specified </w:t>
      </w:r>
      <w:r>
        <w:rPr>
          <w:rFonts w:ascii="Arial" w:cs="Arial" w:eastAsia="Arial" w:hAnsi="Arial"/>
          <w:sz w:val="16"/>
          <w:szCs w:val="16"/>
          <w:u w:val="single" w:color="auto"/>
          <w:color w:val="auto"/>
        </w:rPr>
        <w:t>in paragraphs (i) –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6(d)</w:t>
      </w:r>
      <w:r>
        <w:rPr>
          <w:rFonts w:ascii="Arial" w:cs="Arial" w:eastAsia="Arial" w:hAnsi="Arial"/>
          <w:sz w:val="16"/>
          <w:szCs w:val="16"/>
          <w:color w:val="auto"/>
        </w:rPr>
        <w:t>, if Mendocino or any of its Affiliates becomes a Delayed Redemption Holder, then by written notice delivered by Mendocino to the Company no later than thirty (30) days after the Delayed Redemption Date on which Mendocino or any of its Affiliates first becomes a Delayed Redemption Holder and before electing any of the remedies mentioned in paragraph (i) – (iii), Mendocino may elect (an “</w:t>
      </w:r>
      <w:r>
        <w:rPr>
          <w:rFonts w:ascii="Arial" w:cs="Arial" w:eastAsia="Arial" w:hAnsi="Arial"/>
          <w:sz w:val="16"/>
          <w:szCs w:val="16"/>
          <w:i w:val="1"/>
          <w:iCs w:val="1"/>
          <w:color w:val="auto"/>
        </w:rPr>
        <w:t>Extension Election</w:t>
      </w:r>
      <w:r>
        <w:rPr>
          <w:rFonts w:ascii="Arial" w:cs="Arial" w:eastAsia="Arial" w:hAnsi="Arial"/>
          <w:sz w:val="16"/>
          <w:szCs w:val="16"/>
          <w:color w:val="auto"/>
        </w:rPr>
        <w:t>”) to extend the then-remaining term of the EA Sales Agreement by an additional twelve months (the “</w:t>
      </w:r>
      <w:r>
        <w:rPr>
          <w:rFonts w:ascii="Arial" w:cs="Arial" w:eastAsia="Arial" w:hAnsi="Arial"/>
          <w:sz w:val="16"/>
          <w:szCs w:val="16"/>
          <w:i w:val="1"/>
          <w:iCs w:val="1"/>
          <w:color w:val="auto"/>
        </w:rPr>
        <w:t>Extended Term</w:t>
      </w:r>
      <w:r>
        <w:rPr>
          <w:rFonts w:ascii="Arial" w:cs="Arial" w:eastAsia="Arial" w:hAnsi="Arial"/>
          <w:sz w:val="16"/>
          <w:szCs w:val="16"/>
          <w:color w:val="auto"/>
        </w:rPr>
        <w:t>”) provided that the EA Sales Agreement has not been terminated prior thereto for any reason and Mendocino is not then in material breach of the EA Sales Agreement, in which case</w:t>
      </w:r>
    </w:p>
    <w:p>
      <w:pPr>
        <w:spacing w:after="0" w:line="4" w:lineRule="exact"/>
        <w:rPr>
          <w:sz w:val="20"/>
          <w:szCs w:val="20"/>
          <w:color w:val="auto"/>
        </w:rPr>
      </w:pPr>
    </w:p>
    <w:p>
      <w:pPr>
        <w:jc w:val="both"/>
        <w:ind w:firstLine="8"/>
        <w:spacing w:after="0" w:line="287" w:lineRule="auto"/>
        <w:tabs>
          <w:tab w:leader="none" w:pos="27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paragraphs (i) –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shall be deemed inoperative with respect to Mendocino and its Affiliates solely during twelve-month period following the delivery of such Extension Election (the “</w:t>
      </w:r>
      <w:r>
        <w:rPr>
          <w:rFonts w:ascii="Arial" w:cs="Arial" w:eastAsia="Arial" w:hAnsi="Arial"/>
          <w:sz w:val="16"/>
          <w:szCs w:val="16"/>
          <w:i w:val="1"/>
          <w:iCs w:val="1"/>
          <w:color w:val="auto"/>
        </w:rPr>
        <w:t>Deferral Period</w:t>
      </w:r>
      <w:r>
        <w:rPr>
          <w:rFonts w:ascii="Arial" w:cs="Arial" w:eastAsia="Arial" w:hAnsi="Arial"/>
          <w:sz w:val="16"/>
          <w:szCs w:val="16"/>
          <w:color w:val="auto"/>
        </w:rPr>
        <w:t xml:space="preserve">”), and (y) Mendocino and its Affiliates shall not be entitled to any of the rights or remedies specified in said paragraphs that could otherwise have been elected during the Deferral Period. Upon the expiration of any Deferral Period, if Mendocino or any of its Affiliates remains a Delayed Redemption Holder, then Mendocino may elect an additional Extended Term and Deferral Period by providing written notice of its Extension Election in accordance with the process and terms set forth above or, in the absence of such an election, instead receive the rights provided for in the provisions of </w:t>
      </w:r>
      <w:r>
        <w:rPr>
          <w:rFonts w:ascii="Arial" w:cs="Arial" w:eastAsia="Arial" w:hAnsi="Arial"/>
          <w:sz w:val="16"/>
          <w:szCs w:val="16"/>
          <w:u w:val="single" w:color="auto"/>
          <w:color w:val="auto"/>
        </w:rPr>
        <w:t>paragraphs (i) –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for the period beginning on the expiration of such Deferral Period. For the avoidance of doubt, if Mendocino or any of its Affiliates makes a conversion election pursuant to </w:t>
      </w:r>
      <w:r>
        <w:rPr>
          <w:rFonts w:ascii="Arial" w:cs="Arial" w:eastAsia="Arial" w:hAnsi="Arial"/>
          <w:sz w:val="16"/>
          <w:szCs w:val="16"/>
          <w:u w:val="single" w:color="auto"/>
          <w:color w:val="auto"/>
        </w:rPr>
        <w:t>paragraph (i) of this 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6(d)</w:t>
      </w:r>
      <w:r>
        <w:rPr>
          <w:rFonts w:ascii="Arial" w:cs="Arial" w:eastAsia="Arial" w:hAnsi="Arial"/>
          <w:sz w:val="16"/>
          <w:szCs w:val="16"/>
          <w:color w:val="auto"/>
        </w:rPr>
        <w:t xml:space="preserve"> prior to making an Extension Election, Mendocino shall cease to have any right to make an Extension Election.</w:t>
      </w:r>
    </w:p>
    <w:p>
      <w:pPr>
        <w:spacing w:after="0" w:line="165" w:lineRule="exact"/>
        <w:rPr>
          <w:rFonts w:ascii="Arial" w:cs="Arial" w:eastAsia="Arial" w:hAnsi="Arial"/>
          <w:sz w:val="16"/>
          <w:szCs w:val="16"/>
          <w:color w:val="auto"/>
        </w:rPr>
      </w:pPr>
    </w:p>
    <w:p>
      <w:pPr>
        <w:jc w:val="both"/>
        <w:ind w:firstLine="811"/>
        <w:spacing w:after="0" w:line="256" w:lineRule="auto"/>
        <w:tabs>
          <w:tab w:leader="none" w:pos="1054" w:val="left"/>
        </w:tabs>
        <w:numPr>
          <w:ilvl w:val="1"/>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Paying Agent</w:t>
      </w:r>
      <w:r>
        <w:rPr>
          <w:rFonts w:ascii="Arial" w:cs="Arial" w:eastAsia="Arial" w:hAnsi="Arial"/>
          <w:sz w:val="18"/>
          <w:szCs w:val="18"/>
          <w:color w:val="auto"/>
        </w:rPr>
        <w:t>. If on the applicable Redemption Date the Redemption Price payable upon redemption of the Series A Preferred Units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redeemed on such Redemption Date is paid or tendered for payment or deposited with an independent payment agent so as to be available therefor in a timely manner, then notwithstanding that any certificates evidencing any of the Series A Preferred Units so called for redemption shall not have been surrendered, dividends with respect to such Series A Preferred Units shall cease to accrue after such Redemption Date and all rights with respect to such Series A Preferred Units shall forthwith after the Redemption Date terminate, except only the right of the Holders to receive the Redemption Price without interest upon surrender of any such certificate or certificates therefor.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Voting and Approval Rights Regarding Certain Actions by the Company.</w:t>
      </w:r>
    </w:p>
    <w:p>
      <w:pPr>
        <w:spacing w:after="0" w:line="225" w:lineRule="exact"/>
        <w:rPr>
          <w:sz w:val="20"/>
          <w:szCs w:val="20"/>
          <w:color w:val="auto"/>
        </w:rPr>
      </w:pPr>
    </w:p>
    <w:p>
      <w:pPr>
        <w:ind w:firstLine="656"/>
        <w:spacing w:after="0" w:line="282" w:lineRule="auto"/>
        <w:tabs>
          <w:tab w:leader="none" w:pos="916"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Holders shall not be entitled to vote on any matter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7(b)</w:t>
      </w:r>
      <w:r>
        <w:rPr>
          <w:rFonts w:ascii="Arial" w:cs="Arial" w:eastAsia="Arial" w:hAnsi="Arial"/>
          <w:sz w:val="18"/>
          <w:szCs w:val="18"/>
          <w:b w:val="1"/>
          <w:bCs w:val="1"/>
          <w:color w:val="auto"/>
        </w:rPr>
        <w:t xml:space="preserve"> </w:t>
      </w:r>
      <w:r>
        <w:rPr>
          <w:rFonts w:ascii="Arial" w:cs="Arial" w:eastAsia="Arial" w:hAnsi="Arial"/>
          <w:sz w:val="18"/>
          <w:szCs w:val="18"/>
          <w:color w:val="auto"/>
        </w:rPr>
        <w:t>through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7(d)</w:t>
      </w:r>
      <w:r>
        <w:rPr>
          <w:rFonts w:ascii="Arial" w:cs="Arial" w:eastAsia="Arial" w:hAnsi="Arial"/>
          <w:sz w:val="18"/>
          <w:szCs w:val="18"/>
          <w:b w:val="1"/>
          <w:bCs w:val="1"/>
          <w:color w:val="auto"/>
        </w:rPr>
        <w:t xml:space="preserve"> </w:t>
      </w:r>
      <w:r>
        <w:rPr>
          <w:rFonts w:ascii="Arial" w:cs="Arial" w:eastAsia="Arial" w:hAnsi="Arial"/>
          <w:sz w:val="18"/>
          <w:szCs w:val="18"/>
          <w:color w:val="auto"/>
        </w:rPr>
        <w:t>below or as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656"/>
        <w:spacing w:after="0" w:line="272" w:lineRule="auto"/>
        <w:tabs>
          <w:tab w:leader="none" w:pos="923" w:val="left"/>
        </w:tabs>
        <w:numPr>
          <w:ilvl w:val="1"/>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Special Voting Rights Prior to an IPO or Business Combination. </w:t>
      </w:r>
      <w:r>
        <w:rPr>
          <w:rFonts w:ascii="Arial" w:cs="Arial" w:eastAsia="Arial" w:hAnsi="Arial"/>
          <w:sz w:val="17"/>
          <w:szCs w:val="17"/>
          <w:color w:val="auto"/>
        </w:rPr>
        <w:t>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7(e)</w:t>
      </w:r>
      <w:r>
        <w:rPr>
          <w:rFonts w:ascii="Arial" w:cs="Arial" w:eastAsia="Arial" w:hAnsi="Arial"/>
          <w:sz w:val="17"/>
          <w:szCs w:val="17"/>
          <w:b w:val="1"/>
          <w:bCs w:val="1"/>
          <w:color w:val="auto"/>
        </w:rPr>
        <w:t xml:space="preserve"> </w:t>
      </w:r>
      <w:r>
        <w:rPr>
          <w:rFonts w:ascii="Arial" w:cs="Arial" w:eastAsia="Arial" w:hAnsi="Arial"/>
          <w:sz w:val="17"/>
          <w:szCs w:val="17"/>
          <w:color w:val="auto"/>
        </w:rPr>
        <w:t>below, during the period (i) commencing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Subscription Date and (ii) ending upon the earlier to occur of (A) consummation of an IPO or Business Combination or (B) the first date after June 30, 2022 on which all Series A Preferred Units outstanding have an aggregate Base Amount less than $10 million (as adjusted for any subdivision, combination or other adjustment to the Series A Preferred Units) and are not subject to an unpaid Mandatory Redemption Request, the Company shall not and shall not have authority or authorization to, and shall not permit any of its Subsidiaries to, do any of the following without the written consent or affirmative vote of the Requisite Holders given in writing or by vote at a meeting, consenting or voting (as the case may be) (or, if no Series A Preferred Units have yet been issued as of such time, then the Company shall not and shall not have authority or authorization to, and shall not permit any of its Subsidiaries to, do any of the following without the written consent of Mendocino):</w:t>
      </w:r>
    </w:p>
    <w:p>
      <w:pPr>
        <w:spacing w:after="0" w:line="175" w:lineRule="exact"/>
        <w:rPr>
          <w:rFonts w:ascii="Arial" w:cs="Arial" w:eastAsia="Arial" w:hAnsi="Arial"/>
          <w:sz w:val="17"/>
          <w:szCs w:val="17"/>
          <w:b w:val="1"/>
          <w:bCs w:val="1"/>
          <w:color w:val="auto"/>
        </w:rPr>
      </w:pPr>
    </w:p>
    <w:p>
      <w:pPr>
        <w:ind w:firstLine="1628"/>
        <w:spacing w:after="0" w:line="277" w:lineRule="auto"/>
        <w:tabs>
          <w:tab w:leader="none" w:pos="1854" w:val="left"/>
        </w:tabs>
        <w:numPr>
          <w:ilvl w:val="2"/>
          <w:numId w:val="225"/>
        </w:numPr>
        <w:rPr>
          <w:rFonts w:ascii="Arial" w:cs="Arial" w:eastAsia="Arial" w:hAnsi="Arial"/>
          <w:sz w:val="18"/>
          <w:szCs w:val="18"/>
          <w:color w:val="auto"/>
        </w:rPr>
      </w:pPr>
      <w:r>
        <w:rPr>
          <w:rFonts w:ascii="Arial" w:cs="Arial" w:eastAsia="Arial" w:hAnsi="Arial"/>
          <w:sz w:val="18"/>
          <w:szCs w:val="18"/>
          <w:color w:val="auto"/>
        </w:rPr>
        <w:t>Issue any indebtedness or any Pari Passu Units resulting in, as of the date of issuance, (A) the Total Indebtedness and Equity Obligation Amount exceeding $500 million, or (B) the Preferred Obligation Amount exceeding $100 million;</w:t>
      </w:r>
    </w:p>
    <w:p>
      <w:pPr>
        <w:spacing w:after="0" w:line="170" w:lineRule="exact"/>
        <w:rPr>
          <w:rFonts w:ascii="Arial" w:cs="Arial" w:eastAsia="Arial" w:hAnsi="Arial"/>
          <w:sz w:val="18"/>
          <w:szCs w:val="18"/>
          <w:color w:val="auto"/>
        </w:rPr>
      </w:pPr>
    </w:p>
    <w:p>
      <w:pPr>
        <w:jc w:val="both"/>
        <w:ind w:firstLine="1628"/>
        <w:spacing w:after="0" w:line="291" w:lineRule="auto"/>
        <w:tabs>
          <w:tab w:leader="none" w:pos="1975" w:val="left"/>
        </w:tabs>
        <w:numPr>
          <w:ilvl w:val="2"/>
          <w:numId w:val="225"/>
        </w:numPr>
        <w:rPr>
          <w:rFonts w:ascii="Arial" w:cs="Arial" w:eastAsia="Arial" w:hAnsi="Arial"/>
          <w:sz w:val="16"/>
          <w:szCs w:val="16"/>
          <w:color w:val="auto"/>
        </w:rPr>
      </w:pPr>
      <w:r>
        <w:rPr>
          <w:rFonts w:ascii="Arial" w:cs="Arial" w:eastAsia="Arial" w:hAnsi="Arial"/>
          <w:sz w:val="16"/>
          <w:szCs w:val="16"/>
          <w:color w:val="auto"/>
        </w:rPr>
        <w:t>Consummate any material transactions with its Affiliates (excluding (A) pursuant to any Contract set forth on Section 6(f) of the disclosure schedules to the Subscription Agreement, (B) commercial agreements entered into in the ordinary course of business on arms-length terms or</w:t>
      </w:r>
    </w:p>
    <w:p>
      <w:pPr>
        <w:ind w:firstLine="8"/>
        <w:spacing w:after="0" w:line="260" w:lineRule="auto"/>
        <w:tabs>
          <w:tab w:leader="none" w:pos="30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exchange of the securities of the Company pursuant to and in accordance with the Exchange Rights), with materiality defined as transactions involving annual payments (or receipt of payments) in excess of $500,000 per year;</w:t>
      </w:r>
    </w:p>
    <w:p>
      <w:pPr>
        <w:spacing w:after="0" w:line="185" w:lineRule="exact"/>
        <w:rPr>
          <w:rFonts w:ascii="Arial" w:cs="Arial" w:eastAsia="Arial" w:hAnsi="Arial"/>
          <w:sz w:val="18"/>
          <w:szCs w:val="18"/>
          <w:color w:val="auto"/>
        </w:rPr>
      </w:pPr>
    </w:p>
    <w:p>
      <w:pPr>
        <w:ind w:left="1940" w:hanging="312"/>
        <w:spacing w:after="0"/>
        <w:tabs>
          <w:tab w:leader="none" w:pos="1940" w:val="left"/>
        </w:tabs>
        <w:numPr>
          <w:ilvl w:val="2"/>
          <w:numId w:val="226"/>
        </w:numPr>
        <w:rPr>
          <w:rFonts w:ascii="Arial" w:cs="Arial" w:eastAsia="Arial" w:hAnsi="Arial"/>
          <w:sz w:val="16"/>
          <w:szCs w:val="16"/>
          <w:color w:val="auto"/>
        </w:rPr>
      </w:pPr>
      <w:r>
        <w:rPr>
          <w:rFonts w:ascii="Arial" w:cs="Arial" w:eastAsia="Arial" w:hAnsi="Arial"/>
          <w:sz w:val="16"/>
          <w:szCs w:val="16"/>
          <w:color w:val="auto"/>
        </w:rPr>
        <w:t>Consummate any material dispositions or distributions of assets (defined as in excess of $50 million) in a single or related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transactions;</w:t>
      </w:r>
    </w:p>
    <w:p>
      <w:pPr>
        <w:spacing w:after="0" w:line="210" w:lineRule="exact"/>
        <w:rPr>
          <w:rFonts w:ascii="Arial" w:cs="Arial" w:eastAsia="Arial" w:hAnsi="Arial"/>
          <w:sz w:val="16"/>
          <w:szCs w:val="16"/>
          <w:color w:val="auto"/>
        </w:rPr>
      </w:pPr>
    </w:p>
    <w:p>
      <w:pPr>
        <w:ind w:firstLine="1628"/>
        <w:spacing w:after="0" w:line="277" w:lineRule="auto"/>
        <w:tabs>
          <w:tab w:leader="none" w:pos="1925" w:val="left"/>
        </w:tabs>
        <w:numPr>
          <w:ilvl w:val="2"/>
          <w:numId w:val="226"/>
        </w:numPr>
        <w:rPr>
          <w:rFonts w:ascii="Arial" w:cs="Arial" w:eastAsia="Arial" w:hAnsi="Arial"/>
          <w:sz w:val="18"/>
          <w:szCs w:val="18"/>
          <w:color w:val="auto"/>
        </w:rPr>
      </w:pPr>
      <w:r>
        <w:rPr>
          <w:rFonts w:ascii="Arial" w:cs="Arial" w:eastAsia="Arial" w:hAnsi="Arial"/>
          <w:sz w:val="18"/>
          <w:szCs w:val="18"/>
          <w:color w:val="auto"/>
        </w:rPr>
        <w:t>Consummate any material acquisitions of assets (defined as in excess of $25 million in the aggregate) in a single or related series of transactions outside of the Company’s principal lines of business;</w:t>
      </w:r>
    </w:p>
    <w:p>
      <w:pPr>
        <w:spacing w:after="0" w:line="170" w:lineRule="exact"/>
        <w:rPr>
          <w:rFonts w:ascii="Arial" w:cs="Arial" w:eastAsia="Arial" w:hAnsi="Arial"/>
          <w:sz w:val="18"/>
          <w:szCs w:val="18"/>
          <w:color w:val="auto"/>
        </w:rPr>
      </w:pPr>
    </w:p>
    <w:p>
      <w:pPr>
        <w:jc w:val="both"/>
        <w:ind w:firstLine="1628"/>
        <w:spacing w:after="0" w:line="263" w:lineRule="auto"/>
        <w:tabs>
          <w:tab w:leader="none" w:pos="1877" w:val="left"/>
        </w:tabs>
        <w:numPr>
          <w:ilvl w:val="2"/>
          <w:numId w:val="226"/>
        </w:numPr>
        <w:rPr>
          <w:rFonts w:ascii="Arial" w:cs="Arial" w:eastAsia="Arial" w:hAnsi="Arial"/>
          <w:sz w:val="18"/>
          <w:szCs w:val="18"/>
          <w:color w:val="auto"/>
        </w:rPr>
      </w:pPr>
      <w:r>
        <w:rPr>
          <w:rFonts w:ascii="Arial" w:cs="Arial" w:eastAsia="Arial" w:hAnsi="Arial"/>
          <w:sz w:val="18"/>
          <w:szCs w:val="18"/>
          <w:color w:val="auto"/>
        </w:rPr>
        <w:t xml:space="preserve">Enter into any agreement (other than in connection with any indebtedness allowed pursuant to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above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7(b)</w:t>
      </w:r>
      <w:r>
        <w:rPr>
          <w:rFonts w:ascii="Arial" w:cs="Arial" w:eastAsia="Arial" w:hAnsi="Arial"/>
          <w:sz w:val="18"/>
          <w:szCs w:val="18"/>
          <w:color w:val="auto"/>
        </w:rPr>
        <w:t>) that prohibits or imposes limitations on the ability of the Company to pay any dividends in respect of, or redeem, the Series A Preferred Units in accordance with the terms of this Certificate of Designations;</w:t>
      </w:r>
    </w:p>
    <w:p>
      <w:pPr>
        <w:spacing w:after="0" w:line="183" w:lineRule="exact"/>
        <w:rPr>
          <w:rFonts w:ascii="Arial" w:cs="Arial" w:eastAsia="Arial" w:hAnsi="Arial"/>
          <w:sz w:val="18"/>
          <w:szCs w:val="18"/>
          <w:color w:val="auto"/>
        </w:rPr>
      </w:pPr>
    </w:p>
    <w:p>
      <w:pPr>
        <w:jc w:val="both"/>
        <w:ind w:firstLine="1628"/>
        <w:spacing w:after="0" w:line="254" w:lineRule="auto"/>
        <w:tabs>
          <w:tab w:leader="none" w:pos="195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 xml:space="preserve">Other than pursuant to the consummation of an IPO or Business Combination, whereby the Company becomes manager or member managed by a Reporting Company Affiliate, (i) provide any Member with multiple votes per Common Unit in respect of the election of Managers (as defined in the Operating Agreement) unless the Holder(s) of Series A Preferred Units are provided the same number of votes per Common Unit in respect of the election of Managers with respect of any Common Units issued to such Holder(s) upon conversion of their Series A Preferred Units to Common Units pursuant to </w:t>
      </w:r>
      <w:r>
        <w:rPr>
          <w:rFonts w:ascii="Arial" w:cs="Arial" w:eastAsia="Arial" w:hAnsi="Arial"/>
          <w:sz w:val="18"/>
          <w:szCs w:val="18"/>
          <w:u w:val="single" w:color="auto"/>
          <w:color w:val="auto"/>
        </w:rPr>
        <w:t>Section 6(d)(i)</w:t>
      </w:r>
      <w:r>
        <w:rPr>
          <w:rFonts w:ascii="Arial" w:cs="Arial" w:eastAsia="Arial" w:hAnsi="Arial"/>
          <w:sz w:val="18"/>
          <w:szCs w:val="18"/>
          <w:color w:val="auto"/>
        </w:rPr>
        <w:t>, or (ii) take any action that would have the effect of (A) causing any Manager (as defined in the Operating Agreement) to be elected or able to be removed other than exclusively by a vote of the Majority Common Members (as defined in the Operating Agreement), or (B) restricting the Majority Common Members from removing and replacing Managers immediately without cause via written consent of the Majority Common Members; or</w:t>
      </w:r>
    </w:p>
    <w:p>
      <w:pPr>
        <w:spacing w:after="0" w:line="191" w:lineRule="exact"/>
        <w:rPr>
          <w:rFonts w:ascii="Arial" w:cs="Arial" w:eastAsia="Arial" w:hAnsi="Arial"/>
          <w:sz w:val="18"/>
          <w:szCs w:val="18"/>
          <w:color w:val="auto"/>
        </w:rPr>
      </w:pPr>
    </w:p>
    <w:p>
      <w:pPr>
        <w:ind w:firstLine="1628"/>
        <w:spacing w:after="0" w:line="277" w:lineRule="auto"/>
        <w:tabs>
          <w:tab w:leader="none" w:pos="2005" w:val="left"/>
        </w:tabs>
        <w:numPr>
          <w:ilvl w:val="2"/>
          <w:numId w:val="226"/>
        </w:numPr>
        <w:rPr>
          <w:rFonts w:ascii="Arial" w:cs="Arial" w:eastAsia="Arial" w:hAnsi="Arial"/>
          <w:sz w:val="18"/>
          <w:szCs w:val="18"/>
          <w:color w:val="auto"/>
        </w:rPr>
      </w:pPr>
      <w:r>
        <w:rPr>
          <w:rFonts w:ascii="Arial" w:cs="Arial" w:eastAsia="Arial" w:hAnsi="Arial"/>
          <w:sz w:val="18"/>
          <w:szCs w:val="18"/>
          <w:color w:val="auto"/>
        </w:rPr>
        <w:t>Issue (A) any Preferred Units (other than Series A Preferred Units or Pre-Approved Preferred Units), (B) any Series A-1 Preferred Units in an aggregate original principal amount greater than $30 million, or (C) any Senior Units.</w:t>
      </w:r>
    </w:p>
    <w:p>
      <w:pPr>
        <w:spacing w:after="0" w:line="166" w:lineRule="exact"/>
        <w:rPr>
          <w:rFonts w:ascii="Arial" w:cs="Arial" w:eastAsia="Arial" w:hAnsi="Arial"/>
          <w:sz w:val="18"/>
          <w:szCs w:val="18"/>
          <w:color w:val="auto"/>
        </w:rPr>
      </w:pPr>
    </w:p>
    <w:p>
      <w:pPr>
        <w:jc w:val="both"/>
        <w:ind w:firstLine="656"/>
        <w:spacing w:after="0" w:line="294" w:lineRule="auto"/>
        <w:tabs>
          <w:tab w:leader="none" w:pos="922" w:val="left"/>
        </w:tabs>
        <w:numPr>
          <w:ilvl w:val="1"/>
          <w:numId w:val="2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Special Voting Rights After An IPO or Business Combination.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7(e)</w:t>
      </w:r>
      <w:r>
        <w:rPr>
          <w:rFonts w:ascii="Arial" w:cs="Arial" w:eastAsia="Arial" w:hAnsi="Arial"/>
          <w:sz w:val="16"/>
          <w:szCs w:val="16"/>
          <w:b w:val="1"/>
          <w:bCs w:val="1"/>
          <w:color w:val="auto"/>
        </w:rPr>
        <w:t xml:space="preserve"> </w:t>
      </w:r>
      <w:r>
        <w:rPr>
          <w:rFonts w:ascii="Arial" w:cs="Arial" w:eastAsia="Arial" w:hAnsi="Arial"/>
          <w:sz w:val="16"/>
          <w:szCs w:val="16"/>
          <w:color w:val="auto"/>
        </w:rPr>
        <w:t>below, After the consummation of an IPO or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Combination, and subject at any time after June 30, 2022 to there being Series A Preferred Units outstanding with an aggregate Base Amount of at least $10 million at such time, the Company shall not and shall not have authority or authorization to authorization to, and shall not permit any of its Subsidiaries to, do any of the following without the written consent or affirmative vote of the Requisite Holders given in writing or by vote at a meeting, consenting or voting (as the case may be) (or, if no Series A Preferred Units have yet been issued as of such time, then the Company shall not and shall not have authority or authorization to, and shall not permit any of its Subsidiaries to, do any of the following without the written consent of Mendocino):</w:t>
      </w:r>
    </w:p>
    <w:p>
      <w:pPr>
        <w:spacing w:after="0" w:line="163" w:lineRule="exact"/>
        <w:rPr>
          <w:rFonts w:ascii="Arial" w:cs="Arial" w:eastAsia="Arial" w:hAnsi="Arial"/>
          <w:sz w:val="16"/>
          <w:szCs w:val="16"/>
          <w:b w:val="1"/>
          <w:bCs w:val="1"/>
          <w:color w:val="auto"/>
        </w:rPr>
      </w:pPr>
    </w:p>
    <w:p>
      <w:pPr>
        <w:jc w:val="both"/>
        <w:ind w:firstLine="1628"/>
        <w:spacing w:after="0" w:line="263" w:lineRule="auto"/>
        <w:tabs>
          <w:tab w:leader="none" w:pos="1854" w:val="left"/>
        </w:tabs>
        <w:numPr>
          <w:ilvl w:val="2"/>
          <w:numId w:val="227"/>
        </w:numPr>
        <w:rPr>
          <w:rFonts w:ascii="Arial" w:cs="Arial" w:eastAsia="Arial" w:hAnsi="Arial"/>
          <w:sz w:val="18"/>
          <w:szCs w:val="18"/>
          <w:color w:val="auto"/>
        </w:rPr>
      </w:pPr>
      <w:r>
        <w:rPr>
          <w:rFonts w:ascii="Arial" w:cs="Arial" w:eastAsia="Arial" w:hAnsi="Arial"/>
          <w:sz w:val="18"/>
          <w:szCs w:val="18"/>
          <w:color w:val="auto"/>
        </w:rPr>
        <w:t>Issue any indebtedness or any Pari Passu Units resulting in, as of the date of issuance, (A) the Total Indebtedness and Equity Obligation Amount exceeding the greater of (x) $500 million and (y) 3.0x the Company’s last twelve months EBITDA, or (B) the Preferred Obligation Amount exceeding $100 million;</w:t>
      </w:r>
    </w:p>
    <w:p>
      <w:pPr>
        <w:spacing w:after="0" w:line="183" w:lineRule="exact"/>
        <w:rPr>
          <w:rFonts w:ascii="Arial" w:cs="Arial" w:eastAsia="Arial" w:hAnsi="Arial"/>
          <w:sz w:val="18"/>
          <w:szCs w:val="18"/>
          <w:color w:val="auto"/>
        </w:rPr>
      </w:pPr>
    </w:p>
    <w:p>
      <w:pPr>
        <w:jc w:val="both"/>
        <w:ind w:firstLine="1628"/>
        <w:spacing w:after="0" w:line="293" w:lineRule="auto"/>
        <w:tabs>
          <w:tab w:leader="none" w:pos="1890" w:val="left"/>
        </w:tabs>
        <w:numPr>
          <w:ilvl w:val="2"/>
          <w:numId w:val="227"/>
        </w:numPr>
        <w:rPr>
          <w:rFonts w:ascii="Arial" w:cs="Arial" w:eastAsia="Arial" w:hAnsi="Arial"/>
          <w:sz w:val="16"/>
          <w:szCs w:val="16"/>
          <w:color w:val="auto"/>
        </w:rPr>
      </w:pPr>
      <w:r>
        <w:rPr>
          <w:rFonts w:ascii="Arial" w:cs="Arial" w:eastAsia="Arial" w:hAnsi="Arial"/>
          <w:sz w:val="16"/>
          <w:szCs w:val="16"/>
          <w:color w:val="auto"/>
        </w:rPr>
        <w:t>Consummate any material transactions with its Affiliates (excluding (A) pursuant to any Contract set forth on Section 6(f) of the disclosure schedules to the Subscription Agreement that is in effect as of the Original Subscription Date, (B) commercial agreements entered into in the ordinary course of business on arms-length terms), with materiality defined as transactions involving annual payments (or receipt of payments) in excess of $500,000 per year or (C) the payment of any costs, fees, operating expenses or other expenses (1) incurred by a Reporting Company Affiliate in connection with serving as a manager or managing member of the Company or (2) allocable to the Company or otherwise incurred by a Reporting Company Affiliate in connection with operating the Company’s business (including expenses allocated to the Reporting Company Affiliate by its Affiliates);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ind w:firstLine="1628"/>
        <w:spacing w:after="0" w:line="277" w:lineRule="auto"/>
        <w:tabs>
          <w:tab w:leader="none" w:pos="196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Issue (A) any Preferred Units (other than Series A Preferred Units or Pre-Approved Preferred Units), (B) any Series A-1 Preferred Units in an aggregate original principal amount greater than $30 million, or (C) any Senior Units.</w:t>
      </w:r>
    </w:p>
    <w:p>
      <w:pPr>
        <w:spacing w:after="0" w:line="166" w:lineRule="exact"/>
        <w:rPr>
          <w:rFonts w:ascii="Arial" w:cs="Arial" w:eastAsia="Arial" w:hAnsi="Arial"/>
          <w:sz w:val="18"/>
          <w:szCs w:val="18"/>
          <w:color w:val="auto"/>
        </w:rPr>
      </w:pPr>
    </w:p>
    <w:p>
      <w:pPr>
        <w:jc w:val="both"/>
        <w:ind w:firstLine="656"/>
        <w:spacing w:after="0" w:line="258" w:lineRule="auto"/>
        <w:tabs>
          <w:tab w:leader="none" w:pos="937"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Other Special Voting Rights</w:t>
      </w:r>
      <w:r>
        <w:rPr>
          <w:rFonts w:ascii="Arial" w:cs="Arial" w:eastAsia="Arial" w:hAnsi="Arial"/>
          <w:sz w:val="18"/>
          <w:szCs w:val="18"/>
          <w:color w:val="auto"/>
        </w:rPr>
        <w:t>. For so long as any Series A Preferred Units are outstanding, the Requisite Holders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and without such consent the Company shall not and shall not have authority or authorization to effect, (i) any amendments to this Certificate of Designations or the Operating Agreement that adversely modify the terms of the Series A Preferred Units and (ii) any sale or issuance of additional Series A Preferred Units other than pursuant to the Subscription Agreement (and other than Series A Preferred Units issued to Holders as payment for Series A Mandatory Cumulative Dividends).</w:t>
      </w:r>
    </w:p>
    <w:p>
      <w:pPr>
        <w:spacing w:after="0" w:line="183" w:lineRule="exact"/>
        <w:rPr>
          <w:rFonts w:ascii="Arial" w:cs="Arial" w:eastAsia="Arial" w:hAnsi="Arial"/>
          <w:sz w:val="18"/>
          <w:szCs w:val="18"/>
          <w:b w:val="1"/>
          <w:bCs w:val="1"/>
          <w:color w:val="auto"/>
        </w:rPr>
      </w:pPr>
    </w:p>
    <w:p>
      <w:pPr>
        <w:jc w:val="both"/>
        <w:ind w:firstLine="656"/>
        <w:spacing w:after="0" w:line="271" w:lineRule="auto"/>
        <w:tabs>
          <w:tab w:leader="none" w:pos="906"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Limitations</w:t>
      </w:r>
      <w:r>
        <w:rPr>
          <w:rFonts w:ascii="Arial" w:cs="Arial" w:eastAsia="Arial" w:hAnsi="Arial"/>
          <w:sz w:val="17"/>
          <w:szCs w:val="17"/>
          <w:color w:val="auto"/>
        </w:rPr>
        <w:t>. Notwithstanding anything to the contrary set forth herein (other than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7(d))</w:t>
      </w:r>
      <w:r>
        <w:rPr>
          <w:rFonts w:ascii="Arial" w:cs="Arial" w:eastAsia="Arial" w:hAnsi="Arial"/>
          <w:sz w:val="17"/>
          <w:szCs w:val="17"/>
          <w:color w:val="auto"/>
        </w:rPr>
        <w:t>, changes to the Company’s organizational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documents and any other actions taken by the Company to consummate an IPO, a Business Combination or the Hillman Transaction (including, but not limited to, (i) issuing any securities, (ii) any changes to the Company’s organizational documents in connection with any tax structuring associated with an IPO, Business Combination or the Hillman Transaction, such as the implementation of transaction structures commonly referred to as “up-C” or “double dummy” structures or other tax structures, or (iii) the entry into any registration rights agreements, support or voting agreements, exchange agreements, lock-up agreements or other customary agreements by the Company or any of its Members (or any Affiliates thereof) in connection with an IPO, the Business Combination or the Hillman Transaction) shall not be subject to any consent right of the Holders (including the Requisite Holders)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or otherwise as a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Requisite Holders shall continue following an IPO or Business Combination to have the consent rights described in </w:t>
      </w:r>
      <w:r>
        <w:rPr>
          <w:rFonts w:ascii="Arial" w:cs="Arial" w:eastAsia="Arial" w:hAnsi="Arial"/>
          <w:sz w:val="17"/>
          <w:szCs w:val="17"/>
          <w:u w:val="single" w:color="auto"/>
          <w:color w:val="auto"/>
        </w:rPr>
        <w:t>Sections 7(c)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7(d)</w:t>
      </w:r>
      <w:r>
        <w:rPr>
          <w:rFonts w:ascii="Arial" w:cs="Arial" w:eastAsia="Arial" w:hAnsi="Arial"/>
          <w:sz w:val="17"/>
          <w:szCs w:val="17"/>
          <w:color w:val="auto"/>
        </w:rPr>
        <w:t xml:space="preserve"> above.</w:t>
      </w:r>
    </w:p>
    <w:p>
      <w:pPr>
        <w:spacing w:after="0" w:line="173" w:lineRule="exact"/>
        <w:rPr>
          <w:rFonts w:ascii="Arial" w:cs="Arial" w:eastAsia="Arial" w:hAnsi="Arial"/>
          <w:sz w:val="17"/>
          <w:szCs w:val="17"/>
          <w:b w:val="1"/>
          <w:bCs w:val="1"/>
          <w:color w:val="auto"/>
        </w:rPr>
      </w:pPr>
    </w:p>
    <w:p>
      <w:pPr>
        <w:jc w:val="both"/>
        <w:ind w:firstLine="656"/>
        <w:spacing w:after="0" w:line="271" w:lineRule="auto"/>
        <w:tabs>
          <w:tab w:leader="none" w:pos="869"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Vote for IPO, Business Combination and Hillman Transaction</w:t>
      </w:r>
      <w:r>
        <w:rPr>
          <w:rFonts w:ascii="Arial" w:cs="Arial" w:eastAsia="Arial" w:hAnsi="Arial"/>
          <w:sz w:val="17"/>
          <w:szCs w:val="17"/>
          <w:color w:val="auto"/>
        </w:rPr>
        <w:t>. If the Board of Managers approves an IPO or a Business Combination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Hillman Transaction and it is inadvertently required to be approved by the Holders (or any subset thereof) pursuant to the limited rights set forth herein or under applicable law, each Holder hereby agrees, by accepting such units, to vote (in person or by proxy or by action by written consent, as applicable), or cause to be voted or consented, all Series A Preferred Units owned by such Holder, or over which such person has voting control, from time to time and at all times, in favor of, and to adopt, any action (including any amendment to the Operating Agreement other than the matters referred to in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that the Board of Managers determines in good faith is necessary or advisable to consummate such IPO or Business Combination or the Hillman Transaction, and to vote in opposition to any and all other proposals that could reasonably be expected to delay or impair the ability of the Company to consummate such IPO or Business Combination or the Hillman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requested consent shall purport to amend or eliminate Holder’s consent rights described in Sections 7(c) and 7(d) above).</w:t>
      </w:r>
    </w:p>
    <w:p>
      <w:pPr>
        <w:spacing w:after="0" w:line="173" w:lineRule="exact"/>
        <w:rPr>
          <w:rFonts w:ascii="Arial" w:cs="Arial" w:eastAsia="Arial" w:hAnsi="Arial"/>
          <w:sz w:val="17"/>
          <w:szCs w:val="17"/>
          <w:b w:val="1"/>
          <w:bCs w:val="1"/>
          <w:color w:val="auto"/>
        </w:rPr>
      </w:pPr>
    </w:p>
    <w:p>
      <w:pPr>
        <w:jc w:val="both"/>
        <w:ind w:firstLine="656"/>
        <w:spacing w:after="0" w:line="261" w:lineRule="auto"/>
        <w:tabs>
          <w:tab w:leader="none" w:pos="905"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Vote if Units Redeemed. </w:t>
      </w:r>
      <w:r>
        <w:rPr>
          <w:rFonts w:ascii="Arial" w:cs="Arial" w:eastAsia="Arial" w:hAnsi="Arial"/>
          <w:sz w:val="18"/>
          <w:szCs w:val="18"/>
          <w:color w:val="auto"/>
        </w:rPr>
        <w:t>No vote or consent of the Holders shall be required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if, at or prior to the time when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 with respect to which such vote or consent would otherwise have been required is effected, the Company shall have redeemed or shall have called for redemption all outstanding units of Series A Preferred Units, with proper notice and sufficient funds having been set aside or deposited for such redemption, in each case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above.</w:t>
      </w:r>
    </w:p>
    <w:p>
      <w:pPr>
        <w:spacing w:after="0" w:line="179" w:lineRule="exact"/>
        <w:rPr>
          <w:rFonts w:ascii="Arial" w:cs="Arial" w:eastAsia="Arial" w:hAnsi="Arial"/>
          <w:sz w:val="18"/>
          <w:szCs w:val="18"/>
          <w:b w:val="1"/>
          <w:bCs w:val="1"/>
          <w:color w:val="auto"/>
        </w:rPr>
      </w:pPr>
    </w:p>
    <w:p>
      <w:pPr>
        <w:jc w:val="both"/>
        <w:ind w:firstLine="656"/>
        <w:spacing w:after="0" w:line="274" w:lineRule="auto"/>
        <w:tabs>
          <w:tab w:leader="none" w:pos="926"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Procedures for Voting and Consents. </w:t>
      </w:r>
      <w:r>
        <w:rPr>
          <w:rFonts w:ascii="Arial" w:cs="Arial" w:eastAsia="Arial" w:hAnsi="Arial"/>
          <w:sz w:val="17"/>
          <w:szCs w:val="17"/>
          <w:color w:val="auto"/>
        </w:rPr>
        <w:t>The rules and procedures for calling and conducting any meeting of the Holders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limitation, the fixing of a record date in connection therewith), the solicitation and use of proxies at such meeting, the obtaining of written consents and any other aspect or matter with regard to such a meeting or such consents shall be governed by any rules the Board of Managers or any duly authorized committee of the Board of Managers, in its discretion, may adopt from time to time, which rules and procedures shall conform to the requirements of the Certificate of Formation or Operating Agreement and to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rules or procedures may include any process by which the failure of any party to respond or vote shall be deemed an approval of any matter.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spacing w:after="0" w:line="277" w:lineRule="auto"/>
        <w:rPr>
          <w:sz w:val="20"/>
          <w:szCs w:val="20"/>
          <w:color w:val="auto"/>
        </w:rPr>
      </w:pPr>
      <w:r>
        <w:rPr>
          <w:rFonts w:ascii="Arial" w:cs="Arial" w:eastAsia="Arial" w:hAnsi="Arial"/>
          <w:sz w:val="17"/>
          <w:szCs w:val="17"/>
          <w:b w:val="1"/>
          <w:bCs w:val="1"/>
          <w:color w:val="auto"/>
        </w:rPr>
        <w:t>Section 8. Preemption and Conversion; No Forced Conversion or Exchange</w:t>
      </w:r>
      <w:r>
        <w:rPr>
          <w:rFonts w:ascii="Arial" w:cs="Arial" w:eastAsia="Arial" w:hAnsi="Arial"/>
          <w:sz w:val="17"/>
          <w:szCs w:val="17"/>
          <w:color w:val="auto"/>
        </w:rPr>
        <w:t>. Except pursuant to the terms and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6(d)(i)</w:t>
      </w:r>
      <w:r>
        <w:rPr>
          <w:rFonts w:ascii="Arial" w:cs="Arial" w:eastAsia="Arial" w:hAnsi="Arial"/>
          <w:sz w:val="17"/>
          <w:szCs w:val="17"/>
          <w:b w:val="1"/>
          <w:bCs w:val="1"/>
          <w:color w:val="auto"/>
        </w:rPr>
        <w:t xml:space="preserve"> </w:t>
      </w:r>
      <w:r>
        <w:rPr>
          <w:rFonts w:ascii="Arial" w:cs="Arial" w:eastAsia="Arial" w:hAnsi="Arial"/>
          <w:sz w:val="17"/>
          <w:szCs w:val="17"/>
          <w:color w:val="auto"/>
        </w:rPr>
        <w:t>above with regard to conversion, the Holders shall not have any rights of preemption or rights to convert such Series A Preferred Units into units of any other class or series of the Company. Notwithstanding anything to the contrary in the Operating Agreement, in no event shall any Holder be required to effect any mandatory or other non-voluntary exchange of Series A Preferred Units pursuant to Exchange Rights, and any such mandatory or other non-voluntary exchange shall require the consent of the applicable Holder in its sole discretion.</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9. Issuance of Junior Units and Series A Units</w:t>
      </w:r>
      <w:r>
        <w:rPr>
          <w:rFonts w:ascii="Arial" w:cs="Arial" w:eastAsia="Arial" w:hAnsi="Arial"/>
          <w:sz w:val="18"/>
          <w:szCs w:val="18"/>
          <w:color w:val="auto"/>
        </w:rPr>
        <w:t>. Notwithstanding anything set forth in the Operating Agreement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to the contrary, (i) the Board of Managers or any authorized committee of the Board of Managers, without the vote of the Holders, may authorize and issue additional Common Units or create or issue any other Junior Units, and (ii) the Company shall not issue any Series A Units to any person other than Mendocino or its Affiliates.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10. Repurchase</w:t>
      </w:r>
      <w:r>
        <w:rPr>
          <w:rFonts w:ascii="Arial" w:cs="Arial" w:eastAsia="Arial" w:hAnsi="Arial"/>
          <w:sz w:val="18"/>
          <w:szCs w:val="18"/>
          <w:color w:val="auto"/>
        </w:rPr>
        <w:t>. Subject to the limitations imposed herein, the Company may purchase Series A Preferred Units from time to time to such extent,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such manner, and upon such terms as the Board of Managers or any duly authorized committee of the Board of Managers may determine;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use any of its assets for any such purchase when there are reasonable grounds to believe that such purchase is not permitted by applicable law.</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11. Tax Receivable Agreement</w:t>
      </w:r>
      <w:r>
        <w:rPr>
          <w:rFonts w:ascii="Arial" w:cs="Arial" w:eastAsia="Arial" w:hAnsi="Arial"/>
          <w:sz w:val="18"/>
          <w:szCs w:val="18"/>
          <w:color w:val="auto"/>
        </w:rPr>
        <w:t>. In the event that (i) the Company is involved in a Business Combination pursuant to which any unitholders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are offered the ability to enter into tax receivable agreement and (ii) any Series A Preferred Units are converted into Common Units pursuant to </w:t>
      </w:r>
      <w:r>
        <w:rPr>
          <w:rFonts w:ascii="Arial" w:cs="Arial" w:eastAsia="Arial" w:hAnsi="Arial"/>
          <w:sz w:val="18"/>
          <w:szCs w:val="18"/>
          <w:u w:val="single" w:color="auto"/>
          <w:color w:val="auto"/>
        </w:rPr>
        <w:t>Section 6(d)(i)</w:t>
      </w:r>
      <w:r>
        <w:rPr>
          <w:rFonts w:ascii="Arial" w:cs="Arial" w:eastAsia="Arial" w:hAnsi="Arial"/>
          <w:sz w:val="18"/>
          <w:szCs w:val="18"/>
          <w:color w:val="auto"/>
        </w:rPr>
        <w:t xml:space="preserve"> above, the holders of such converted Series A Preferred Units will be offered the right to enter into a tax receivable agreement on the same terms and conditions as such other unitholders.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12. Subordination</w:t>
      </w:r>
      <w:r>
        <w:rPr>
          <w:rFonts w:ascii="Arial" w:cs="Arial" w:eastAsia="Arial" w:hAnsi="Arial"/>
          <w:sz w:val="17"/>
          <w:szCs w:val="17"/>
          <w:color w:val="auto"/>
        </w:rPr>
        <w:t>. In the event (i) that a court of competent jurisdiction makes a determination or ruling that has the effect of treating the Series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Preferred Units as indebtedness of the Company owing to the holders thereof and not an equity interest in the Company or (ii) if it is requested to be acknowledged by Lenders (as defined below), any and all amounts due for or represented by the Series A Preferred Units are hereby expressly subordinated in right of payment to the prior payment in full of all of the Company’s or its Subsidiaries’ present or future indebtedness permitted by the terms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7(b)(i)</w:t>
      </w:r>
      <w:r>
        <w:rPr>
          <w:rFonts w:ascii="Arial" w:cs="Arial" w:eastAsia="Arial" w:hAnsi="Arial"/>
          <w:sz w:val="17"/>
          <w:szCs w:val="17"/>
          <w:color w:val="auto"/>
        </w:rPr>
        <w:t xml:space="preserve"> hereof (“</w:t>
      </w:r>
      <w:r>
        <w:rPr>
          <w:rFonts w:ascii="Arial" w:cs="Arial" w:eastAsia="Arial" w:hAnsi="Arial"/>
          <w:sz w:val="17"/>
          <w:szCs w:val="17"/>
          <w:i w:val="1"/>
          <w:iCs w:val="1"/>
          <w:color w:val="auto"/>
        </w:rPr>
        <w:t>Senior Indebtedness</w:t>
      </w:r>
      <w:r>
        <w:rPr>
          <w:rFonts w:ascii="Arial" w:cs="Arial" w:eastAsia="Arial" w:hAnsi="Arial"/>
          <w:sz w:val="17"/>
          <w:szCs w:val="17"/>
          <w:color w:val="auto"/>
        </w:rPr>
        <w:t>”) owed to banks, insurance companies, lease financing institutions or other lending institutions regularly engaged in the business of lending money (the “</w:t>
      </w:r>
      <w:r>
        <w:rPr>
          <w:rFonts w:ascii="Arial" w:cs="Arial" w:eastAsia="Arial" w:hAnsi="Arial"/>
          <w:sz w:val="17"/>
          <w:szCs w:val="17"/>
          <w:i w:val="1"/>
          <w:iCs w:val="1"/>
          <w:color w:val="auto"/>
        </w:rPr>
        <w:t>Lenders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Holder may continue to receive regularly scheduled dividend payments and redemption payments in accordance with this Certificate of Designations and the Operating Agreement so long as a default or event of default under the Senior Indebtedness has not occurred and is then continuing with respect to such Senior Indebtedness. The Lenders shall be deemed express third-party beneficiaries of this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13. Integration</w:t>
      </w:r>
      <w:r>
        <w:rPr>
          <w:rFonts w:ascii="Arial" w:cs="Arial" w:eastAsia="Arial" w:hAnsi="Arial"/>
          <w:sz w:val="18"/>
          <w:szCs w:val="18"/>
          <w:color w:val="auto"/>
        </w:rPr>
        <w:t>. Each Holder, hereby agrees, by accepting such units, to be bound by the terms and conditions of this Certificate of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Operating Agreement. This Certificate of Designations, the Operating Agreement and the Subscription Agreement constitute the entire understanding between the Company and the Holders as to the subject matter set forth herein and therein, and supersede any prior agreements, commitments or negotiations in respect thereof.</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14. Notices</w:t>
      </w:r>
      <w:r>
        <w:rPr>
          <w:rFonts w:ascii="Arial" w:cs="Arial" w:eastAsia="Arial" w:hAnsi="Arial"/>
          <w:sz w:val="18"/>
          <w:szCs w:val="18"/>
          <w:color w:val="auto"/>
        </w:rPr>
        <w:t>. Unless otherwise specified herein, any notice or communication required to be given pursuant to the terms of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shall be given in accordance with the notice requirements set forth in the Operating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ind w:firstLine="342"/>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Opal Fuels LLC has caused this Certificate of Designations to be executed by its duly authorized officer on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29th</w:t>
      </w:r>
      <w:r>
        <w:rPr>
          <w:rFonts w:ascii="Arial" w:cs="Arial" w:eastAsia="Arial" w:hAnsi="Arial"/>
          <w:sz w:val="18"/>
          <w:szCs w:val="18"/>
          <w:b w:val="1"/>
          <w:bCs w:val="1"/>
          <w:color w:val="auto"/>
        </w:rPr>
        <w:t xml:space="preserve"> </w:t>
      </w:r>
      <w:r>
        <w:rPr>
          <w:rFonts w:ascii="Arial" w:cs="Arial" w:eastAsia="Arial" w:hAnsi="Arial"/>
          <w:sz w:val="18"/>
          <w:szCs w:val="18"/>
          <w:color w:val="auto"/>
        </w:rPr>
        <w:t>day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w:t>
      </w:r>
      <w:r>
        <w:rPr>
          <w:rFonts w:ascii="Arial" w:cs="Arial" w:eastAsia="Arial" w:hAnsi="Arial"/>
          <w:sz w:val="18"/>
          <w:szCs w:val="18"/>
          <w:u w:val="single" w:color="auto"/>
          <w:color w:val="auto"/>
        </w:rPr>
        <w:t>November</w:t>
      </w:r>
      <w:r>
        <w:rPr>
          <w:rFonts w:ascii="Arial" w:cs="Arial" w:eastAsia="Arial" w:hAnsi="Arial"/>
          <w:sz w:val="18"/>
          <w:szCs w:val="18"/>
          <w:color w:val="auto"/>
        </w:rPr>
        <w:t>, 2021.</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OPAL FUELS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Jonathan Maurer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Certificate of Designations]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CERTIFICATE OF DESIGNATIONS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A-1 PREFERRED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LLC</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Certificate of Designations of Opal Fuels LLC, a limited liability company organized and existing under the laws of the State of Delaware (the “</w:t>
      </w:r>
      <w:r>
        <w:rPr>
          <w:rFonts w:ascii="Arial" w:cs="Arial" w:eastAsia="Arial" w:hAnsi="Arial"/>
          <w:sz w:val="16"/>
          <w:szCs w:val="16"/>
          <w:i w:val="1"/>
          <w:iCs w:val="1"/>
          <w:color w:val="auto"/>
        </w:rPr>
        <w:t>Company</w:t>
      </w:r>
      <w:r>
        <w:rPr>
          <w:rFonts w:ascii="Arial" w:cs="Arial" w:eastAsia="Arial" w:hAnsi="Arial"/>
          <w:sz w:val="16"/>
          <w:szCs w:val="16"/>
          <w:color w:val="auto"/>
        </w:rPr>
        <w:t>”), sets forth the relative rights, powers, privileges, limitations and restrictions of a series of preferred units designated “Series A-1 Preferred Units,” as established by the Board of Managers of the Company (the “</w:t>
      </w:r>
      <w:r>
        <w:rPr>
          <w:rFonts w:ascii="Arial" w:cs="Arial" w:eastAsia="Arial" w:hAnsi="Arial"/>
          <w:sz w:val="16"/>
          <w:szCs w:val="16"/>
          <w:i w:val="1"/>
          <w:iCs w:val="1"/>
          <w:color w:val="auto"/>
        </w:rPr>
        <w:t>Board of Managers</w:t>
      </w:r>
      <w:r>
        <w:rPr>
          <w:rFonts w:ascii="Arial" w:cs="Arial" w:eastAsia="Arial" w:hAnsi="Arial"/>
          <w:sz w:val="16"/>
          <w:szCs w:val="16"/>
          <w:color w:val="auto"/>
        </w:rPr>
        <w:t>”) in accordance with the provisions of the Amended and Restated Operating Agreement of the Company, dated November 29, 2021, as may be amended from time to time (the “</w:t>
      </w:r>
      <w:r>
        <w:rPr>
          <w:rFonts w:ascii="Arial" w:cs="Arial" w:eastAsia="Arial" w:hAnsi="Arial"/>
          <w:sz w:val="16"/>
          <w:szCs w:val="16"/>
          <w:i w:val="1"/>
          <w:iCs w:val="1"/>
          <w:color w:val="auto"/>
        </w:rPr>
        <w:t>Operating Agreement</w:t>
      </w:r>
      <w:r>
        <w:rPr>
          <w:rFonts w:ascii="Arial" w:cs="Arial" w:eastAsia="Arial" w:hAnsi="Arial"/>
          <w:sz w:val="16"/>
          <w:szCs w:val="16"/>
          <w:color w:val="auto"/>
        </w:rPr>
        <w:t>”),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Designation.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is hereby authorized and created a series of preferred units of the Company, the designation of which shall be “Series A-1 Preferred Units” (the “</w:t>
      </w:r>
      <w:r>
        <w:rPr>
          <w:rFonts w:ascii="Arial" w:cs="Arial" w:eastAsia="Arial" w:hAnsi="Arial"/>
          <w:sz w:val="17"/>
          <w:szCs w:val="17"/>
          <w:i w:val="1"/>
          <w:iCs w:val="1"/>
          <w:color w:val="auto"/>
        </w:rPr>
        <w:t>Series A-1 Preferred Units</w:t>
      </w:r>
      <w:r>
        <w:rPr>
          <w:rFonts w:ascii="Arial" w:cs="Arial" w:eastAsia="Arial" w:hAnsi="Arial"/>
          <w:sz w:val="17"/>
          <w:szCs w:val="17"/>
          <w:color w:val="auto"/>
        </w:rPr>
        <w:t>”). Each Series A-1 Preferred Unit shall be identical in all respects to every other Series A-1 Preferred Unit.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Number of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number of authorized Series A-1 Preferred Units shall be 600,000. That number from time to time may be increased or decreased (but not below the number of Series A-1 Preferred Units then outstanding) by further resolution duly adopted by the Board of Managers (or any duly authorized committee thereof) and by updating this Certificate of Designations stating that such increase or decrease, as the case may be, has been so authorized. The Company may issue fractional Series A-1 Preferred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with respect to Series A-1 Preferred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meaning set forth in the Operating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Amount</w:t>
      </w:r>
      <w:r>
        <w:rPr>
          <w:rFonts w:ascii="Arial" w:cs="Arial" w:eastAsia="Arial" w:hAnsi="Arial"/>
          <w:sz w:val="18"/>
          <w:szCs w:val="18"/>
          <w:color w:val="auto"/>
        </w:rPr>
        <w:t xml:space="preserve">” means, as determined as of any date with respect to any Series A-1 Preferred Unit, the sum of (i) the Original Issue Price and (ii) the amount of any accrued and unpaid cash dividends thereon that have been compounded as of such date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(which clause (ii), for the avoidance of doubt, shall not include the amount of any cash dividends that were satisfied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via the issuance of additional Series A-1 Preferred Units in lieu of payment thereof).</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w:t>
      </w:r>
      <w:r>
        <w:rPr>
          <w:rFonts w:ascii="Arial" w:cs="Arial" w:eastAsia="Arial" w:hAnsi="Arial"/>
          <w:sz w:val="17"/>
          <w:szCs w:val="17"/>
          <w:color w:val="auto"/>
        </w:rPr>
        <w:t>” means a business combination (in whatever form) of the Company with a publicly-traded special purpose acquisition company (a “</w:t>
      </w:r>
      <w:r>
        <w:rPr>
          <w:rFonts w:ascii="Arial" w:cs="Arial" w:eastAsia="Arial" w:hAnsi="Arial"/>
          <w:sz w:val="17"/>
          <w:szCs w:val="17"/>
          <w:i w:val="1"/>
          <w:iCs w:val="1"/>
          <w:color w:val="auto"/>
        </w:rPr>
        <w:t>SPAC</w:t>
      </w:r>
      <w:r>
        <w:rPr>
          <w:rFonts w:ascii="Arial" w:cs="Arial" w:eastAsia="Arial" w:hAnsi="Arial"/>
          <w:sz w:val="17"/>
          <w:szCs w:val="17"/>
          <w:color w:val="auto"/>
        </w:rPr>
        <w:t>”) that constitutes the SPAC’s “initial business combination” as described in the prospectus for the SPAC’s initial public offering and results in the Common Units becoming publicly traded on the NYSE or NASDAQ or becoming exchangeable for shares of a SPAC which are publicly traded on the NYSE or NASDAQ. As used herein, the term “Business Combination” also includes any associated financing arrangements entered into by the Company or the SPAC (or any successor thereto or resulting entity) in conjunction with the Business Combination for the issuance of equity securities, including any associated private investment in public equity of the SPAC (or any successor thereto or resulting entity).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or Friday on which banking institutions are not authorized or obligated by law, regulation or executive order to close in New York, New York.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xml:space="preserve">” means the occurrence of either of the following after the original issue date of the Series A-1 Preferred Units: (i) the direct or indirect sale, lease, transfer, conveyance or other disposition (including by way of merger or consolidation), in one or a series of related transactions, of all or substantially all of the properties or assets of the Company and its Subsidiaries taken as a whole, to any “person” (as that term is used in Section 13(d)(3) of the Exchange Act), or (ii) the consummation of any transaction or series of related transactions (including any merger or consolidation) the result of which is that any “person” (as defined above), other than Opal Holdco LLC or its Affiliates, becomes the beneficial owner, directly or indirectly, of more than 50% of the Company’s voting Units, measured by voting power rather than number of Units;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Change of Control does not include a Business Combination, an IPO or a Financing</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Units</w:t>
      </w:r>
      <w:r>
        <w:rPr>
          <w:rFonts w:ascii="Arial" w:cs="Arial" w:eastAsia="Arial" w:hAnsi="Arial"/>
          <w:sz w:val="17"/>
          <w:szCs w:val="17"/>
          <w:color w:val="auto"/>
        </w:rPr>
        <w:t xml:space="preserve">” means the Company’s “Common Units” as described in the Operating Agreement, as such units may be exchanged, reclassified, subdivided, combined or otherwise adjusted from time to time (other than pursuant to the exercise of any Exchange Rights following an IPO or Business Combination); </w:t>
      </w:r>
      <w:r>
        <w:rPr>
          <w:rFonts w:ascii="Arial" w:cs="Arial" w:eastAsia="Arial" w:hAnsi="Arial"/>
          <w:sz w:val="17"/>
          <w:szCs w:val="17"/>
          <w:u w:val="single" w:color="auto"/>
          <w:color w:val="auto"/>
        </w:rPr>
        <w:t>provided</w:t>
      </w:r>
      <w:r>
        <w:rPr>
          <w:rFonts w:ascii="Arial" w:cs="Arial" w:eastAsia="Arial" w:hAnsi="Arial"/>
          <w:sz w:val="17"/>
          <w:szCs w:val="17"/>
          <w:color w:val="auto"/>
        </w:rPr>
        <w:t>, that if pursuant to an IPO or Business Combination, holders of Common Units are issued common voting shares of the Reporting Company Affiliate (other than pursuant to the exercise of Exchange Rights) paired to their holdings of Common Units (“</w:t>
      </w:r>
      <w:r>
        <w:rPr>
          <w:rFonts w:ascii="Arial" w:cs="Arial" w:eastAsia="Arial" w:hAnsi="Arial"/>
          <w:sz w:val="17"/>
          <w:szCs w:val="17"/>
          <w:i w:val="1"/>
          <w:iCs w:val="1"/>
          <w:color w:val="auto"/>
        </w:rPr>
        <w:t>Paired Voting Shares</w:t>
      </w:r>
      <w:r>
        <w:rPr>
          <w:rFonts w:ascii="Arial" w:cs="Arial" w:eastAsia="Arial" w:hAnsi="Arial"/>
          <w:sz w:val="17"/>
          <w:szCs w:val="17"/>
          <w:color w:val="auto"/>
        </w:rPr>
        <w:t xml:space="preserve">”), then any Common Units issued upon conversion of any Delayed Redemption Units shall be coupled with an equal number of Paired Voting Shares issued to the Delayed Redemption Holder by the Reporting Company Affiliate;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Paired Voting Shares shall entitle the holder thereof to only a single vote per Paired Voting Share in respect of those matters for which holders of the Reporting Company Affiliate’s voting shares are entitled to vote, notwithstanding that other holders of Common Units may receive pursuant to the IPO or Business Combination Paired Voting Shares entitling the holder thereof to more than one vote per Paired Voting Share in respect of those matters for which holders of the Reporting Company Affiliate’s voting shares are entitled to vote.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 Price</w:t>
      </w:r>
      <w:r>
        <w:rPr>
          <w:rFonts w:ascii="Arial" w:cs="Arial" w:eastAsia="Arial" w:hAnsi="Arial"/>
          <w:sz w:val="18"/>
          <w:szCs w:val="18"/>
          <w:color w:val="auto"/>
        </w:rPr>
        <w:t>” means, as of the applicable Conversion Time:</w:t>
      </w:r>
    </w:p>
    <w:p>
      <w:pPr>
        <w:spacing w:after="0" w:line="225" w:lineRule="exact"/>
        <w:rPr>
          <w:sz w:val="20"/>
          <w:szCs w:val="20"/>
          <w:color w:val="auto"/>
        </w:rPr>
      </w:pPr>
    </w:p>
    <w:p>
      <w:pPr>
        <w:ind w:right="20" w:firstLine="656"/>
        <w:spacing w:after="0" w:line="277" w:lineRule="auto"/>
        <w:tabs>
          <w:tab w:leader="none" w:pos="87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the Common Units are directly traded on a securities exchange, the VWAP of the Common Units over the twenty (20) trading day period ending on the last trading day immediately preceding the Conversion Date;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the Common Units are not directly traded on a securities exchange, but are exchangeable or convertible into Pubco Common Shares pursuant to Exchange Rights, the VWAP of the Pubco Common Shares over the twenty (20) trading day period ending on the last trading day immediately preceding the Conversion Date (as adjusted to account for the exchange or conversion ratio between the Common Units and the Pubco Common Shares pursuant to the Exchange Rights); and</w:t>
      </w:r>
    </w:p>
    <w:p>
      <w:pPr>
        <w:spacing w:after="0" w:line="186" w:lineRule="exact"/>
        <w:rPr>
          <w:rFonts w:ascii="Arial" w:cs="Arial" w:eastAsia="Arial" w:hAnsi="Arial"/>
          <w:sz w:val="18"/>
          <w:szCs w:val="18"/>
          <w:color w:val="auto"/>
        </w:rPr>
      </w:pPr>
    </w:p>
    <w:p>
      <w:pPr>
        <w:jc w:val="both"/>
        <w:ind w:firstLine="656"/>
        <w:spacing w:after="0" w:line="253" w:lineRule="auto"/>
        <w:tabs>
          <w:tab w:leader="none" w:pos="98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all other cases, the amount (the “</w:t>
      </w:r>
      <w:r>
        <w:rPr>
          <w:rFonts w:ascii="Arial" w:cs="Arial" w:eastAsia="Arial" w:hAnsi="Arial"/>
          <w:sz w:val="18"/>
          <w:szCs w:val="18"/>
          <w:i w:val="1"/>
          <w:iCs w:val="1"/>
          <w:color w:val="auto"/>
        </w:rPr>
        <w:t>Common Unit FMV</w:t>
      </w:r>
      <w:r>
        <w:rPr>
          <w:rFonts w:ascii="Arial" w:cs="Arial" w:eastAsia="Arial" w:hAnsi="Arial"/>
          <w:sz w:val="18"/>
          <w:szCs w:val="18"/>
          <w:color w:val="auto"/>
        </w:rPr>
        <w:t>”) that a holder of one Common Unit would receive if each of the assets of the Company were to be sold for its fair market value at the applicable Conversion Time, the Company were to pay all of its outstanding liabilities, and the remaining proceeds were to be distributed to the Company’s Members in accordance with the terms of the Operating Agreement. The Common Unit FMV shall be determined by the Board of Managers, acting in good faith and using the Valuation Methodology. The Board of Manager’s determination shall be provided by the Company in writing to the Delayed Redemption Holder (a “</w:t>
      </w:r>
      <w:r>
        <w:rPr>
          <w:rFonts w:ascii="Arial" w:cs="Arial" w:eastAsia="Arial" w:hAnsi="Arial"/>
          <w:sz w:val="18"/>
          <w:szCs w:val="18"/>
          <w:i w:val="1"/>
          <w:iCs w:val="1"/>
          <w:color w:val="auto"/>
        </w:rPr>
        <w:t>Board Determination Notice</w:t>
      </w:r>
      <w:r>
        <w:rPr>
          <w:rFonts w:ascii="Arial" w:cs="Arial" w:eastAsia="Arial" w:hAnsi="Arial"/>
          <w:sz w:val="18"/>
          <w:szCs w:val="18"/>
          <w:color w:val="auto"/>
        </w:rPr>
        <w:t xml:space="preserve">”) exercising its conversion right pursuant to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no later than ten (10) Business Days after receipt of a Conversion Election Notice from such Delayed Redemption Holder in respect of such conversion election, and which determination shall be final and binding on the Company and the Delayed Redemption Holder unless such Delayed Redemption Holder notifies the Company in writing (an “</w:t>
      </w:r>
      <w:r>
        <w:rPr>
          <w:rFonts w:ascii="Arial" w:cs="Arial" w:eastAsia="Arial" w:hAnsi="Arial"/>
          <w:sz w:val="18"/>
          <w:szCs w:val="18"/>
          <w:i w:val="1"/>
          <w:iCs w:val="1"/>
          <w:color w:val="auto"/>
        </w:rPr>
        <w:t>Objection Notice</w:t>
      </w:r>
      <w:r>
        <w:rPr>
          <w:rFonts w:ascii="Arial" w:cs="Arial" w:eastAsia="Arial" w:hAnsi="Arial"/>
          <w:sz w:val="18"/>
          <w:szCs w:val="18"/>
          <w:color w:val="auto"/>
        </w:rPr>
        <w:t>”) no later than five (5) Business Days after receipt of the Board Determination Notice that the Delayed Redemption Holder objects to the Board of Manager’s determination of the Common Unit FMV (an “</w:t>
      </w:r>
      <w:r>
        <w:rPr>
          <w:rFonts w:ascii="Arial" w:cs="Arial" w:eastAsia="Arial" w:hAnsi="Arial"/>
          <w:sz w:val="18"/>
          <w:szCs w:val="18"/>
          <w:i w:val="1"/>
          <w:iCs w:val="1"/>
          <w:color w:val="auto"/>
        </w:rPr>
        <w:t>Objecting Holder</w:t>
      </w:r>
      <w:r>
        <w:rPr>
          <w:rFonts w:ascii="Arial" w:cs="Arial" w:eastAsia="Arial" w:hAnsi="Arial"/>
          <w:sz w:val="18"/>
          <w:szCs w:val="18"/>
          <w:color w:val="auto"/>
        </w:rPr>
        <w:t>”), in which case:</w:t>
      </w:r>
    </w:p>
    <w:p>
      <w:pPr>
        <w:spacing w:after="0" w:line="194" w:lineRule="exact"/>
        <w:rPr>
          <w:rFonts w:ascii="Arial" w:cs="Arial" w:eastAsia="Arial" w:hAnsi="Arial"/>
          <w:sz w:val="18"/>
          <w:szCs w:val="18"/>
          <w:color w:val="auto"/>
        </w:rPr>
      </w:pPr>
    </w:p>
    <w:p>
      <w:pPr>
        <w:jc w:val="both"/>
        <w:ind w:firstLine="2599"/>
        <w:spacing w:after="0" w:line="257" w:lineRule="auto"/>
        <w:tabs>
          <w:tab w:leader="none" w:pos="285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Company and the Objecting Holder shall each promptly retain (at their own respective cost and expense) no later than ten (10) Business Days after delivery of the Objection Notice, a nationally or regionally recognized independent third party valuation firm of their respective choosing (A) with expertise in valuing companies similar to the Company, and (B) acting as an expert and not an arbitrator (each, a “</w:t>
      </w:r>
      <w:r>
        <w:rPr>
          <w:rFonts w:ascii="Arial" w:cs="Arial" w:eastAsia="Arial" w:hAnsi="Arial"/>
          <w:sz w:val="18"/>
          <w:szCs w:val="18"/>
          <w:i w:val="1"/>
          <w:iCs w:val="1"/>
          <w:color w:val="auto"/>
        </w:rPr>
        <w:t>Qualified</w:t>
      </w:r>
      <w:r>
        <w:rPr>
          <w:rFonts w:ascii="Arial" w:cs="Arial" w:eastAsia="Arial" w:hAnsi="Arial"/>
          <w:sz w:val="18"/>
          <w:szCs w:val="18"/>
          <w:color w:val="auto"/>
        </w:rPr>
        <w:t xml:space="preserve"> </w:t>
      </w:r>
      <w:r>
        <w:rPr>
          <w:rFonts w:ascii="Arial" w:cs="Arial" w:eastAsia="Arial" w:hAnsi="Arial"/>
          <w:sz w:val="18"/>
          <w:szCs w:val="18"/>
          <w:i w:val="1"/>
          <w:iCs w:val="1"/>
          <w:color w:val="auto"/>
        </w:rPr>
        <w:t>Valuation Firm</w:t>
      </w:r>
      <w:r>
        <w:rPr>
          <w:rFonts w:ascii="Arial" w:cs="Arial" w:eastAsia="Arial" w:hAnsi="Arial"/>
          <w:sz w:val="18"/>
          <w:szCs w:val="18"/>
          <w:color w:val="auto"/>
        </w:rPr>
        <w:t>”) to determine the Common Unit FMV (which determination shall be a single price, and not a range) as derived from a valuation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using the Valuation Methodology (each, a “</w:t>
      </w:r>
      <w:r>
        <w:rPr>
          <w:rFonts w:ascii="Arial" w:cs="Arial" w:eastAsia="Arial" w:hAnsi="Arial"/>
          <w:sz w:val="18"/>
          <w:szCs w:val="18"/>
          <w:i w:val="1"/>
          <w:iCs w:val="1"/>
          <w:color w:val="auto"/>
        </w:rPr>
        <w:t>Valuation</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2599"/>
        <w:spacing w:after="0" w:line="259" w:lineRule="auto"/>
        <w:tabs>
          <w:tab w:leader="none" w:pos="28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and the Objecting Holder shall (A) each promptly provide such information to the two Qualified Valuation Firms (at the same time) as is reasonably requested by either Qualified Valuation Firm and (B) instruct the two Qualified Valuation Firms to each render their Valuation and their associated determination of the Common Unit FMV within thirty (30) days of having been retained by the Company or the Objecting Holder, as applicable;</w:t>
      </w:r>
    </w:p>
    <w:p>
      <w:pPr>
        <w:spacing w:after="0" w:line="186" w:lineRule="exact"/>
        <w:rPr>
          <w:rFonts w:ascii="Arial" w:cs="Arial" w:eastAsia="Arial" w:hAnsi="Arial"/>
          <w:sz w:val="18"/>
          <w:szCs w:val="18"/>
          <w:color w:val="auto"/>
        </w:rPr>
      </w:pPr>
    </w:p>
    <w:p>
      <w:pPr>
        <w:jc w:val="both"/>
        <w:ind w:firstLine="2599"/>
        <w:spacing w:after="0" w:line="259" w:lineRule="auto"/>
        <w:tabs>
          <w:tab w:leader="none" w:pos="287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the higher of the Common Unit FMVs determined by the two Qualified Valuation Firms is less than fifteen percent (15%) greater than the lower of the Common Unit FMVs determined by the two Qualified Valuation Firms, then, unless the Objecting Holder has made a Conversion Withdrawal as described below, the Common Unit FMV shall equal the average of the two Common Unit FMVs, and shall be final and binding on the Company and the Objecting Holder;</w:t>
      </w:r>
    </w:p>
    <w:p>
      <w:pPr>
        <w:spacing w:after="0" w:line="186" w:lineRule="exact"/>
        <w:rPr>
          <w:rFonts w:ascii="Arial" w:cs="Arial" w:eastAsia="Arial" w:hAnsi="Arial"/>
          <w:sz w:val="18"/>
          <w:szCs w:val="18"/>
          <w:color w:val="auto"/>
        </w:rPr>
      </w:pPr>
    </w:p>
    <w:p>
      <w:pPr>
        <w:jc w:val="both"/>
        <w:ind w:firstLine="2600"/>
        <w:spacing w:after="0" w:line="287" w:lineRule="auto"/>
        <w:tabs>
          <w:tab w:leader="none" w:pos="286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the higher of the Common Unit FMVs determined by the two Qualified Valuation Firms is more than fifteen percent (15%) greater than the lower of the Common Unit FMVs determined by the two Qualified Valuation Firms, then unless the Objecting Holder has made a Conversion Withdrawal as described below, the two Qualified Valuation Firms shall then select a third Qualified Valuation Firm to determine the Common Unit FMV based on a Valuation using the Valuation Methodology conducted by the third Qualified Valuation Firm (such third Qualified Valuation Firm shall be jointly retained by the Company and the Objecting Holder and the cost and expense of such third Valuation Firm shall be shared equally between the Company and the Objecting Holder), with the third Qualified Valuation Firm provided such information by the Company, the Objecting Holder and the two Qualified Valuation Firms as is reasonably requested by the third Qualified Valuation Firm and instructed to render its Valuation and associated determination of the Common Unit FMV within thirty (30) days of having been retained by the Company and the Objecting Holder, in which case the determination of the third Qualified Valuation Firm of the Common Unit FMV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determination shall in no event be greater than the higher Common Unit FMV previously determined by the original two Qualified Valuation Firms or less than the lower Common Unit FMV previously determined by such original two Qualified Valuation Firms) shall be final and binding on the Company and the Objecting Holder;</w:t>
      </w:r>
    </w:p>
    <w:p>
      <w:pPr>
        <w:spacing w:after="0" w:line="171" w:lineRule="exact"/>
        <w:rPr>
          <w:rFonts w:ascii="Arial" w:cs="Arial" w:eastAsia="Arial" w:hAnsi="Arial"/>
          <w:sz w:val="16"/>
          <w:szCs w:val="16"/>
          <w:color w:val="auto"/>
        </w:rPr>
      </w:pPr>
    </w:p>
    <w:p>
      <w:pPr>
        <w:jc w:val="both"/>
        <w:ind w:firstLine="2600"/>
        <w:spacing w:after="0" w:line="273" w:lineRule="auto"/>
        <w:tabs>
          <w:tab w:leader="none" w:pos="2863"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determination made pursuant to clause (3) or (4), as applicable, shall be final and binding five (5) Business Days after notice of such determination is provided to the Company and the Objecting Holder; provided, however, that the Objecting Holder may withdraw its Conversion Election Notice at any time within five (5) business days of receipt of the Common Unit FMVs determined by the two Qualified Valuation Firms pursuant to clauses (1)-(3) (a “</w:t>
      </w:r>
      <w:r>
        <w:rPr>
          <w:rFonts w:ascii="Arial" w:cs="Arial" w:eastAsia="Arial" w:hAnsi="Arial"/>
          <w:sz w:val="17"/>
          <w:szCs w:val="17"/>
          <w:i w:val="1"/>
          <w:iCs w:val="1"/>
          <w:color w:val="auto"/>
        </w:rPr>
        <w:t>Conversion Withdrawal</w:t>
      </w:r>
      <w:r>
        <w:rPr>
          <w:rFonts w:ascii="Arial" w:cs="Arial" w:eastAsia="Arial" w:hAnsi="Arial"/>
          <w:sz w:val="17"/>
          <w:szCs w:val="17"/>
          <w:color w:val="auto"/>
        </w:rPr>
        <w:t>”), in which case the conversion contemplated by Section 6(d)(i) shall not occur (without prejudice to the Objecting Holder’s right to submit additional Conversion Election Notices in the future pursuant to Section 6(d)(i)), and the Objecting Holder shall be required to pay one hundred percent (100%) of Qualified Valuation Firm fees contemplated by clauses (1)-(3).</w:t>
      </w:r>
    </w:p>
    <w:p>
      <w:pPr>
        <w:spacing w:after="0" w:line="178"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w:t>
      </w:r>
      <w:r>
        <w:rPr>
          <w:rFonts w:ascii="Arial" w:cs="Arial" w:eastAsia="Arial" w:hAnsi="Arial"/>
          <w:sz w:val="18"/>
          <w:szCs w:val="18"/>
          <w:color w:val="auto"/>
        </w:rPr>
        <w:t>” refers, with respect to the Company, to the consolidation of accounts of the Company and its Subsidiaries (except to the extent otherwise expressly provided herein) in accordance with GAAP.</w:t>
      </w:r>
    </w:p>
    <w:p>
      <w:pPr>
        <w:spacing w:after="0" w:line="170" w:lineRule="exact"/>
        <w:rPr>
          <w:sz w:val="20"/>
          <w:szCs w:val="20"/>
          <w:color w:val="auto"/>
        </w:rPr>
      </w:pPr>
    </w:p>
    <w:p>
      <w:pPr>
        <w:ind w:firstLine="64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Contract</w:t>
      </w:r>
      <w:r>
        <w:rPr>
          <w:rFonts w:ascii="Arial" w:cs="Arial" w:eastAsia="Arial" w:hAnsi="Arial"/>
          <w:sz w:val="17"/>
          <w:szCs w:val="17"/>
          <w:color w:val="auto"/>
        </w:rPr>
        <w:t>” means any written agreement, contract, license, sublicense, subcontract, settlement agreement, lease, understanding, arrangement, instrument, note, purchase order, warranty, insurance policy, benefit plan or legally binding commitment or undertaking of any nature.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Date</w:t>
      </w:r>
      <w:r>
        <w:rPr>
          <w:rFonts w:ascii="Arial" w:cs="Arial" w:eastAsia="Arial" w:hAnsi="Arial"/>
          <w:sz w:val="18"/>
          <w:szCs w:val="18"/>
          <w:color w:val="auto"/>
        </w:rPr>
        <w:t>” means the date on which the Conversion Time occurs.</w:t>
      </w:r>
    </w:p>
    <w:p>
      <w:pPr>
        <w:spacing w:after="0" w:line="225" w:lineRule="exact"/>
        <w:rPr>
          <w:sz w:val="20"/>
          <w:szCs w:val="20"/>
          <w:color w:val="auto"/>
        </w:rPr>
      </w:pPr>
    </w:p>
    <w:p>
      <w:pPr>
        <w:ind w:firstLine="648"/>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Conversion Price</w:t>
      </w:r>
      <w:r>
        <w:rPr>
          <w:rFonts w:ascii="Arial" w:cs="Arial" w:eastAsia="Arial" w:hAnsi="Arial"/>
          <w:sz w:val="16"/>
          <w:szCs w:val="16"/>
          <w:color w:val="auto"/>
        </w:rPr>
        <w:t>” means as of the applicable Conversion Time, (a) if the Conversion Time occurs during the period commencing on the associated Delayed Redemption Date and before the first (1</w:t>
      </w:r>
      <w:r>
        <w:rPr>
          <w:rFonts w:ascii="Arial" w:cs="Arial" w:eastAsia="Arial" w:hAnsi="Arial"/>
          <w:sz w:val="26"/>
          <w:szCs w:val="26"/>
          <w:color w:val="auto"/>
          <w:vertAlign w:val="superscript"/>
        </w:rPr>
        <w:t>st</w:t>
      </w:r>
      <w:r>
        <w:rPr>
          <w:rFonts w:ascii="Arial" w:cs="Arial" w:eastAsia="Arial" w:hAnsi="Arial"/>
          <w:sz w:val="16"/>
          <w:szCs w:val="16"/>
          <w:color w:val="auto"/>
        </w:rPr>
        <w:t>) anniversary thereof, 80% of the Common Unit Price as of the Conversion Time, (b) if the</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Conversion Time occurs during the period commencing on first (1</w:t>
      </w:r>
      <w:r>
        <w:rPr>
          <w:rFonts w:ascii="Arial" w:cs="Arial" w:eastAsia="Arial" w:hAnsi="Arial"/>
          <w:sz w:val="28"/>
          <w:szCs w:val="28"/>
          <w:color w:val="auto"/>
          <w:vertAlign w:val="superscript"/>
        </w:rPr>
        <w:t>st</w:t>
      </w:r>
      <w:r>
        <w:rPr>
          <w:rFonts w:ascii="Arial" w:cs="Arial" w:eastAsia="Arial" w:hAnsi="Arial"/>
          <w:sz w:val="17"/>
          <w:szCs w:val="17"/>
          <w:color w:val="auto"/>
        </w:rPr>
        <w:t>) anniversary the Delayed Redemption Date and before the second (2</w:t>
      </w:r>
      <w:r>
        <w:rPr>
          <w:rFonts w:ascii="Arial" w:cs="Arial" w:eastAsia="Arial" w:hAnsi="Arial"/>
          <w:sz w:val="28"/>
          <w:szCs w:val="28"/>
          <w:color w:val="auto"/>
          <w:vertAlign w:val="superscript"/>
        </w:rPr>
        <w:t>nd</w:t>
      </w:r>
      <w:r>
        <w:rPr>
          <w:rFonts w:ascii="Arial" w:cs="Arial" w:eastAsia="Arial" w:hAnsi="Arial"/>
          <w:sz w:val="17"/>
          <w:szCs w:val="17"/>
          <w:color w:val="auto"/>
        </w:rPr>
        <w:t>) anniversary of the Delayed Redemption Date, 75% of the Common Unit Price as of the Conversion Time, and (iii) if the Conversion Time occurs at any time on or after the second (2</w:t>
      </w:r>
      <w:r>
        <w:rPr>
          <w:rFonts w:ascii="Arial" w:cs="Arial" w:eastAsia="Arial" w:hAnsi="Arial"/>
          <w:sz w:val="28"/>
          <w:szCs w:val="28"/>
          <w:color w:val="auto"/>
          <w:vertAlign w:val="superscript"/>
        </w:rPr>
        <w:t>nd</w:t>
      </w:r>
      <w:r>
        <w:rPr>
          <w:rFonts w:ascii="Arial" w:cs="Arial" w:eastAsia="Arial" w:hAnsi="Arial"/>
          <w:sz w:val="17"/>
          <w:szCs w:val="17"/>
          <w:color w:val="auto"/>
        </w:rPr>
        <w:t>) anniversary of the Delayed Redemption Date, 70% of the Common Unit Price as of the Conversion Time.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Payment Date</w:t>
      </w:r>
      <w:r>
        <w:rPr>
          <w:rFonts w:ascii="Arial" w:cs="Arial" w:eastAsia="Arial" w:hAnsi="Arial"/>
          <w:sz w:val="18"/>
          <w:szCs w:val="18"/>
          <w:color w:val="auto"/>
        </w:rPr>
        <w:t>” means March 31, June 30, September 30 and December 31 of each year, beginning, in respect of a Series A-1 Preferred Unit, with the first such date to occur following the date such Series A-1 Preferred Unit is issued.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Period</w:t>
      </w:r>
      <w:r>
        <w:rPr>
          <w:rFonts w:ascii="Arial" w:cs="Arial" w:eastAsia="Arial" w:hAnsi="Arial"/>
          <w:sz w:val="18"/>
          <w:szCs w:val="18"/>
          <w:color w:val="auto"/>
        </w:rPr>
        <w:t>” means, with respect to a Series A-1 Preferred Unit, the period from, and including, the date of issuance of the Series A-1 Preferred Unit or any Dividend Payment Date to, but excluding, the next Dividend Payment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w:t>
      </w:r>
      <w:r>
        <w:rPr>
          <w:rFonts w:ascii="Arial" w:cs="Arial" w:eastAsia="Arial" w:hAnsi="Arial"/>
          <w:sz w:val="18"/>
          <w:szCs w:val="18"/>
          <w:color w:val="auto"/>
        </w:rPr>
        <w:t>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Agreement</w:t>
      </w:r>
      <w:r>
        <w:rPr>
          <w:rFonts w:ascii="Arial" w:cs="Arial" w:eastAsia="Arial" w:hAnsi="Arial"/>
          <w:sz w:val="18"/>
          <w:szCs w:val="18"/>
          <w:color w:val="auto"/>
        </w:rPr>
        <w:t>” means that certain Exchange Agreement, dated November 29, 2021 between the Company and Hillman RNG, providing for the transfer of equity interests in Pine Bend HoldCo LLC, Noble Road HoldCo LLC, Sunoma HoldCo LLC, and CV RNG Holdings LLC, by Hillman RNG in exchange for certain Common Units and Series A-1 Preferred Units.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Date</w:t>
      </w:r>
      <w:r>
        <w:rPr>
          <w:rFonts w:ascii="Arial" w:cs="Arial" w:eastAsia="Arial" w:hAnsi="Arial"/>
          <w:sz w:val="18"/>
          <w:szCs w:val="18"/>
          <w:color w:val="auto"/>
        </w:rPr>
        <w:t>” means the Effective Date as set forth in the Exchange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Rights</w:t>
      </w:r>
      <w:r>
        <w:rPr>
          <w:rFonts w:ascii="Arial" w:cs="Arial" w:eastAsia="Arial" w:hAnsi="Arial"/>
          <w:sz w:val="17"/>
          <w:szCs w:val="17"/>
          <w:color w:val="auto"/>
        </w:rPr>
        <w:t>” means any exchange or conversion rights in favor of holders of Common Units provided to such holders in connection with a Business Combination or IPO that provide for the exchange or conversion of Common Units (either separately or in combination with other securities) into the publicly-traded common stock of the resulting Reporting Company Affiliate (the “</w:t>
      </w:r>
      <w:r>
        <w:rPr>
          <w:rFonts w:ascii="Arial" w:cs="Arial" w:eastAsia="Arial" w:hAnsi="Arial"/>
          <w:sz w:val="17"/>
          <w:szCs w:val="17"/>
          <w:i w:val="1"/>
          <w:iCs w:val="1"/>
          <w:color w:val="auto"/>
        </w:rPr>
        <w:t>Pubco Common Shares</w:t>
      </w:r>
      <w:r>
        <w:rPr>
          <w:rFonts w:ascii="Arial" w:cs="Arial" w:eastAsia="Arial" w:hAnsi="Arial"/>
          <w:sz w:val="17"/>
          <w:szCs w:val="17"/>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Financing</w:t>
      </w:r>
      <w:r>
        <w:rPr>
          <w:rFonts w:ascii="Arial" w:cs="Arial" w:eastAsia="Arial" w:hAnsi="Arial"/>
          <w:sz w:val="17"/>
          <w:szCs w:val="17"/>
          <w:color w:val="auto"/>
        </w:rPr>
        <w:t>” means any equity financing or debt financing, the primary purpose of which is to fund the Company’s operations and growth.</w:t>
      </w:r>
    </w:p>
    <w:p>
      <w:pPr>
        <w:spacing w:after="0" w:line="23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nation or government, any state, county, city or other political subdivision thereof and any entity exercising executive, legislative, judicial, regulatory or administrative functions of or pertaining to government.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Hillman RNG</w:t>
      </w:r>
      <w:r>
        <w:rPr>
          <w:rFonts w:ascii="Arial" w:cs="Arial" w:eastAsia="Arial" w:hAnsi="Arial"/>
          <w:sz w:val="18"/>
          <w:szCs w:val="18"/>
          <w:color w:val="auto"/>
        </w:rPr>
        <w:t>” means Hillman RNG Investments, LLC, a Delaware limited liability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Incentive Units</w:t>
      </w:r>
      <w:r>
        <w:rPr>
          <w:rFonts w:ascii="Arial" w:cs="Arial" w:eastAsia="Arial" w:hAnsi="Arial"/>
          <w:sz w:val="17"/>
          <w:szCs w:val="17"/>
          <w:color w:val="auto"/>
        </w:rPr>
        <w:t>” means any units issued by the Company intended to constitute an interest in the future profits of the Company satisfying the requirements for a partnership profits interest transferred or issued in connection with the performance of services, as set forth in Revenue Procedures 93-27 and 2001-43, or any future IRS guidance or other authority that supplements or supersedes the foregoing Revenue Procedures.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the Company’s first underwritten public offering of its Common Units under the Securities Act (including via a newly-formed parent or sister corporation or other transaction structure, including structures commonly referred to as “up-C” or “double dummy” structures) and following which the Common Units are publicly traded on the NYSE or NASDAQ.</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Units</w:t>
      </w:r>
      <w:r>
        <w:rPr>
          <w:rFonts w:ascii="Arial" w:cs="Arial" w:eastAsia="Arial" w:hAnsi="Arial"/>
          <w:sz w:val="18"/>
          <w:szCs w:val="18"/>
          <w:color w:val="auto"/>
        </w:rPr>
        <w:t>” means the Common Units, any Incentive Units and any other class or series of units of the Company now existing or hereafter authorized over which the Series A-1 Preferred Units have preference or priority as to the payment of dividends and as to the distribution of assets upon any Liquidation.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Member</w:t>
      </w:r>
      <w:r>
        <w:rPr>
          <w:rFonts w:ascii="Arial" w:cs="Arial" w:eastAsia="Arial" w:hAnsi="Arial"/>
          <w:sz w:val="18"/>
          <w:szCs w:val="18"/>
          <w:color w:val="auto"/>
        </w:rPr>
        <w:t>” or “</w:t>
      </w:r>
      <w:r>
        <w:rPr>
          <w:rFonts w:ascii="Arial" w:cs="Arial" w:eastAsia="Arial" w:hAnsi="Arial"/>
          <w:sz w:val="18"/>
          <w:szCs w:val="18"/>
          <w:i w:val="1"/>
          <w:iCs w:val="1"/>
          <w:color w:val="auto"/>
        </w:rPr>
        <w:t>Members</w:t>
      </w:r>
      <w:r>
        <w:rPr>
          <w:rFonts w:ascii="Arial" w:cs="Arial" w:eastAsia="Arial" w:hAnsi="Arial"/>
          <w:sz w:val="18"/>
          <w:szCs w:val="18"/>
          <w:color w:val="auto"/>
        </w:rPr>
        <w:t>” has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any of The Nasdaq Global Select Market, The Nasdaq Global Market and The Nasdaq Capital Market.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NextEra Subscription Agreement</w:t>
      </w:r>
      <w:r>
        <w:rPr>
          <w:rFonts w:ascii="Arial" w:cs="Arial" w:eastAsia="Arial" w:hAnsi="Arial"/>
          <w:sz w:val="18"/>
          <w:szCs w:val="18"/>
          <w:color w:val="auto"/>
        </w:rPr>
        <w:t>” means that certain Subscription Agreement, dated November 29, 2021 as between the Company and Mendocino Capital, LLC.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NYSE</w:t>
      </w:r>
      <w:r>
        <w:rPr>
          <w:rFonts w:ascii="Arial" w:cs="Arial" w:eastAsia="Arial" w:hAnsi="Arial"/>
          <w:sz w:val="18"/>
          <w:szCs w:val="18"/>
          <w:color w:val="auto"/>
        </w:rPr>
        <w:t>” means any of the New York Stock Exchange or the NYSE American.</w:t>
      </w:r>
    </w:p>
    <w:p>
      <w:pPr>
        <w:spacing w:after="0" w:line="225"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Issue Price</w:t>
      </w:r>
      <w:r>
        <w:rPr>
          <w:rFonts w:ascii="Arial" w:cs="Arial" w:eastAsia="Arial" w:hAnsi="Arial"/>
          <w:sz w:val="18"/>
          <w:szCs w:val="18"/>
          <w:color w:val="auto"/>
        </w:rPr>
        <w:t>” means $100.00 per Series A-1 Preferred Unit, subject to appropriate adjustment in the event of any exchange, reclassification, subdivision, combination or other adjustment to the Series A-1 Preferred Units.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Units</w:t>
      </w:r>
      <w:r>
        <w:rPr>
          <w:rFonts w:ascii="Arial" w:cs="Arial" w:eastAsia="Arial" w:hAnsi="Arial"/>
          <w:sz w:val="18"/>
          <w:szCs w:val="18"/>
          <w:color w:val="auto"/>
        </w:rPr>
        <w:t>” means any class or series of units of the Company now existing or hereafter authorized which ranks on par with the Series A-1 Preferred Units as to the payment of dividends or as to the distribution of assets upon any Liquidation, including, if and when authorized and issued as contemplated by the NextEra Subscription Agreement, the Series A Preferred Units.</w:t>
      </w:r>
    </w:p>
    <w:p>
      <w:pPr>
        <w:spacing w:after="0" w:line="184" w:lineRule="exact"/>
        <w:rPr>
          <w:sz w:val="20"/>
          <w:szCs w:val="20"/>
          <w:color w:val="auto"/>
        </w:rPr>
      </w:pPr>
    </w:p>
    <w:p>
      <w:pPr>
        <w:jc w:val="both"/>
        <w:ind w:firstLine="6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limited liability company, corporation, business trust, joint stock company, trust, unincorporated association, joint venture, Governmental Authority or other entity of whatever nature.</w:t>
      </w:r>
    </w:p>
    <w:p>
      <w:pPr>
        <w:spacing w:after="0" w:line="170" w:lineRule="exact"/>
        <w:rPr>
          <w:sz w:val="20"/>
          <w:szCs w:val="20"/>
          <w:color w:val="auto"/>
        </w:rPr>
      </w:pPr>
    </w:p>
    <w:p>
      <w:pPr>
        <w:jc w:val="both"/>
        <w:ind w:right="20" w:firstLine="64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Reporting Company Affiliate</w:t>
      </w:r>
      <w:r>
        <w:rPr>
          <w:rFonts w:ascii="Arial" w:cs="Arial" w:eastAsia="Arial" w:hAnsi="Arial"/>
          <w:sz w:val="16"/>
          <w:szCs w:val="16"/>
          <w:color w:val="auto"/>
        </w:rPr>
        <w:t>” means, following an IPO or Business Combination, a Company Affiliate that pursuant to the IPO or Business Combination is the parent reporting company of the Company obligated to file current and periodic reports under Section 13 or 15(d) of the Exchange Act.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Units</w:t>
      </w:r>
      <w:r>
        <w:rPr>
          <w:rFonts w:ascii="Arial" w:cs="Arial" w:eastAsia="Arial" w:hAnsi="Arial"/>
          <w:sz w:val="18"/>
          <w:szCs w:val="18"/>
          <w:color w:val="auto"/>
        </w:rPr>
        <w:t>” means any class or series of units of the Company now existing or hereafter authorized which has preference or priority over the Series A-1 Preferred Units as to the payment of dividends or as to the distribution of assets upon any Liquidation.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Preferred Units</w:t>
      </w:r>
      <w:r>
        <w:rPr>
          <w:rFonts w:ascii="Arial" w:cs="Arial" w:eastAsia="Arial" w:hAnsi="Arial"/>
          <w:sz w:val="18"/>
          <w:szCs w:val="18"/>
          <w:color w:val="auto"/>
        </w:rPr>
        <w:t>” means the “Series A Preferred Units” contemplated to be designated and issued by the Company pursuant to the terms of the NextEra Subscription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the Company, any corporation, partnership, limited liability company, association, joint venture or other business entity of which (i) if a corporation, at least 50% of the total voting power of shares of stock entitled to vote in the election of directors, managers or trustees thereof is at the time owned or controlled, directly or indirectly, by the Company or one or more of the other Subsidiaries of the Company or a combination thereof, or (ii) if a partnership, limited liability company, association, joint venture or other business entity, at least 50% of the partnership, joint venture or other similar ownership interest thereof (whether voting or economic) is at the time owned or controlled, directly or indirectly, by the Company or one or more Subsidiaries of the Company or a combination thereof.</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(a) the transactions contemplated by the Exchange Agreement, this Certificate of Designations and the Operating Agreement, (b) a Business Combination (or financing arrangements entered into by the Company or its Subsidiaries or the SPAC (or any successor thereto or resulting entity) in conjunction with a Business Combination for the issuance of equity securities, including any associated private investment in public equity of the SPAC (or any successor thereto or resulting entity)), (c) an IPO, and (d) any other equity or debt financing (including with any Lender) entered into by the Company or its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64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Valuation Methodology</w:t>
      </w:r>
      <w:r>
        <w:rPr>
          <w:rFonts w:ascii="Arial" w:cs="Arial" w:eastAsia="Arial" w:hAnsi="Arial"/>
          <w:sz w:val="16"/>
          <w:szCs w:val="16"/>
          <w:color w:val="auto"/>
        </w:rPr>
        <w:t>” means a commercially reasonable estimate of the amount that would be realized by the Company if each asset of the Company (and each asset of each partnership, limited liability company, trust, joint venture or other entity in which the Company owns a direct or indirect interest), treating the Company as a going concern, were sold to an unrelated purchaser in an arms’ length transaction where neither the purchaser nor the seller were under economic compulsion to enter into the transaction (without regard to any discount in value as a result of the Company’s minority interest in any property or any illiquidity of the Company’s interest in any property), which estimate, to the extent relying on any commodity, renewable energy attribute or other forecasts, shall be based on the Person making the estimate’s own or other independent third party forecasts.</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VWAP</w:t>
      </w:r>
      <w:r>
        <w:rPr>
          <w:rFonts w:ascii="Arial" w:cs="Arial" w:eastAsia="Arial" w:hAnsi="Arial"/>
          <w:sz w:val="18"/>
          <w:szCs w:val="18"/>
          <w:color w:val="auto"/>
        </w:rPr>
        <w:t>” means, with respect to a specified time period, the volume weighted average price of the Common Units or Pubco Common Shares, as applicable, over such time period (as adjusted to reflect any dividends or distributions (including stock splits) for which the record date thereof occurs during such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Dividends.</w:t>
      </w:r>
    </w:p>
    <w:p>
      <w:pPr>
        <w:spacing w:after="0" w:line="225" w:lineRule="exact"/>
        <w:rPr>
          <w:sz w:val="20"/>
          <w:szCs w:val="20"/>
          <w:color w:val="auto"/>
        </w:rPr>
      </w:pPr>
    </w:p>
    <w:p>
      <w:pPr>
        <w:jc w:val="both"/>
        <w:ind w:firstLine="656"/>
        <w:spacing w:after="0" w:line="285" w:lineRule="auto"/>
        <w:tabs>
          <w:tab w:leader="none" w:pos="921"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Rate and Payment. </w:t>
      </w:r>
      <w:r>
        <w:rPr>
          <w:rFonts w:ascii="Arial" w:cs="Arial" w:eastAsia="Arial" w:hAnsi="Arial"/>
          <w:sz w:val="16"/>
          <w:szCs w:val="16"/>
          <w:color w:val="auto"/>
        </w:rPr>
        <w:t>From and after the date of issuance of a Series A-1 Preferred Unit, the record holder thereof (the “</w:t>
      </w:r>
      <w:r>
        <w:rPr>
          <w:rFonts w:ascii="Arial" w:cs="Arial" w:eastAsia="Arial" w:hAnsi="Arial"/>
          <w:sz w:val="16"/>
          <w:szCs w:val="16"/>
          <w:i w:val="1"/>
          <w:iCs w:val="1"/>
          <w:color w:val="auto"/>
        </w:rPr>
        <w:t>Holder</w:t>
      </w:r>
      <w:r>
        <w:rPr>
          <w:rFonts w:ascii="Arial" w:cs="Arial" w:eastAsia="Arial" w:hAnsi="Arial"/>
          <w:sz w:val="16"/>
          <w:szCs w:val="16"/>
          <w:color w:val="auto"/>
        </w:rPr>
        <w: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receive cash dividends, which shall be cumulative and shall accrue on the Base Amount of each Series A-1 Preferred Unit at the rate of eight percent (8%) per annum (accruing daily and compounding monthly until paid in full from the date of issuance of such Series A-1 Preferred Unit, whether or not declared, and subject to such rate increases as may be provided for herein) on the Base Amount (the “</w:t>
      </w:r>
      <w:r>
        <w:rPr>
          <w:rFonts w:ascii="Arial" w:cs="Arial" w:eastAsia="Arial" w:hAnsi="Arial"/>
          <w:sz w:val="16"/>
          <w:szCs w:val="16"/>
          <w:i w:val="1"/>
          <w:iCs w:val="1"/>
          <w:color w:val="auto"/>
        </w:rPr>
        <w:t>Series A-1 Mandatory Cumulative Dividends</w:t>
      </w:r>
      <w:r>
        <w:rPr>
          <w:rFonts w:ascii="Arial" w:cs="Arial" w:eastAsia="Arial" w:hAnsi="Arial"/>
          <w:sz w:val="16"/>
          <w:szCs w:val="16"/>
          <w:color w:val="auto"/>
        </w:rPr>
        <w:t xml:space="preserve">”), to the fullest extent permitted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lieu of paying such Series A-1 Mandatory Cumulative Dividends in cash on any one or more of the first eight (8) Dividend Payment Dates following the first date that any Series A-1 Preferred Units are issued by the Company, the Company shall have the option, at its sole and exclusive election, to pay all Series A-1 Mandatory Cumulative Dividends (including Series A-1 Mandatory Cumulative Dividends accruing on Series A-1 Preferred Units issued after such first date) by issuing a number of additional Series A-1 Preferred Units (or fraction thereof) to the Holders having a value equal to the Series A-1 Mandatory Cumulative Dividend payable to the Holders on such Dividend Payment Date (with each additional Series A-1 Preferred Unit so issued valued at the Original Issue Price, and with any fractional Series A-1 Preferred Unit so issued being proportionately valued). To the extent not paid in cash (including as a result of such dividend payment not being permitted by applicable law) or by issuance of additional Series A-1 Preferred Units, the Series A-1 Mandatory Cumulative Dividends on the Series A-1 Preferred Unit shall continue to accrue and compound whether or not declared. The Series A-1 Mandatory Cumulative Dividends shall be payable quarterly in arrears on each Dividend Payment Date, beginning, with respect to a Series A-1 Preferred Unit, with the first Dividend Payment Date following the date on which such Series A-1 Preferred Unit is issued;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such day is not a Business Day, then payment of any dividend otherwise payable on that date will be made on the next succeeding day that is a Business Day (unless that day falls in the next calendar year, in which case payment of such dividend will occur on the immediately preceding Business Day), in each case, without any additional dividends accruing or other payment adjustment and the relevant Dividend Period will not be adjusted. The record date for payment of dividends on the Series A-1 Preferred Units shall be the fifteenth day of the calendar month preceding the month in which the Dividend Payment Date falls. The amount of dividends payable shall be computed on the basis of a 360-day year of twelve 30-day months. Dollar amounts resulting from that calculation shall be rounded to the nearest cent, with one-half cent being rounded upward.</w:t>
      </w:r>
    </w:p>
    <w:p>
      <w:pPr>
        <w:spacing w:after="0" w:line="166" w:lineRule="exact"/>
        <w:rPr>
          <w:rFonts w:ascii="Arial" w:cs="Arial" w:eastAsia="Arial" w:hAnsi="Arial"/>
          <w:sz w:val="16"/>
          <w:szCs w:val="16"/>
          <w:b w:val="1"/>
          <w:bCs w:val="1"/>
          <w:color w:val="auto"/>
        </w:rPr>
      </w:pPr>
    </w:p>
    <w:p>
      <w:pPr>
        <w:jc w:val="both"/>
        <w:ind w:firstLine="656"/>
        <w:spacing w:after="0" w:line="266" w:lineRule="auto"/>
        <w:tabs>
          <w:tab w:leader="none" w:pos="918"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No Other Rights to Distributions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or as otherwise set forth in the Operating Agreement, a</w:t>
      </w:r>
      <w:r>
        <w:rPr>
          <w:rFonts w:ascii="Arial" w:cs="Arial" w:eastAsia="Arial" w:hAnsi="Arial"/>
          <w:sz w:val="18"/>
          <w:szCs w:val="18"/>
          <w:b w:val="1"/>
          <w:bCs w:val="1"/>
          <w:color w:val="auto"/>
        </w:rPr>
        <w:t xml:space="preserve"> </w:t>
      </w:r>
      <w:r>
        <w:rPr>
          <w:rFonts w:ascii="Arial" w:cs="Arial" w:eastAsia="Arial" w:hAnsi="Arial"/>
          <w:sz w:val="18"/>
          <w:szCs w:val="18"/>
          <w:color w:val="auto"/>
        </w:rPr>
        <w:t>Holder shall not be entitled to any dividends or distributions with respect to the Series A-1 Preferred Units (including tax distributions and whether upon dissolution, liquidation or winding up of the Company or otherwise).</w:t>
      </w:r>
    </w:p>
    <w:p>
      <w:pPr>
        <w:spacing w:after="0" w:line="175" w:lineRule="exact"/>
        <w:rPr>
          <w:rFonts w:ascii="Arial" w:cs="Arial" w:eastAsia="Arial" w:hAnsi="Arial"/>
          <w:sz w:val="18"/>
          <w:szCs w:val="18"/>
          <w:b w:val="1"/>
          <w:bCs w:val="1"/>
          <w:color w:val="auto"/>
        </w:rPr>
      </w:pPr>
    </w:p>
    <w:p>
      <w:pPr>
        <w:jc w:val="both"/>
        <w:ind w:firstLine="656"/>
        <w:spacing w:after="0" w:line="255" w:lineRule="auto"/>
        <w:tabs>
          <w:tab w:leader="none" w:pos="892"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dividends and other distributions (payable in cash, units or otherwise) as may be determined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Managers or any duly authorized committee of the Board of Managers may be declared and paid on any Junior Units from time to time out of any funds legally available therefor, and the Series A-1 Preferred Units shall not be entitled to participate in any such dividend or other distributions. Notwithstanding anything to the contrary set forth in this Certificate of Designations, nothing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limit or restrict the Company or its Affiliates from (i) declaring or paying any dividend or distribution on or repurchasing or redeeming any Senior Units or Pari Passu Units, (ii) declaring or paying any dividend or distribution on or repurchasing or redeeming any Junior Units or (iii) taking any action necessary to effectuate an IPO or a Business Combination.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56"/>
        <w:spacing w:after="0" w:line="287" w:lineRule="auto"/>
        <w:tabs>
          <w:tab w:leader="none" w:pos="938"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Rate upon an Event of Default. </w:t>
      </w:r>
      <w:r>
        <w:rPr>
          <w:rFonts w:ascii="Arial" w:cs="Arial" w:eastAsia="Arial" w:hAnsi="Arial"/>
          <w:sz w:val="16"/>
          <w:szCs w:val="16"/>
          <w:color w:val="auto"/>
        </w:rPr>
        <w:t>In the event the Company materially breaches any of its obligations to a Holder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a failure to pay dividends on the Series A-1 Preferred Units either in cash or by issuance of additional Series A-1 Preferred Units (to the extent permitted under Section 4(a)), regardless of whether such dividends are permitted by applicable law),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(each a “</w:t>
      </w:r>
      <w:r>
        <w:rPr>
          <w:rFonts w:ascii="Arial" w:cs="Arial" w:eastAsia="Arial" w:hAnsi="Arial"/>
          <w:sz w:val="16"/>
          <w:szCs w:val="16"/>
          <w:i w:val="1"/>
          <w:iCs w:val="1"/>
          <w:color w:val="auto"/>
        </w:rPr>
        <w:t>Material Breach</w:t>
      </w:r>
      <w:r>
        <w:rPr>
          <w:rFonts w:ascii="Arial" w:cs="Arial" w:eastAsia="Arial" w:hAnsi="Arial"/>
          <w:sz w:val="16"/>
          <w:szCs w:val="16"/>
          <w:color w:val="auto"/>
        </w:rPr>
        <w:t xml:space="preserve">”), in addition to any other rights or remedies such Holder may have at law, in equity, under contract or otherwise, the dividend rate on such Holder’s outstanding Series A-1 Preferred Units (as otherwise provided in </w:t>
      </w:r>
      <w:r>
        <w:rPr>
          <w:rFonts w:ascii="Arial" w:cs="Arial" w:eastAsia="Arial" w:hAnsi="Arial"/>
          <w:sz w:val="16"/>
          <w:szCs w:val="16"/>
          <w:u w:val="single" w:color="auto"/>
          <w:color w:val="auto"/>
        </w:rPr>
        <w:t>Section 4(a)</w:t>
      </w:r>
      <w:r>
        <w:rPr>
          <w:rFonts w:ascii="Arial" w:cs="Arial" w:eastAsia="Arial" w:hAnsi="Arial"/>
          <w:sz w:val="16"/>
          <w:szCs w:val="16"/>
          <w:color w:val="auto"/>
        </w:rPr>
        <w:t>) shall be increased to the greater of (i) twelve percent (12%) per annum and (ii) the dividend rate then in effect plus two percent (2%) per annum, until such time as such Material Breach is cured (at which time the dividend rate shall return to the dividend rate in effect prior to such increase in respect of such Material Breach). In the event of multiple Material Breaches that are unrelated to one another (each an “</w:t>
      </w:r>
      <w:r>
        <w:rPr>
          <w:rFonts w:ascii="Arial" w:cs="Arial" w:eastAsia="Arial" w:hAnsi="Arial"/>
          <w:sz w:val="16"/>
          <w:szCs w:val="16"/>
          <w:i w:val="1"/>
          <w:iCs w:val="1"/>
          <w:color w:val="auto"/>
        </w:rPr>
        <w:t>Unrelated Material Breach</w:t>
      </w:r>
      <w:r>
        <w:rPr>
          <w:rFonts w:ascii="Arial" w:cs="Arial" w:eastAsia="Arial" w:hAnsi="Arial"/>
          <w:sz w:val="16"/>
          <w:szCs w:val="16"/>
          <w:color w:val="auto"/>
        </w:rPr>
        <w:t xml:space="preserve">”) and that remain uncured contemporaneously with one another, such dividend rate shall increase by an additional two percent (2%) per annum for each Unrelated Material Breach that is in addition to the Material Breach specified in the immediately preceding sentence, until such time as such Unrelated Material Breach is cured (at which time the dividend rate shall return to the dividend rate in effect prior to such increase in respect of such Unrelated Material Breach);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circumstance shall such dividend rate exceed twenty percent (20%) per annum at any time. For the avoidance of doubt, any failure to pay cash dividends when due for a specific quarterly period shall be deemed an Unrelated Material Breach from the failure to pay cash dividends when due for a different specific quarterly period.</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5. Distributions upon Dissolution. </w:t>
      </w:r>
      <w:r>
        <w:rPr>
          <w:rFonts w:ascii="Arial" w:cs="Arial" w:eastAsia="Arial" w:hAnsi="Arial"/>
          <w:sz w:val="17"/>
          <w:szCs w:val="17"/>
          <w:color w:val="auto"/>
        </w:rPr>
        <w:t>Upon dissolution, liquidation or winding up of the Company (a “</w:t>
      </w:r>
      <w:r>
        <w:rPr>
          <w:rFonts w:ascii="Arial" w:cs="Arial" w:eastAsia="Arial" w:hAnsi="Arial"/>
          <w:sz w:val="17"/>
          <w:szCs w:val="17"/>
          <w:i w:val="1"/>
          <w:iCs w:val="1"/>
          <w:color w:val="auto"/>
        </w:rPr>
        <w:t>Liquidation</w:t>
      </w:r>
      <w:r>
        <w:rPr>
          <w:rFonts w:ascii="Arial" w:cs="Arial" w:eastAsia="Arial" w:hAnsi="Arial"/>
          <w:sz w:val="17"/>
          <w:szCs w:val="17"/>
          <w:color w:val="auto"/>
        </w:rPr>
        <w:t>”), to the fullest extent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by applicable law, the Holders shall be entitled to receive from any proceeds resulting from the Liquidation of the Company (“</w:t>
      </w:r>
      <w:r>
        <w:rPr>
          <w:rFonts w:ascii="Arial" w:cs="Arial" w:eastAsia="Arial" w:hAnsi="Arial"/>
          <w:sz w:val="17"/>
          <w:szCs w:val="17"/>
          <w:i w:val="1"/>
          <w:iCs w:val="1"/>
          <w:color w:val="auto"/>
        </w:rPr>
        <w:t>Liquidation Proceeds</w:t>
      </w:r>
      <w:r>
        <w:rPr>
          <w:rFonts w:ascii="Arial" w:cs="Arial" w:eastAsia="Arial" w:hAnsi="Arial"/>
          <w:sz w:val="17"/>
          <w:szCs w:val="17"/>
          <w:color w:val="auto"/>
        </w:rPr>
        <w:t>”), before any Liquidation Proceeds shall be distributed in respect of any Junior Units, an amount per Series A-1 Preferred Unit equal to the Base Amount per Series A-1 Preferred Unit as of the date of Liquidation (the “</w:t>
      </w:r>
      <w:r>
        <w:rPr>
          <w:rFonts w:ascii="Arial" w:cs="Arial" w:eastAsia="Arial" w:hAnsi="Arial"/>
          <w:sz w:val="17"/>
          <w:szCs w:val="17"/>
          <w:i w:val="1"/>
          <w:iCs w:val="1"/>
          <w:color w:val="auto"/>
        </w:rPr>
        <w:t>Liquidation Payment</w:t>
      </w:r>
      <w:r>
        <w:rPr>
          <w:rFonts w:ascii="Arial" w:cs="Arial" w:eastAsia="Arial" w:hAnsi="Arial"/>
          <w:sz w:val="17"/>
          <w:szCs w:val="17"/>
          <w:color w:val="auto"/>
        </w:rPr>
        <w:t>”). If, following (i) the satisfaction of the Company’s debts and liabilities (including the satisfaction of all indebtedness to Members and/or their Affiliates to the extent otherwise permitted by law) including the expenses of liquidation, and including the establishment of any reserves which the Board of Managers (or liquidation agent) may deem reasonably for any contingent, conditional or unmatured contractual liabilities or obligations of the Company and (ii) the payment to the holders of any Senior Units of the full amounts to which they may be entitled upon such Liquidation, the remaining Liquidation Proceeds are insufficient to pay Holders and the holder of any Pari Passu Units in full the Liquidation Payment per Series A-1 Preferred Unit and the liquidation preference amount payable to the holders of any Pari Passu Units, then the Company shall allocate any remaining Liquidation Proceeds on a pro rata basis among the holders of Series A-1 Preferred Units and Pari Passu Units then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Redemption.</w:t>
      </w:r>
    </w:p>
    <w:p>
      <w:pPr>
        <w:spacing w:after="0" w:line="225" w:lineRule="exact"/>
        <w:rPr>
          <w:sz w:val="20"/>
          <w:szCs w:val="20"/>
          <w:color w:val="auto"/>
        </w:rPr>
      </w:pPr>
    </w:p>
    <w:p>
      <w:pPr>
        <w:jc w:val="both"/>
        <w:ind w:firstLine="656"/>
        <w:spacing w:after="0" w:line="269" w:lineRule="auto"/>
        <w:tabs>
          <w:tab w:leader="none" w:pos="903"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Optional Redemption</w:t>
      </w:r>
      <w:r>
        <w:rPr>
          <w:rFonts w:ascii="Arial" w:cs="Arial" w:eastAsia="Arial" w:hAnsi="Arial"/>
          <w:sz w:val="17"/>
          <w:szCs w:val="17"/>
          <w:color w:val="auto"/>
        </w:rPr>
        <w:t>. To the fullest extent permitted by applicable law, the Series A-1 Preferred Units may be redeemed, in whole or in part,</w:t>
      </w:r>
      <w:r>
        <w:rPr>
          <w:rFonts w:ascii="Arial" w:cs="Arial" w:eastAsia="Arial" w:hAnsi="Arial"/>
          <w:sz w:val="17"/>
          <w:szCs w:val="17"/>
          <w:b w:val="1"/>
          <w:bCs w:val="1"/>
          <w:color w:val="auto"/>
        </w:rPr>
        <w:t xml:space="preserve"> </w:t>
      </w:r>
      <w:r>
        <w:rPr>
          <w:rFonts w:ascii="Arial" w:cs="Arial" w:eastAsia="Arial" w:hAnsi="Arial"/>
          <w:sz w:val="17"/>
          <w:szCs w:val="17"/>
          <w:color w:val="auto"/>
        </w:rPr>
        <w:t>at the Company’s election (in its sole and absolute discretion), at any time, at a price equal to the Base Amount per Series A-1 Preferred Unit as of the date of redemption (the “</w:t>
      </w:r>
      <w:r>
        <w:rPr>
          <w:rFonts w:ascii="Arial" w:cs="Arial" w:eastAsia="Arial" w:hAnsi="Arial"/>
          <w:sz w:val="17"/>
          <w:szCs w:val="17"/>
          <w:i w:val="1"/>
          <w:iCs w:val="1"/>
          <w:color w:val="auto"/>
        </w:rPr>
        <w:t>Redemption Price</w:t>
      </w:r>
      <w:r>
        <w:rPr>
          <w:rFonts w:ascii="Arial" w:cs="Arial" w:eastAsia="Arial" w:hAnsi="Arial"/>
          <w:sz w:val="17"/>
          <w:szCs w:val="17"/>
          <w:color w:val="auto"/>
        </w:rPr>
        <w:t>”). Any such redemption election by the Company (i) shall be made ratably across all Holders based on the number of Series A-1 Preferred Units held by each Holder such that the Company shall redeem the same percentage of Series A-1 Preferred Units held by each Holder, and (ii) may be made contingent upon the happening of any event or circumstance (including a Change of Control). If on any Optional Redemption Date, Delaware law governing distributions to Members does not permit the Company to redeem all the Series A-1 Preferred Units to be redeemed, the Company shall ratably redeem the maximum number of Series A-1 Preferred Units that it may redeem consistent with such law, and shall redeem the remaining Series A-1 Preferred Units as soon as it may lawfully do so under such law (with the Series A-1 Mandatory Cumulative Dividends continuing to accrue and compound during such interim period). The Company shall send written notice of its redemption election (the “</w:t>
      </w:r>
      <w:r>
        <w:rPr>
          <w:rFonts w:ascii="Arial" w:cs="Arial" w:eastAsia="Arial" w:hAnsi="Arial"/>
          <w:sz w:val="17"/>
          <w:szCs w:val="17"/>
          <w:i w:val="1"/>
          <w:iCs w:val="1"/>
          <w:color w:val="auto"/>
        </w:rPr>
        <w:t>Optional Redemption Notice</w:t>
      </w:r>
      <w:r>
        <w:rPr>
          <w:rFonts w:ascii="Arial" w:cs="Arial" w:eastAsia="Arial" w:hAnsi="Arial"/>
          <w:sz w:val="17"/>
          <w:szCs w:val="17"/>
          <w:color w:val="auto"/>
        </w:rPr>
        <w:t>”) to each Holder not less than ten (10) or more than sixty (60) days prior to each Optional Redemption Date (defined below). Each Optional Redemption Notice shall state:</w:t>
      </w:r>
    </w:p>
    <w:p>
      <w:pPr>
        <w:spacing w:after="0" w:line="185" w:lineRule="exact"/>
        <w:rPr>
          <w:rFonts w:ascii="Arial" w:cs="Arial" w:eastAsia="Arial" w:hAnsi="Arial"/>
          <w:sz w:val="17"/>
          <w:szCs w:val="17"/>
          <w:b w:val="1"/>
          <w:bCs w:val="1"/>
          <w:color w:val="auto"/>
        </w:rPr>
      </w:pPr>
    </w:p>
    <w:p>
      <w:pPr>
        <w:ind w:firstLine="1628"/>
        <w:spacing w:after="0" w:line="277" w:lineRule="auto"/>
        <w:tabs>
          <w:tab w:leader="none" w:pos="183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number of Series A-1 Preferred Units held by such Holders that the Company shall redeem on the Optional Redemption Date specified in the Optional Redemption Notice;</w:t>
      </w:r>
    </w:p>
    <w:p>
      <w:pPr>
        <w:spacing w:after="0" w:line="170" w:lineRule="exact"/>
        <w:rPr>
          <w:rFonts w:ascii="Arial" w:cs="Arial" w:eastAsia="Arial" w:hAnsi="Arial"/>
          <w:sz w:val="18"/>
          <w:szCs w:val="18"/>
          <w:color w:val="auto"/>
        </w:rPr>
      </w:pPr>
    </w:p>
    <w:p>
      <w:pPr>
        <w:ind w:left="1900" w:hanging="272"/>
        <w:spacing w:after="0"/>
        <w:tabs>
          <w:tab w:leader="none" w:pos="19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Optional Redemption Date and the Redemption Price; and</w:t>
      </w:r>
    </w:p>
    <w:p>
      <w:pPr>
        <w:spacing w:after="0" w:line="225" w:lineRule="exact"/>
        <w:rPr>
          <w:rFonts w:ascii="Arial" w:cs="Arial" w:eastAsia="Arial" w:hAnsi="Arial"/>
          <w:sz w:val="18"/>
          <w:szCs w:val="18"/>
          <w:color w:val="auto"/>
        </w:rPr>
      </w:pPr>
    </w:p>
    <w:p>
      <w:pPr>
        <w:ind w:firstLine="1628"/>
        <w:spacing w:after="0" w:line="342" w:lineRule="auto"/>
        <w:tabs>
          <w:tab w:leader="none" w:pos="194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to the extent such Holder holds its Series A-1 Preferred Units in certificated form, the certificate or certificates representing the Series A-1 Preferred Units to be redeemed which will be surrendered to the Company in the manner and at the place designated by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date of each such redemption provided in the Optional Redemption Notice shall be referred to as an “</w:t>
      </w:r>
      <w:r>
        <w:rPr>
          <w:rFonts w:ascii="Arial" w:cs="Arial" w:eastAsia="Arial" w:hAnsi="Arial"/>
          <w:sz w:val="18"/>
          <w:szCs w:val="18"/>
          <w:i w:val="1"/>
          <w:iCs w:val="1"/>
          <w:color w:val="auto"/>
        </w:rPr>
        <w:t>Optional Redemption Date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656"/>
        <w:spacing w:after="0" w:line="284" w:lineRule="auto"/>
        <w:tabs>
          <w:tab w:leader="none" w:pos="920"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Mandatory Redemption</w:t>
      </w:r>
      <w:r>
        <w:rPr>
          <w:rFonts w:ascii="Arial" w:cs="Arial" w:eastAsia="Arial" w:hAnsi="Arial"/>
          <w:sz w:val="16"/>
          <w:szCs w:val="16"/>
          <w:color w:val="auto"/>
        </w:rPr>
        <w:t>. If at any time a Holder delivers written notice to the Company requesting redemption (in whole or in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A-1 Preferred Units held by such Holder (each, a “</w:t>
      </w:r>
      <w:r>
        <w:rPr>
          <w:rFonts w:ascii="Arial" w:cs="Arial" w:eastAsia="Arial" w:hAnsi="Arial"/>
          <w:sz w:val="16"/>
          <w:szCs w:val="16"/>
          <w:i w:val="1"/>
          <w:iCs w:val="1"/>
          <w:color w:val="auto"/>
        </w:rPr>
        <w:t>Mandatory Redemption Request</w:t>
      </w:r>
      <w:r>
        <w:rPr>
          <w:rFonts w:ascii="Arial" w:cs="Arial" w:eastAsia="Arial" w:hAnsi="Arial"/>
          <w:sz w:val="16"/>
          <w:szCs w:val="16"/>
          <w:color w:val="auto"/>
        </w:rPr>
        <w:t>”) either (i) in connection with a Change of Control or (ii) at any time on or after the later to occur of (A) the four (4) year anniversary of the Exchange Date (the “</w:t>
      </w:r>
      <w:r>
        <w:rPr>
          <w:rFonts w:ascii="Arial" w:cs="Arial" w:eastAsia="Arial" w:hAnsi="Arial"/>
          <w:sz w:val="16"/>
          <w:szCs w:val="16"/>
          <w:i w:val="1"/>
          <w:iCs w:val="1"/>
          <w:color w:val="auto"/>
        </w:rPr>
        <w:t>4-Year Anniversary Date</w:t>
      </w:r>
      <w:r>
        <w:rPr>
          <w:rFonts w:ascii="Arial" w:cs="Arial" w:eastAsia="Arial" w:hAnsi="Arial"/>
          <w:sz w:val="16"/>
          <w:szCs w:val="16"/>
          <w:color w:val="auto"/>
        </w:rPr>
        <w:t>”) and (B) if any Series A Preferred Units are issued under the NextEra Subscription Agreement, thirty (30) days following the “4-Year Anniversary Date” of the Series A Preferred Units (as provided in the Certificate of Designations of the Series A Preferred Units contemplated by the NextEra Subscription Agreement) (the “</w:t>
      </w:r>
      <w:r>
        <w:rPr>
          <w:rFonts w:ascii="Arial" w:cs="Arial" w:eastAsia="Arial" w:hAnsi="Arial"/>
          <w:sz w:val="16"/>
          <w:szCs w:val="16"/>
          <w:i w:val="1"/>
          <w:iCs w:val="1"/>
          <w:color w:val="auto"/>
        </w:rPr>
        <w:t>Series A</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 Date</w:t>
      </w:r>
      <w:r>
        <w:rPr>
          <w:rFonts w:ascii="Arial" w:cs="Arial" w:eastAsia="Arial" w:hAnsi="Arial"/>
          <w:sz w:val="16"/>
          <w:szCs w:val="16"/>
          <w:color w:val="auto"/>
        </w:rPr>
        <w:t>”), then the Company shall redeem, to the fullest extent permitted by applicable law (subject to the next sentence), on the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Redemption Date (defined below), at the Redemption Price per Series A-1 Preferred Unit, the number of Series A-1 Preferred Units requested by the Holder to be redeemed in the Mandatory Redemption Request. In connection with the foregoing, the Company shall apply all of its assets to any such redemption, and to no other corporate or other purpose, except to the extent prohibited by Delaware law governing distributions to unitholders or as restricted by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In connection with a Change of Control, the Company shall provide written notice (a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color w:val="auto"/>
        </w:rPr>
        <w:t>”) to Holders at least fifteen (15) Business Days prior to the anticipated date of consummation of the Change of Control (such anticipated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Closing Date</w:t>
      </w:r>
      <w:r>
        <w:rPr>
          <w:rFonts w:ascii="Arial" w:cs="Arial" w:eastAsia="Arial" w:hAnsi="Arial"/>
          <w:sz w:val="16"/>
          <w:szCs w:val="16"/>
          <w:color w:val="auto"/>
        </w:rPr>
        <w:t>”) stating, (i) the Closing Date, (ii) that Holders may elect to have all, or a portion of, their Series A-1 Preferred Units redeemed upon the consummation of the Change of Control by delivering to the Company a Mandatory Redemption Request no later than the later of (A) seven (7) Business Days following receipt of the Change of Control Notice or (B) twenty (20) Business Days prior to the Closing Date specified in the written notice, (iii) the Redemption Price, and (iv) for Holders which hold Series A-1 Preferred Units in certificated form, if any, the certificate or certificates representing the Series A-1 Preferred Units to be redeemed which will be surrendered to the Company in the manner and at the place designated by the Company. In the case of a Mandatory Redemption Request other than in connection with a Change of Control, within thirty (30) days after receipt of the Mandatory Redemption Request, the Company shall send to the Holder making such Mandatory Redemption Request a written confirmation notice (the “</w:t>
      </w:r>
      <w:r>
        <w:rPr>
          <w:rFonts w:ascii="Arial" w:cs="Arial" w:eastAsia="Arial" w:hAnsi="Arial"/>
          <w:sz w:val="16"/>
          <w:szCs w:val="16"/>
          <w:i w:val="1"/>
          <w:iCs w:val="1"/>
          <w:color w:val="auto"/>
        </w:rPr>
        <w:t>Confirmation</w:t>
      </w:r>
      <w:r>
        <w:rPr>
          <w:rFonts w:ascii="Arial" w:cs="Arial" w:eastAsia="Arial" w:hAnsi="Arial"/>
          <w:sz w:val="16"/>
          <w:szCs w:val="16"/>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color w:val="auto"/>
        </w:rPr>
        <w:t>”) stating, (i) the Mandatory Redemption Date applicable to such Mandatory Redemption Request, (ii) the Redemption Price and (iii) for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which hold Series A-1 Preferred Units in certificated form, if any, the certificate or certificates representing the Series A-1 Preferred Units to be redeemed which will be surrendered to the Company in the manner and at the place designated by the Company. “</w:t>
      </w:r>
      <w:r>
        <w:rPr>
          <w:rFonts w:ascii="Arial" w:cs="Arial" w:eastAsia="Arial" w:hAnsi="Arial"/>
          <w:sz w:val="16"/>
          <w:szCs w:val="16"/>
          <w:i w:val="1"/>
          <w:iCs w:val="1"/>
          <w:color w:val="auto"/>
        </w:rPr>
        <w:t>Mandatory Redemption Date</w:t>
      </w:r>
      <w:r>
        <w:rPr>
          <w:rFonts w:ascii="Arial" w:cs="Arial" w:eastAsia="Arial" w:hAnsi="Arial"/>
          <w:sz w:val="16"/>
          <w:szCs w:val="16"/>
          <w:color w:val="auto"/>
        </w:rPr>
        <w:t xml:space="preserve">” means (i) in the case of a Change of Control, the date of consummation of such Change of Control and (ii) in the case of a redemption of Series A-1 Preferred Units any time on or after the Series A Redemption Date (if applicable), no later than 90 days after the Company’s receipt of the Mandatory Redemption Request in respect of such Series A-1 Preferred Units (but in no event prior to the Series A Redemption Date). If on any Mandatory Redemption Date, Delaware law governing distributions to Members does not permit the Company to redeem all Series A-1 Preferred Units to be redeemed, the Company shall ratably redeem the maximum number of Series A-1 Preferred Units that it may redeem consistent with such law, and shall redeem the remaining Series A-1 Preferred Units as soon as it may lawfully do so under such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applicable Mandatory Redemption Request relates to the consummation of a Change of Control, the Company shall not permit the consummation of such Change of Control to occur unless and until all Series A-1 Preferred Units requested by the Holder to be redeemed in the Mandatory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Redemption Request are redeemed.</w:t>
      </w:r>
    </w:p>
    <w:p>
      <w:pPr>
        <w:spacing w:after="0" w:line="221" w:lineRule="exact"/>
        <w:rPr>
          <w:sz w:val="20"/>
          <w:szCs w:val="20"/>
          <w:color w:val="auto"/>
        </w:rPr>
      </w:pPr>
    </w:p>
    <w:p>
      <w:pPr>
        <w:jc w:val="both"/>
        <w:ind w:firstLine="656"/>
        <w:spacing w:after="0" w:line="271" w:lineRule="auto"/>
        <w:tabs>
          <w:tab w:leader="none" w:pos="920"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Surrender of Certificates</w:t>
      </w:r>
      <w:r>
        <w:rPr>
          <w:rFonts w:ascii="Arial" w:cs="Arial" w:eastAsia="Arial" w:hAnsi="Arial"/>
          <w:sz w:val="17"/>
          <w:szCs w:val="17"/>
          <w:color w:val="auto"/>
        </w:rPr>
        <w:t>. On or before the applicable Optional Redemption Date or Mandatory Redemption Date (each a “</w:t>
      </w:r>
      <w:r>
        <w:rPr>
          <w:rFonts w:ascii="Arial" w:cs="Arial" w:eastAsia="Arial" w:hAnsi="Arial"/>
          <w:sz w:val="17"/>
          <w:szCs w:val="17"/>
          <w:i w:val="1"/>
          <w:iCs w:val="1"/>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Date</w:t>
      </w:r>
      <w:r>
        <w:rPr>
          <w:rFonts w:ascii="Arial" w:cs="Arial" w:eastAsia="Arial" w:hAnsi="Arial"/>
          <w:sz w:val="17"/>
          <w:szCs w:val="17"/>
          <w:color w:val="auto"/>
        </w:rPr>
        <w:t>”), each Holder of Series A-1 Preferred Units to be redeemed on such Redemption Date, shall, if a Holder holds Series A-1 Preferred Units in</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certificated form, surrender the certificate or certificates representing such units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in the manner and at the place designated in the Optional Redemption Notice, Change of Control Notice or Confirmation Notice, as applicable, and thereupon the Redemption Price for such units shall be payable to the order of the person whose name appears on such certificate or certificates as the owner thereof. In the event less than all of the Series A-1 Preferred Units represented by a certificate are redeemed, a new certificate, instrument, or book entry representing the unredeemed Series A-1 Preferred Units shall promptly be issued to such Holder.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both"/>
        <w:ind w:firstLine="656"/>
        <w:spacing w:after="0" w:line="272" w:lineRule="auto"/>
        <w:tabs>
          <w:tab w:leader="none" w:pos="935"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Mandatory Redemption Delay</w:t>
      </w:r>
      <w:r>
        <w:rPr>
          <w:rFonts w:ascii="Arial" w:cs="Arial" w:eastAsia="Arial" w:hAnsi="Arial"/>
          <w:sz w:val="17"/>
          <w:szCs w:val="17"/>
          <w:color w:val="auto"/>
        </w:rPr>
        <w:t>. If any Series A-1 Preferred Units subject to a Mandatory Redemption Request are not redeemed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Mandatory Redemption Date for any reason (such date, a “</w:t>
      </w:r>
      <w:r>
        <w:rPr>
          <w:rFonts w:ascii="Arial" w:cs="Arial" w:eastAsia="Arial" w:hAnsi="Arial"/>
          <w:sz w:val="17"/>
          <w:szCs w:val="17"/>
          <w:i w:val="1"/>
          <w:iCs w:val="1"/>
          <w:color w:val="auto"/>
        </w:rPr>
        <w:t>Delayed Redemption Date</w:t>
      </w:r>
      <w:r>
        <w:rPr>
          <w:rFonts w:ascii="Arial" w:cs="Arial" w:eastAsia="Arial" w:hAnsi="Arial"/>
          <w:sz w:val="17"/>
          <w:szCs w:val="17"/>
          <w:color w:val="auto"/>
        </w:rPr>
        <w:t>” and such failure to timely redeem, a “</w:t>
      </w:r>
      <w:r>
        <w:rPr>
          <w:rFonts w:ascii="Arial" w:cs="Arial" w:eastAsia="Arial" w:hAnsi="Arial"/>
          <w:sz w:val="17"/>
          <w:szCs w:val="17"/>
          <w:i w:val="1"/>
          <w:iCs w:val="1"/>
          <w:color w:val="auto"/>
        </w:rPr>
        <w:t>Delayed</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w:t>
      </w:r>
      <w:r>
        <w:rPr>
          <w:rFonts w:ascii="Arial" w:cs="Arial" w:eastAsia="Arial" w:hAnsi="Arial"/>
          <w:sz w:val="17"/>
          <w:szCs w:val="17"/>
          <w:color w:val="auto"/>
        </w:rPr>
        <w:t>”), all such unredeemed Series A-1 Preferred Units shall remain outstanding and entitled to all the rights and preferences provided herein.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for so long as such Mandatory Redemption Request remains unsatisfied, the Holder(s) of such unredeemed Series A-1 Preferred Units (a “</w:t>
      </w:r>
      <w:r>
        <w:rPr>
          <w:rFonts w:ascii="Arial" w:cs="Arial" w:eastAsia="Arial" w:hAnsi="Arial"/>
          <w:sz w:val="17"/>
          <w:szCs w:val="17"/>
          <w:i w:val="1"/>
          <w:iCs w:val="1"/>
          <w:color w:val="auto"/>
        </w:rPr>
        <w:t>Delayed Redemption Holder</w:t>
      </w:r>
      <w:r>
        <w:rPr>
          <w:rFonts w:ascii="Arial" w:cs="Arial" w:eastAsia="Arial" w:hAnsi="Arial"/>
          <w:sz w:val="17"/>
          <w:szCs w:val="17"/>
          <w:color w:val="auto"/>
        </w:rPr>
        <w:t>” and such unredeemed Series A-1 Preferred Units, for so long as such Series A-1 Preferred Units have not been redeemed or converted to Common Units, being referred to as “</w:t>
      </w:r>
      <w:r>
        <w:rPr>
          <w:rFonts w:ascii="Arial" w:cs="Arial" w:eastAsia="Arial" w:hAnsi="Arial"/>
          <w:sz w:val="17"/>
          <w:szCs w:val="17"/>
          <w:i w:val="1"/>
          <w:iCs w:val="1"/>
          <w:color w:val="auto"/>
        </w:rPr>
        <w:t>Delayed Redemption Units</w:t>
      </w:r>
      <w:r>
        <w:rPr>
          <w:rFonts w:ascii="Arial" w:cs="Arial" w:eastAsia="Arial" w:hAnsi="Arial"/>
          <w:sz w:val="17"/>
          <w:szCs w:val="17"/>
          <w:color w:val="auto"/>
        </w:rPr>
        <w:t>”) shall have the following rights and remedies (which shall constitute such Holder(s)’(s) sole rights and remedies with respect to such unredeemed Series A-1 Preferred Units in circumstances in which the Company is not permitted by applicable law to satisfy such Mandatory Redemption Request in full:</w:t>
      </w:r>
    </w:p>
    <w:p>
      <w:pPr>
        <w:spacing w:after="0" w:line="175" w:lineRule="exact"/>
        <w:rPr>
          <w:rFonts w:ascii="Arial" w:cs="Arial" w:eastAsia="Arial" w:hAnsi="Arial"/>
          <w:sz w:val="17"/>
          <w:szCs w:val="17"/>
          <w:b w:val="1"/>
          <w:bCs w:val="1"/>
          <w:color w:val="auto"/>
        </w:rPr>
      </w:pPr>
    </w:p>
    <w:p>
      <w:pPr>
        <w:jc w:val="both"/>
        <w:ind w:firstLine="1628"/>
        <w:spacing w:after="0" w:line="283" w:lineRule="auto"/>
        <w:tabs>
          <w:tab w:leader="none" w:pos="183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Until the satisfaction of such Mandatory Redemption Request in full, the Delayed Redemption Holder may elect to convert all, or a portion of, its Delayed Redemption Units into a number of Common Units equal to (i) the number of Delayed Redemption Units the Delayed Redemption Holder elects to convert into Common Units multiplied by a fraction (x) the numerator of which is the Base Amount for the Delayed Redemption Units, and (y) the denominator of which is the then-applicable Conversion Price. In order for a Delayed Redemption Holder to convert Delayed Redemption Units into Common Units, such Holder shall (a) provide written notice (a “</w:t>
      </w:r>
      <w:r>
        <w:rPr>
          <w:rFonts w:ascii="Arial" w:cs="Arial" w:eastAsia="Arial" w:hAnsi="Arial"/>
          <w:sz w:val="16"/>
          <w:szCs w:val="16"/>
          <w:i w:val="1"/>
          <w:iCs w:val="1"/>
          <w:color w:val="auto"/>
        </w:rPr>
        <w:t>Conversion Election Notice</w:t>
      </w:r>
      <w:r>
        <w:rPr>
          <w:rFonts w:ascii="Arial" w:cs="Arial" w:eastAsia="Arial" w:hAnsi="Arial"/>
          <w:sz w:val="16"/>
          <w:szCs w:val="16"/>
          <w:color w:val="auto"/>
        </w:rPr>
        <w:t>”) to the Company’s transfer agent at the office of the transfer agent for the Series A-1 Preferred Units (or to the Company, pursuant to the notice requirements set forth in the Operating Agreement, if the Company serves as its own transfer agent) that such Holder elects to convert all or any number of such Holder’s Delayed Redemption Units and (b), if such Holder’s shares are certificated, surrender the certificate or certificates for such Delayed Redemption Units (or, if such Delayed Redemption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Series A-1 Preferred Units (or to the Company, pursuant to the notice requirements set forth in the Operating Agreement, if the Company serves as its own transfer agent). Such notice shall state such Holder’s name or the names of the nominees in which such Holder wishes the Common Units to be issued.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The close of business on the date of receipt by the transfer agent (or by the Company if the Company serves as its own transfer agent) of such notice and, if applicable, certificates (or lost certificate affidavit and agreement) shall be the time of conversion (the “</w:t>
      </w:r>
      <w:r>
        <w:rPr>
          <w:rFonts w:ascii="Arial" w:cs="Arial" w:eastAsia="Arial" w:hAnsi="Arial"/>
          <w:sz w:val="16"/>
          <w:szCs w:val="16"/>
          <w:i w:val="1"/>
          <w:iCs w:val="1"/>
          <w:color w:val="auto"/>
        </w:rPr>
        <w:t>Conversion Time</w:t>
      </w:r>
      <w:r>
        <w:rPr>
          <w:rFonts w:ascii="Arial" w:cs="Arial" w:eastAsia="Arial" w:hAnsi="Arial"/>
          <w:sz w:val="16"/>
          <w:szCs w:val="16"/>
          <w:color w:val="auto"/>
        </w:rPr>
        <w:t xml:space="preserve">”), and the Common Units issuable upon conversion of the Delayed Redemption Units shall be deemed to be outstanding of record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the Common Unit Price used in calculating the Conversion Price is determined pursuant to </w:t>
      </w:r>
      <w:r>
        <w:rPr>
          <w:rFonts w:ascii="Arial" w:cs="Arial" w:eastAsia="Arial" w:hAnsi="Arial"/>
          <w:sz w:val="16"/>
          <w:szCs w:val="16"/>
          <w:u w:val="single" w:color="auto"/>
          <w:color w:val="auto"/>
        </w:rPr>
        <w:t>paragraph (iii)</w:t>
      </w:r>
      <w:r>
        <w:rPr>
          <w:rFonts w:ascii="Arial" w:cs="Arial" w:eastAsia="Arial" w:hAnsi="Arial"/>
          <w:sz w:val="16"/>
          <w:szCs w:val="16"/>
          <w:color w:val="auto"/>
        </w:rPr>
        <w:t xml:space="preserve"> of the definition of “Common Unit Price,” the Conversion Time shall be deferred until such time as the Common Unit Price is finally determined as set forth in said </w:t>
      </w:r>
      <w:r>
        <w:rPr>
          <w:rFonts w:ascii="Arial" w:cs="Arial" w:eastAsia="Arial" w:hAnsi="Arial"/>
          <w:sz w:val="16"/>
          <w:szCs w:val="16"/>
          <w:u w:val="single" w:color="auto"/>
          <w:color w:val="auto"/>
        </w:rPr>
        <w:t>paragraph (iii</w:t>
      </w:r>
      <w:r>
        <w:rPr>
          <w:rFonts w:ascii="Arial" w:cs="Arial" w:eastAsia="Arial" w:hAnsi="Arial"/>
          <w:sz w:val="16"/>
          <w:szCs w:val="16"/>
          <w:color w:val="auto"/>
        </w:rPr>
        <w:t xml:space="preserve">) of the definition of “Common Unit Price.” Notwithstanding the foregoing, any election by a Delayed Redemption Holder to convert any Delayed Redemption Units into Common Units pursuant to this </w:t>
      </w:r>
      <w:r>
        <w:rPr>
          <w:rFonts w:ascii="Arial" w:cs="Arial" w:eastAsia="Arial" w:hAnsi="Arial"/>
          <w:sz w:val="16"/>
          <w:szCs w:val="16"/>
          <w:u w:val="single" w:color="auto"/>
          <w:color w:val="auto"/>
        </w:rPr>
        <w:t>Section 6(d)(i)</w:t>
      </w:r>
      <w:r>
        <w:rPr>
          <w:rFonts w:ascii="Arial" w:cs="Arial" w:eastAsia="Arial" w:hAnsi="Arial"/>
          <w:sz w:val="16"/>
          <w:szCs w:val="16"/>
          <w:color w:val="auto"/>
        </w:rPr>
        <w:t xml:space="preserve"> shall (A) be for no less than the lesser of (1) Delayed Redemption Units with an aggregate Base Amount equal to or greater than $5 million and (2) all of the Delayed Redemption Units held by the Delayed Redemption Holder and (B) shall occur no more frequently than once per rolling three month-period. For the avoidance of doubt, any Common Units issued upon conversion of any Delayed Redemption Units shall be coupled with an equal number of Paired Voting Shares issued to the Delayed Redemption Holder to the extent Holders of Common Units were issued any Paired Voting Shares in conjunction with an IPO, Business Combination or other transaction. With respect to any Exchange Rights in respect of the Common Units into which the Delayed Redemption Units may be converted, such Exchange Rights shall afford the Delayed Redemption Holder only the right to receive Pubco Common Shares entitling the holder thereof to a single vote per Pubco Common Share in respect of those matters for which holders of the Reporting Company Affiliate’s voting shares are entitled to vote, notwithstanding that other holders of Common Units may receive pursuant to the IPO or Business Combination Exchange Rights entitling the holder thereof to receive upon exchange or conversion of their Common Units Pubco Common Shares entitling the holder thereof to more than one vote per Pubco Common Share in respect of those matters for which holders of the Reporting Company Affiliate’s voting shares are entitled to vote.</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firstLine="1628"/>
        <w:spacing w:after="0" w:line="286" w:lineRule="auto"/>
        <w:tabs>
          <w:tab w:leader="none" w:pos="1923"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Until such time as all Delayed Redemption Units are redeemed or converted to Common Units, the dividend rate on all outstanding Series A-1 Preferred Units (as provided in </w:t>
      </w:r>
      <w:r>
        <w:rPr>
          <w:rFonts w:ascii="Arial" w:cs="Arial" w:eastAsia="Arial" w:hAnsi="Arial"/>
          <w:sz w:val="16"/>
          <w:szCs w:val="16"/>
          <w:u w:val="single" w:color="auto"/>
          <w:color w:val="auto"/>
        </w:rPr>
        <w:t>Section 4(a)</w:t>
      </w:r>
      <w:r>
        <w:rPr>
          <w:rFonts w:ascii="Arial" w:cs="Arial" w:eastAsia="Arial" w:hAnsi="Arial"/>
          <w:sz w:val="16"/>
          <w:szCs w:val="16"/>
          <w:color w:val="auto"/>
        </w:rPr>
        <w:t>, as further adjusted by Section 4</w:t>
      </w:r>
      <w:r>
        <w:rPr>
          <w:rFonts w:ascii="Arial" w:cs="Arial" w:eastAsia="Arial" w:hAnsi="Arial"/>
          <w:sz w:val="16"/>
          <w:szCs w:val="16"/>
          <w:u w:val="single" w:color="auto"/>
          <w:color w:val="auto"/>
        </w:rPr>
        <w:t>(d)</w:t>
      </w:r>
      <w:r>
        <w:rPr>
          <w:rFonts w:ascii="Arial" w:cs="Arial" w:eastAsia="Arial" w:hAnsi="Arial"/>
          <w:sz w:val="16"/>
          <w:szCs w:val="16"/>
          <w:color w:val="auto"/>
        </w:rPr>
        <w:t>) shall (i) be increased to twelve percent (12%) per annum of the Base Amount (or, if the current dividend rate is already at or higher than twelve percent (12%) per annum pursuant to Section 4(e), be left at such rate), commencing on the Delayed Redemption Date, and (ii) be further increased in increments of two percent (2%) per annum of the Base Amount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with the first such increment commencing on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anniversary of the Delayed Redemption Date and each additional increment commencing following the conclusion of each succeeding ninety (90) day period thereafter (subject to a total dividend rate cap of twenty percent (20%) per annum of the Base Amount).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firstLine="656"/>
        <w:spacing w:after="0" w:line="256" w:lineRule="auto"/>
        <w:tabs>
          <w:tab w:leader="none" w:pos="899"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Paying Agent</w:t>
      </w:r>
      <w:r>
        <w:rPr>
          <w:rFonts w:ascii="Arial" w:cs="Arial" w:eastAsia="Arial" w:hAnsi="Arial"/>
          <w:sz w:val="18"/>
          <w:szCs w:val="18"/>
          <w:color w:val="auto"/>
        </w:rPr>
        <w:t>. If on the applicable Redemption Date the Redemption Price payable upon redemption of the Series A-1 Preferred Units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redeemed on such Redemption Date is paid or tendered for payment or deposited with an independent payment agent so as to be available therefor in a timely manner, then notwithstanding that any certificates evidencing any of the Series A-1 Preferred Units so called for redemption shall not have been surrendered, dividends with respect to such Series A-1 Preferred Units shall cease to accrue after such Redemption Date and all rights with respect to such Series A-1 Preferred Units shall forthwith after the Redemption Date terminate, except only the right of the Holders to receive the Redemption Price without interest upon surrender of any such certificate or certificates therefor.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Reserved.</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Section 8. Preemption and Conversion</w:t>
      </w:r>
      <w:r>
        <w:rPr>
          <w:rFonts w:ascii="Arial" w:cs="Arial" w:eastAsia="Arial" w:hAnsi="Arial"/>
          <w:sz w:val="16"/>
          <w:szCs w:val="16"/>
          <w:color w:val="auto"/>
        </w:rPr>
        <w:t>. Except pursuant to the terms and conditions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6(d)(i)</w:t>
      </w:r>
      <w:r>
        <w:rPr>
          <w:rFonts w:ascii="Arial" w:cs="Arial" w:eastAsia="Arial" w:hAnsi="Arial"/>
          <w:sz w:val="16"/>
          <w:szCs w:val="16"/>
          <w:b w:val="1"/>
          <w:bCs w:val="1"/>
          <w:color w:val="auto"/>
        </w:rPr>
        <w:t xml:space="preserve"> </w:t>
      </w:r>
      <w:r>
        <w:rPr>
          <w:rFonts w:ascii="Arial" w:cs="Arial" w:eastAsia="Arial" w:hAnsi="Arial"/>
          <w:sz w:val="16"/>
          <w:szCs w:val="16"/>
          <w:color w:val="auto"/>
        </w:rPr>
        <w:t>above with regard to conversion,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shall not have any rights of preemption or rights to convert such Series A-1 Preferred Units into units of any other class or series of the Company.</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9. Issuance of Junior Units</w:t>
      </w:r>
      <w:r>
        <w:rPr>
          <w:rFonts w:ascii="Arial" w:cs="Arial" w:eastAsia="Arial" w:hAnsi="Arial"/>
          <w:sz w:val="18"/>
          <w:szCs w:val="18"/>
          <w:color w:val="auto"/>
        </w:rPr>
        <w:t>. Notwithstanding anything set forth in the Operating Agreement or this Certificate of Designations to the contrary,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Managers or any authorized committee of the Board of Managers, without the vote of the Holders, may authorize and issue additional Common Units or create or issue any other Junior Units.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10. Repurchase</w:t>
      </w:r>
      <w:r>
        <w:rPr>
          <w:rFonts w:ascii="Arial" w:cs="Arial" w:eastAsia="Arial" w:hAnsi="Arial"/>
          <w:sz w:val="18"/>
          <w:szCs w:val="18"/>
          <w:color w:val="auto"/>
        </w:rPr>
        <w:t>. Subject to the limitations imposed herein, the Company may purchase Series A-1 Preferred Units from time to time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extent, in such manner, and upon such terms as the Board of Managers or any duly authorized committee of the Board of Managers may determine;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use any of its assets for any such purchase when there are reasonable grounds to believe that such purchase is not permitted by applicable law.</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11. Tax Receivable Agreement</w:t>
      </w:r>
      <w:r>
        <w:rPr>
          <w:rFonts w:ascii="Arial" w:cs="Arial" w:eastAsia="Arial" w:hAnsi="Arial"/>
          <w:sz w:val="18"/>
          <w:szCs w:val="18"/>
          <w:color w:val="auto"/>
        </w:rPr>
        <w:t>. In the event that (i) the Company is involved in a Business Combination pursuant to which any unitholders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be offered the ability to enter into tax receivable agreement and (ii) any Series A-1 Preferred Units are converted into Common Units pursuant to the terms hereof, the holders of such converted Series A-1 Preferred Units will be offered the right to enter into a tax receivable agreement on the same terms and conditions as such other unitholders.</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Section 12. Subordination</w:t>
      </w:r>
      <w:r>
        <w:rPr>
          <w:rFonts w:ascii="Arial" w:cs="Arial" w:eastAsia="Arial" w:hAnsi="Arial"/>
          <w:sz w:val="16"/>
          <w:szCs w:val="16"/>
          <w:color w:val="auto"/>
        </w:rPr>
        <w:t>. In the event (i) that a court of competent jurisdiction makes a determination or ruling that has the effect of treating the Series</w:t>
      </w:r>
      <w:r>
        <w:rPr>
          <w:rFonts w:ascii="Arial" w:cs="Arial" w:eastAsia="Arial" w:hAnsi="Arial"/>
          <w:sz w:val="16"/>
          <w:szCs w:val="16"/>
          <w:b w:val="1"/>
          <w:bCs w:val="1"/>
          <w:color w:val="auto"/>
        </w:rPr>
        <w:t xml:space="preserve"> </w:t>
      </w:r>
      <w:r>
        <w:rPr>
          <w:rFonts w:ascii="Arial" w:cs="Arial" w:eastAsia="Arial" w:hAnsi="Arial"/>
          <w:sz w:val="16"/>
          <w:szCs w:val="16"/>
          <w:color w:val="auto"/>
        </w:rPr>
        <w:t>A-1 Preferred Units as indebtedness of the Company owing to the holders thereof and not an equity interest in the Company or (ii) if it is requested to be acknowledged by Lenders (as defined below), any and all amounts due for or represented by the Series A-1 Preferred Units are hereby expressly subordinated in right of payment to the prior payment in full of all of the Company’s or its Subsidiaries’ present or future indebtedness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Indebtedness</w:t>
      </w:r>
      <w:r>
        <w:rPr>
          <w:rFonts w:ascii="Arial" w:cs="Arial" w:eastAsia="Arial" w:hAnsi="Arial"/>
          <w:sz w:val="16"/>
          <w:szCs w:val="16"/>
          <w:color w:val="auto"/>
        </w:rPr>
        <w:t>”) owed to banks, insurance companies, lease financing institutions or other lending institutions regularly engaged in the business of lending</w:t>
      </w:r>
      <w:r>
        <w:rPr>
          <w:rFonts w:ascii="Arial" w:cs="Arial" w:eastAsia="Arial" w:hAnsi="Arial"/>
          <w:sz w:val="16"/>
          <w:szCs w:val="16"/>
          <w:i w:val="1"/>
          <w:iCs w:val="1"/>
          <w:color w:val="auto"/>
        </w:rPr>
        <w:t xml:space="preserve"> </w:t>
      </w:r>
      <w:r>
        <w:rPr>
          <w:rFonts w:ascii="Arial" w:cs="Arial" w:eastAsia="Arial" w:hAnsi="Arial"/>
          <w:sz w:val="16"/>
          <w:szCs w:val="16"/>
          <w:color w:val="auto"/>
        </w:rPr>
        <w:t>money (the “</w:t>
      </w:r>
      <w:r>
        <w:rPr>
          <w:rFonts w:ascii="Arial" w:cs="Arial" w:eastAsia="Arial" w:hAnsi="Arial"/>
          <w:sz w:val="16"/>
          <w:szCs w:val="16"/>
          <w:i w:val="1"/>
          <w:iCs w:val="1"/>
          <w:color w:val="auto"/>
        </w:rPr>
        <w:t>Lenders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Holder may continue to receive regularly scheduled dividend payments and redemption payments in accordance with this Certificate of Designations and the Operating Agreement so long as a default or event of default under the Senior Indebtedness has not occurred and is then continuing with respect to such Senior Indebtedness. The Lenders shall be deemed express third-party beneficiaries of this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13. Integration</w:t>
      </w:r>
      <w:r>
        <w:rPr>
          <w:rFonts w:ascii="Arial" w:cs="Arial" w:eastAsia="Arial" w:hAnsi="Arial"/>
          <w:sz w:val="18"/>
          <w:szCs w:val="18"/>
          <w:color w:val="auto"/>
        </w:rPr>
        <w:t>. Each Holder, hereby agrees, by accepting such units, to be bound by the terms and conditions of this Certificate of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Operating Agreement. This Certificate of Designations, the Operating Agreement and the Exchange Agreement constitute the entire understanding between the Company and the Holders as to the subject matter set forth herein and therein, and supersede any prior agreements, commitments or negotiations in respect thereof.</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14. Notices</w:t>
      </w:r>
      <w:r>
        <w:rPr>
          <w:rFonts w:ascii="Arial" w:cs="Arial" w:eastAsia="Arial" w:hAnsi="Arial"/>
          <w:sz w:val="18"/>
          <w:szCs w:val="18"/>
          <w:color w:val="auto"/>
        </w:rPr>
        <w:t>. Unless otherwise specified herein, any notice or communication required to be given pursuant to the terms of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shall be given in accordance with the notice requirements set forth in the Operating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ind w:firstLine="363"/>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Opal Fuels LLC has caused this Certificate of Designations to be executed by its duly authorized officer on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29th</w:t>
      </w:r>
      <w:r>
        <w:rPr>
          <w:rFonts w:ascii="Arial" w:cs="Arial" w:eastAsia="Arial" w:hAnsi="Arial"/>
          <w:sz w:val="18"/>
          <w:szCs w:val="18"/>
          <w:b w:val="1"/>
          <w:bCs w:val="1"/>
          <w:color w:val="auto"/>
        </w:rPr>
        <w:t xml:space="preserve"> </w:t>
      </w:r>
      <w:r>
        <w:rPr>
          <w:rFonts w:ascii="Arial" w:cs="Arial" w:eastAsia="Arial" w:hAnsi="Arial"/>
          <w:sz w:val="18"/>
          <w:szCs w:val="18"/>
          <w:color w:val="auto"/>
        </w:rPr>
        <w:t>day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w:t>
      </w:r>
      <w:r>
        <w:rPr>
          <w:rFonts w:ascii="Arial" w:cs="Arial" w:eastAsia="Arial" w:hAnsi="Arial"/>
          <w:sz w:val="18"/>
          <w:szCs w:val="18"/>
          <w:u w:val="single" w:color="auto"/>
          <w:color w:val="auto"/>
        </w:rPr>
        <w:t>November</w:t>
      </w:r>
      <w:r>
        <w:rPr>
          <w:rFonts w:ascii="Arial" w:cs="Arial" w:eastAsia="Arial" w:hAnsi="Arial"/>
          <w:sz w:val="18"/>
          <w:szCs w:val="18"/>
          <w:color w:val="auto"/>
        </w:rPr>
        <w:t>, 2021.</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OPAL FUELS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Jonathan Maurer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Co-CEO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148590</wp:posOffset>
            </wp:positionV>
            <wp:extent cx="1945640" cy="5575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19456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July 27,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 Commissioners: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read the statements made by OPAL Fuels Inc. (formerly ArcLight Clean Transition Corp. II), under Item 4.01 of its Form 8-K filed July 27, 2022. We agree with the statements concerning our Firm under Item 4.01, in which we were informed of our dismissal on July 27, 2022, effective following completion of the review of the Company’s unaudited financial statements as of and for the three and six months ended June 30, 2022 and related notes. We are not in a position to agree or disagree with other statements of OPAL Fuels Inc. (formerly ArcLight Clean Transition Corp. II) contained therein.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65935" cy="4114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17659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151765</wp:posOffset>
            </wp:positionV>
            <wp:extent cx="5434965" cy="9175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5434965" cy="91757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b w:val="1"/>
          <w:bCs w:val="1"/>
          <w:color w:val="auto"/>
        </w:rPr>
        <w:t>Exhibit 21.1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6840" w:type="dxa"/>
            <w:vAlign w:val="bottom"/>
            <w:gridSpan w:val="4"/>
          </w:tcPr>
          <w:p>
            <w:pPr>
              <w:spacing w:after="0"/>
              <w:rPr>
                <w:sz w:val="20"/>
                <w:szCs w:val="20"/>
                <w:color w:val="auto"/>
              </w:rPr>
            </w:pPr>
            <w:r>
              <w:rPr>
                <w:rFonts w:ascii="Arial" w:cs="Arial" w:eastAsia="Arial" w:hAnsi="Arial"/>
                <w:sz w:val="18"/>
                <w:szCs w:val="18"/>
                <w:b w:val="1"/>
                <w:bCs w:val="1"/>
                <w:color w:val="auto"/>
              </w:rPr>
              <w:t>Subsidiaries of OPAL Fuels Inc.</w:t>
            </w:r>
          </w:p>
        </w:tc>
      </w:tr>
      <w:tr>
        <w:trPr>
          <w:trHeight w:val="434"/>
        </w:trPr>
        <w:tc>
          <w:tcPr>
            <w:tcW w:w="440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 or</w:t>
            </w:r>
          </w:p>
        </w:tc>
      </w:tr>
      <w:tr>
        <w:trPr>
          <w:trHeight w:val="24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Entity Name</w:t>
            </w:r>
          </w:p>
        </w:tc>
        <w:tc>
          <w:tcPr>
            <w:tcW w:w="2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OPAL Fuels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Fortistar Services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Fortistar Methane 3 Holdings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Fortistar Methane 3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Albany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Arbor Hills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C&amp;C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CMS Charlotte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Concord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Concord Energy Operator #1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Concord Energy Operator #2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Miramar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MM Lopez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MM Prima Deshecha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MM Prince William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MM San Diego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MM Tajiguas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MM Taunton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MM West Covina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NEO Albany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NEO Lopez Canyon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NEO Prima Deshecha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NEO Prince William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NEO San Diego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NEO Tajiguas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NEO Taunton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NEO West Covina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North City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Pioneer Crossing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Port Charlotte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Prince William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Richmond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San Marcos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Santa Cruz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Sunset Farms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San Bernardino Landfill Gas Partnership, L.P.</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NM Mid Valley Genco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Fortistar Methane 4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Pine Bend Energy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Pioneer Energy Holdings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Sycamore Energy 1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Sycamore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Sycamore Energy 2 LLC</w:t>
            </w:r>
          </w:p>
        </w:tc>
        <w:tc>
          <w:tcPr>
            <w:tcW w:w="2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Vienna Junction Energy LLC</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9"/>
        </w:trPr>
        <w:tc>
          <w:tcPr>
            <w:tcW w:w="4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227" w:name="page228"/>
    <w:bookmarkEnd w:id="2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 or</w:t>
            </w:r>
          </w:p>
        </w:tc>
      </w:tr>
      <w:tr>
        <w:trPr>
          <w:trHeight w:val="24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43"/>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Lyon Energy LLC</w:t>
            </w:r>
          </w:p>
        </w:tc>
        <w:tc>
          <w:tcPr>
            <w:tcW w:w="100" w:type="dxa"/>
            <w:vAlign w:val="bottom"/>
            <w:tcBorders>
              <w:top w:val="single" w:sz="8" w:color="CCEEFF"/>
            </w:tcBorders>
            <w:shd w:val="clear" w:color="auto" w:fill="CCEEFF"/>
          </w:tcPr>
          <w:p>
            <w:pPr>
              <w:spacing w:after="0"/>
              <w:rPr>
                <w:sz w:val="21"/>
                <w:szCs w:val="21"/>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Coyote Canyon Energy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 Bridgewater Energy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Gas Recovery Systems, LLC</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City Energy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Minnesota Methane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OPAL Contracting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OPAL RNG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 RNG Holdings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CV RNG HoldCo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 Valley RNG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VS Digester, LLC</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MD Digester,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California</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DB Digester, LLC</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Arbor Hills RNG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Fall River RNG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CMS Concord RNG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Noble Road HoldCo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 Road RNG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New River HoldCo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River RNG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Prince William RNG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Pine Bend HoldCo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Pine Bend RNG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Reynolds RNG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Sunoma HoldCo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Sunoma Holdings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Sunoma Renewable Biofuel, LLC</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Beacon HoldCo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Beacon RNG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Imperial Landfill Gas Company,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Pennsylvania</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Greentree Landfill Gas Company,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Beacon Landfill Gas Holdings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Pennsylvania</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Beacon RNG Acquisition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OPAL Station Holdings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OPAL Dispensing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OPAL Station Services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TruStar Energy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OPAL Fuel Services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tcPr>
          <w:p>
            <w:pPr>
              <w:spacing w:after="0"/>
              <w:rPr>
                <w:sz w:val="20"/>
                <w:szCs w:val="20"/>
                <w:color w:val="auto"/>
              </w:rPr>
            </w:pPr>
            <w:r>
              <w:rPr>
                <w:rFonts w:ascii="Arial" w:cs="Arial" w:eastAsia="Arial" w:hAnsi="Arial"/>
                <w:sz w:val="18"/>
                <w:szCs w:val="18"/>
                <w:color w:val="auto"/>
              </w:rPr>
              <w:t>OPAL Environmental Credit Marketing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OPAL Fuels Intermediate HoldCo LLC</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439"/>
        </w:trPr>
        <w:tc>
          <w:tcPr>
            <w:tcW w:w="7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terms included below have the same meaning as terms defined and included elsewhere in this proxy statement/prospectus.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Capitalized terms included below but not defined in this Exhibit 99.1 have the same meaning as terms defined and included elsewhere in the Current Report on Form 8-K (the “Current Report”) filed with the Securities and Exchange Commission (the “Commission”) on July 27, 2022 and, if not defined in the Current Report, the final prospectus and definitive proxy statement (the “Proxy Statement/Prospectus”) filed with the Commission on June 27, 2022. Unless the context otherwise requires, the “Company,” “we,” “us,” or “our” refers to OPAL Fuels Inc. and its subsidiaries after giving effect to the Closing.</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for purposes of this section, and other related events as described in Note 1 to the accompanying Notes to the unaudited pro forma condensed combined financial information:</w:t>
      </w:r>
    </w:p>
    <w:p>
      <w:pPr>
        <w:spacing w:after="0" w:line="192" w:lineRule="exact"/>
        <w:rPr>
          <w:sz w:val="20"/>
          <w:szCs w:val="20"/>
          <w:color w:val="auto"/>
        </w:rPr>
      </w:pPr>
    </w:p>
    <w:p>
      <w:pPr>
        <w:ind w:left="980" w:hanging="324"/>
        <w:spacing w:after="0" w:line="308" w:lineRule="auto"/>
        <w:tabs>
          <w:tab w:leader="none" w:pos="9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combination of OPAL Fuels LLC (“</w:t>
      </w:r>
      <w:r>
        <w:rPr>
          <w:rFonts w:ascii="Arial" w:cs="Arial" w:eastAsia="Arial" w:hAnsi="Arial"/>
          <w:sz w:val="17"/>
          <w:szCs w:val="17"/>
          <w:b w:val="1"/>
          <w:bCs w:val="1"/>
          <w:i w:val="1"/>
          <w:iCs w:val="1"/>
          <w:color w:val="auto"/>
        </w:rPr>
        <w:t>OPAL Fuels</w:t>
      </w:r>
      <w:r>
        <w:rPr>
          <w:rFonts w:ascii="Arial" w:cs="Arial" w:eastAsia="Arial" w:hAnsi="Arial"/>
          <w:sz w:val="17"/>
          <w:szCs w:val="17"/>
          <w:color w:val="auto"/>
        </w:rPr>
        <w:t>”) and ArcLight Clean Transition Corp II (“</w:t>
      </w:r>
      <w:r>
        <w:rPr>
          <w:rFonts w:ascii="Arial" w:cs="Arial" w:eastAsia="Arial" w:hAnsi="Arial"/>
          <w:sz w:val="17"/>
          <w:szCs w:val="17"/>
          <w:b w:val="1"/>
          <w:bCs w:val="1"/>
          <w:i w:val="1"/>
          <w:iCs w:val="1"/>
          <w:color w:val="auto"/>
        </w:rPr>
        <w:t>ArcLight</w:t>
      </w:r>
      <w:r>
        <w:rPr>
          <w:rFonts w:ascii="Arial" w:cs="Arial" w:eastAsia="Arial" w:hAnsi="Arial"/>
          <w:sz w:val="17"/>
          <w:szCs w:val="17"/>
          <w:color w:val="auto"/>
        </w:rPr>
        <w:t>”), referred to herein as the “Business Combination”, including the PIPE Investment and the other events contemplated by the Business Combination Agreement;</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NextEra Subscription Agreement with Mendocino Capital, LLC, a Delaware limited liability company (“</w:t>
      </w:r>
      <w:r>
        <w:rPr>
          <w:rFonts w:ascii="Arial" w:cs="Arial" w:eastAsia="Arial" w:hAnsi="Arial"/>
          <w:sz w:val="18"/>
          <w:szCs w:val="18"/>
          <w:b w:val="1"/>
          <w:bCs w:val="1"/>
          <w:i w:val="1"/>
          <w:iCs w:val="1"/>
          <w:color w:val="auto"/>
        </w:rPr>
        <w:t>NextEra</w:t>
      </w:r>
      <w:r>
        <w:rPr>
          <w:rFonts w:ascii="Arial" w:cs="Arial" w:eastAsia="Arial" w:hAnsi="Arial"/>
          <w:sz w:val="18"/>
          <w:szCs w:val="18"/>
          <w:color w:val="auto"/>
        </w:rPr>
        <w:t>”), pursuant to which NextEra purchased 750,000 OPAL Fuels Series A Preferred Units (the “NextEra Subscription”) incremental to the 250,000 Company Series A Preferred Units issued to NextEra as of March 31, 2022;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acquisition of Beacon RNG LLC (“Beacon”) by OPAL Fuels in May of 2021 (the “</w:t>
      </w:r>
      <w:r>
        <w:rPr>
          <w:rFonts w:ascii="Arial" w:cs="Arial" w:eastAsia="Arial" w:hAnsi="Arial"/>
          <w:sz w:val="18"/>
          <w:szCs w:val="18"/>
          <w:b w:val="1"/>
          <w:bCs w:val="1"/>
          <w:i w:val="1"/>
          <w:iCs w:val="1"/>
          <w:color w:val="auto"/>
        </w:rPr>
        <w:t>Beacon Transaction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unaudited pro forma condensed combined balance sheet of OPAL Fuels as of March 31, 2022 combines the historical unaudited consolidated balance sheet of OPAL Fuels as of March 31, 2022 and the historical unaudited condensed balance sheet of ArcLight as of March 31, 2022, adjusted to give pro forma effect to the Business Combination, the PIPE Investment and certain other events related to the Business Combination between OPAL Fuels and ArcLight, the NextEra Subscription, in each case, as if the Business Combination, PIPE Investment, the NextEra Subscription and other events had been consummated on March 31, 2022. The Beacon Transaction was consummated on May 1, 2021 and, accordingly, is reflected within the unaudited consolidated balance sheet of OPAL Fuels as of March 31, 2022.</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unaudited pro forma condensed combined statement of operations of OPAL Fuels for the three months ended March 31, 2022 combines the historical unaudited consolidated statement of operations of OPAL Fuels for the three months ended March 31, 2022, and the historical unaudited condensed statement of operations of ArcLight for the three months ended March 31, 2022,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unaudited pro forma condensed combined statement of operations of OPAL Fuels for the year ended December 31, 2021 combines the historical audited consolidated statement of operations of OPAL Fuels for the year ended December 31, 2021, the historical audited consolidated statement of operations of ArcLight for the period from January 13, 2021 (inception) through December 31, 2021, and the historical audited statement of operations of Beacon for the four-month period ended April 30, 2021,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both"/>
        <w:ind w:firstLine="648"/>
        <w:spacing w:after="0" w:line="254" w:lineRule="auto"/>
        <w:rPr>
          <w:sz w:val="20"/>
          <w:szCs w:val="20"/>
          <w:color w:val="auto"/>
        </w:rPr>
      </w:pPr>
      <w:r>
        <w:rPr>
          <w:rFonts w:ascii="Arial" w:cs="Arial" w:eastAsia="Arial" w:hAnsi="Arial"/>
          <w:sz w:val="18"/>
          <w:szCs w:val="18"/>
          <w:color w:val="auto"/>
        </w:rPr>
        <w:t>The unaudited pro forma condensed combined balance sheet does not purport to represent, and is not necessarily indicative of, what the actual financial condition of the combined company would have been had the Transactions taken place on March 31, 2022,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and the PIPE Transaction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w:t>
      </w:r>
    </w:p>
    <w:p>
      <w:pPr>
        <w:spacing w:after="0" w:line="225" w:lineRule="exact"/>
        <w:rPr>
          <w:sz w:val="20"/>
          <w:szCs w:val="20"/>
          <w:color w:val="auto"/>
        </w:rPr>
      </w:pPr>
    </w:p>
    <w:p>
      <w:pPr>
        <w:ind w:left="980" w:hanging="324"/>
        <w:spacing w:after="0"/>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ArcLight, as of, and for the three months ended March 31, 2022, and the historical audited financial statements of ArcLight as of and for the period from January 13, 2021 (inception) through December 31, 2021, incorporated by reference into this Current Report;</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historical unaudited consolidated financial statements of OPAL Fuels, as of, and for the three months ended March 31, 2022, and the historical audited consolidated financial statements of OPAL Fuels as of and for the year ended December 31, 2021, incorporated by reference into this Current Report;</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Beacon, as of, and for the four months ended April 30, 2021, incorporated by reference into this Current Report; and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sections titled </w:t>
      </w:r>
      <w:r>
        <w:rPr>
          <w:rFonts w:ascii="Arial" w:cs="Arial" w:eastAsia="Arial" w:hAnsi="Arial"/>
          <w:sz w:val="18"/>
          <w:szCs w:val="18"/>
          <w:i w:val="1"/>
          <w:iCs w:val="1"/>
          <w:color w:val="auto"/>
        </w:rPr>
        <w:t>“ArcLight’s Management’s Discussion and Analysis of Financial Condition and Results of Operations”</w:t>
      </w:r>
      <w:r>
        <w:rPr>
          <w:rFonts w:ascii="Arial" w:cs="Arial" w:eastAsia="Arial" w:hAnsi="Arial"/>
          <w:sz w:val="18"/>
          <w:szCs w:val="18"/>
          <w:color w:val="auto"/>
        </w:rPr>
        <w:t xml:space="preserve"> beginning on page 254 of the Proxy Statement/Prospectus and incorporated herein by reference and </w:t>
      </w:r>
      <w:r>
        <w:rPr>
          <w:rFonts w:ascii="Arial" w:cs="Arial" w:eastAsia="Arial" w:hAnsi="Arial"/>
          <w:sz w:val="18"/>
          <w:szCs w:val="18"/>
          <w:i w:val="1"/>
          <w:iCs w:val="1"/>
          <w:color w:val="auto"/>
        </w:rPr>
        <w:t>“OPAL Fuels’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beginning on page 259 of the Proxy Statement/Prospectus and </w:t>
      </w:r>
      <w:r>
        <w:rPr>
          <w:rFonts w:ascii="Arial" w:cs="Arial" w:eastAsia="Arial" w:hAnsi="Arial"/>
          <w:sz w:val="18"/>
          <w:szCs w:val="18"/>
          <w:color w:val="auto"/>
        </w:rPr>
        <w:t>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580" w:hanging="106"/>
        <w:spacing w:after="0"/>
        <w:tabs>
          <w:tab w:leader="none" w:pos="55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5"/>
            <w:vMerge w:val="restart"/>
          </w:tcPr>
          <w:p>
            <w:pPr>
              <w:jc w:val="right"/>
              <w:ind w:right="680"/>
              <w:spacing w:after="0"/>
              <w:rPr>
                <w:sz w:val="20"/>
                <w:szCs w:val="20"/>
                <w:color w:val="auto"/>
              </w:rPr>
            </w:pPr>
            <w:r>
              <w:rPr>
                <w:rFonts w:ascii="Arial" w:cs="Arial" w:eastAsia="Arial" w:hAnsi="Arial"/>
                <w:sz w:val="18"/>
                <w:szCs w:val="18"/>
                <w:b w:val="1"/>
                <w:bCs w:val="1"/>
                <w:color w:val="auto"/>
              </w:rPr>
              <w:t>Historical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Transaction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Accounting</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Pro</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5"/>
              </w:rPr>
              <w:t>OPAL</w:t>
            </w:r>
          </w:p>
        </w:tc>
        <w:tc>
          <w:tcPr>
            <w:tcW w:w="7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9"/>
              </w:rPr>
              <w:t>ArcLight</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4"/>
          </w:tcPr>
          <w:p>
            <w:pPr>
              <w:jc w:val="center"/>
              <w:ind w:right="1"/>
              <w:spacing w:after="0" w:line="198" w:lineRule="exact"/>
              <w:rPr>
                <w:sz w:val="20"/>
                <w:szCs w:val="20"/>
                <w:color w:val="auto"/>
              </w:rPr>
            </w:pPr>
            <w:r>
              <w:rPr>
                <w:rFonts w:ascii="Arial" w:cs="Arial" w:eastAsia="Arial" w:hAnsi="Arial"/>
                <w:sz w:val="18"/>
                <w:szCs w:val="18"/>
                <w:b w:val="1"/>
                <w:bCs w:val="1"/>
                <w:color w:val="auto"/>
                <w:w w:val="89"/>
              </w:rPr>
              <w:t>Adjustments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Fuels</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(Note 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2"/>
              </w:rPr>
              <w:t>(Note 6)</w:t>
            </w:r>
          </w:p>
        </w:tc>
        <w:tc>
          <w:tcPr>
            <w:tcW w:w="46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50,216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105,806</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6c</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256,384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75,000</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311,200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(11,585)</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(274,187)</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6k</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(625)</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29,130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Fuel tax credits receivable</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2,393</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10,773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Parts inventory</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5,847</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credits held for sale</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Prepaid expense and other current assets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5,207</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739</w:t>
            </w:r>
          </w:p>
        </w:tc>
        <w:tc>
          <w:tcPr>
            <w:tcW w:w="460" w:type="dxa"/>
            <w:vAlign w:val="bottom"/>
          </w:tcPr>
          <w:p>
            <w:pPr>
              <w:ind w:left="160"/>
              <w:spacing w:after="0"/>
              <w:rPr>
                <w:sz w:val="20"/>
                <w:szCs w:val="20"/>
                <w:color w:val="auto"/>
              </w:rPr>
            </w:pPr>
            <w:r>
              <w:rPr>
                <w:rFonts w:ascii="Arial" w:cs="Arial" w:eastAsia="Arial" w:hAnsi="Arial"/>
                <w:sz w:val="18"/>
                <w:szCs w:val="18"/>
                <w:color w:val="auto"/>
              </w:rPr>
              <w:t>4b</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4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asset, current portion</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103,706</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1,298</w:t>
            </w:r>
          </w:p>
        </w:tc>
        <w:tc>
          <w:tcPr>
            <w:tcW w:w="1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205,609</w:t>
            </w: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310,613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Capital spares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3,045</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194,990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194,990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Investment in other entities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46,492</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46,492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9,355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Note receivable - variable fee component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1,723</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311,200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(311,200)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6a</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4,830</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(4,130)</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6g</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Restricted cash</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2,750</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54,608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54,608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6l</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424,800</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2"/>
              </w:rPr>
              <w:t>312,498</w:t>
            </w:r>
          </w:p>
        </w:tc>
        <w:tc>
          <w:tcPr>
            <w:tcW w:w="18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(109,721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4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627,577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Liabilities and Equity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Accounts payable</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9,319</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related party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10,891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(10,891)</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6b</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Fuel tax credits payable</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Accrued payroll</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5,723</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5,004</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(1,400)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6g</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13,031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(4,917)</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4,200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Accrued capital expenses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9,963</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Liability under power sales agreement, current portion</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Trustar revolver credit facility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Sunoma loan, current portion</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1,059</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Senior secured credit facility - term loan, current portion, net of debt issuance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72,162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72,162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Senior secured credit facility - working capital facility, current portion</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OPAL term loan, current portion</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19,332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Municipality loan - current portion</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liability, current portion</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4,800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6n</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Asset retirement obligation, current portion</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4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150,917</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15,986</w:t>
            </w:r>
          </w:p>
        </w:tc>
        <w:tc>
          <w:tcPr>
            <w:tcW w:w="1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(8,208)</w:t>
            </w: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158,695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Asset retirement obligation, non-current portion</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4,221</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Liability under power sales agreement, non-current portion</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Trustar revolver credit facility</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 term loan, net of debt issuance costs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Senior Secured Credit Facility - working capital facility</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payable</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59,730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(29,865)</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6f</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29,865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Sunoma loan, net of debt issuance costs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17,414</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17,414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Opal Term Loan</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66,682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66,682</w:t>
            </w:r>
          </w:p>
        </w:tc>
        <w:tc>
          <w:tcPr>
            <w:tcW w:w="0" w:type="dxa"/>
            <w:vAlign w:val="bottom"/>
          </w:tcPr>
          <w:p>
            <w:pPr>
              <w:spacing w:after="0"/>
              <w:rPr>
                <w:sz w:val="1"/>
                <w:szCs w:val="1"/>
                <w:color w:val="auto"/>
              </w:rPr>
            </w:pPr>
          </w:p>
        </w:tc>
      </w:tr>
    </w:tbl>
    <w:p>
      <w:pPr>
        <w:sectPr>
          <w:pgSz w:w="11900" w:h="16864" w:orient="portrait"/>
          <w:cols w:equalWidth="0" w:num="1">
            <w:col w:w="11240"/>
          </w:cols>
          <w:pgMar w:left="320" w:top="904" w:right="339" w:bottom="0" w:gutter="0" w:footer="0" w:header="0"/>
        </w:sectPr>
      </w:pPr>
    </w:p>
    <w:bookmarkStart w:id="231" w:name="page232"/>
    <w:bookmarkEnd w:id="2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Municipality loan</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liability, non-current portion</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20,544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20,544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agreement liability</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6l</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Earnout liability</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52,000</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6m</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52,000</w:t>
            </w:r>
          </w:p>
        </w:tc>
      </w:tr>
      <w:tr>
        <w:trPr>
          <w:trHeight w:val="24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4,872</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w:t>
            </w:r>
          </w:p>
        </w:tc>
      </w:tr>
      <w:tr>
        <w:trPr>
          <w:trHeight w:val="210"/>
        </w:trPr>
        <w:tc>
          <w:tcPr>
            <w:tcW w:w="4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303,865</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36,530</w:t>
            </w:r>
          </w:p>
        </w:tc>
        <w:tc>
          <w:tcPr>
            <w:tcW w:w="76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13,927</w:t>
            </w: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354,322</w:t>
            </w:r>
          </w:p>
        </w:tc>
        <w:tc>
          <w:tcPr>
            <w:tcW w:w="100" w:type="dxa"/>
            <w:vAlign w:val="bottom"/>
            <w:tcBorders>
              <w:top w:val="single" w:sz="8" w:color="CCEEFF"/>
            </w:tcBorders>
          </w:tcPr>
          <w:p>
            <w:pPr>
              <w:spacing w:after="0"/>
              <w:rPr>
                <w:sz w:val="18"/>
                <w:szCs w:val="18"/>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- 3 -</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32" w:name="page233"/>
    <w:bookmarkEnd w:id="232"/>
    <w:p>
      <w:pPr>
        <w:jc w:val="center"/>
        <w:spacing w:after="0" w:line="275" w:lineRule="auto"/>
        <w:rPr>
          <w:sz w:val="20"/>
          <w:szCs w:val="20"/>
          <w:color w:val="auto"/>
        </w:rPr>
      </w:pPr>
      <w:r>
        <w:rPr>
          <w:rFonts w:ascii="Arial" w:cs="Arial" w:eastAsia="Arial" w:hAnsi="Arial"/>
          <w:sz w:val="18"/>
          <w:szCs w:val="18"/>
          <w:b w:val="1"/>
          <w:bCs w:val="1"/>
          <w:color w:val="auto"/>
        </w:rPr>
        <w:t>UNAUDITED PRO FORMA CONDENSED COMBINED BALANCE SHEET AS OF MARCH 31, 2022 — (Continued)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Transaction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Historical</w:t>
            </w:r>
          </w:p>
        </w:tc>
        <w:tc>
          <w:tcPr>
            <w:tcW w:w="80" w:type="dxa"/>
            <w:vAlign w:val="bottom"/>
          </w:tcPr>
          <w:p>
            <w:pPr>
              <w:spacing w:after="0"/>
              <w:rPr>
                <w:sz w:val="22"/>
                <w:szCs w:val="22"/>
                <w:color w:val="auto"/>
              </w:rPr>
            </w:pPr>
          </w:p>
        </w:tc>
        <w:tc>
          <w:tcPr>
            <w:tcW w:w="122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8"/>
              </w:rPr>
              <w:t>Accounting</w:t>
            </w: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Pro</w:t>
            </w:r>
          </w:p>
        </w:tc>
        <w:tc>
          <w:tcPr>
            <w:tcW w:w="0" w:type="dxa"/>
            <w:vAlign w:val="bottom"/>
          </w:tcPr>
          <w:p>
            <w:pPr>
              <w:spacing w:after="0"/>
              <w:rPr>
                <w:sz w:val="1"/>
                <w:szCs w:val="1"/>
                <w:color w:val="auto"/>
              </w:rPr>
            </w:pPr>
          </w:p>
        </w:tc>
      </w:tr>
      <w:tr>
        <w:trPr>
          <w:trHeight w:val="198"/>
        </w:trPr>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OPAL</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ArcLight</w:t>
            </w:r>
          </w:p>
        </w:tc>
        <w:tc>
          <w:tcPr>
            <w:tcW w:w="140" w:type="dxa"/>
            <w:vAlign w:val="bottom"/>
          </w:tcPr>
          <w:p>
            <w:pPr>
              <w:spacing w:after="0"/>
              <w:rPr>
                <w:sz w:val="17"/>
                <w:szCs w:val="17"/>
                <w:color w:val="auto"/>
              </w:rPr>
            </w:pPr>
          </w:p>
        </w:tc>
        <w:tc>
          <w:tcPr>
            <w:tcW w:w="1300" w:type="dxa"/>
            <w:vAlign w:val="bottom"/>
            <w:gridSpan w:val="3"/>
          </w:tcPr>
          <w:p>
            <w:pPr>
              <w:jc w:val="center"/>
              <w:ind w:right="81"/>
              <w:spacing w:after="0" w:line="198" w:lineRule="exact"/>
              <w:rPr>
                <w:sz w:val="20"/>
                <w:szCs w:val="20"/>
                <w:color w:val="auto"/>
              </w:rPr>
            </w:pPr>
            <w:r>
              <w:rPr>
                <w:rFonts w:ascii="Arial" w:cs="Arial" w:eastAsia="Arial" w:hAnsi="Arial"/>
                <w:sz w:val="18"/>
                <w:szCs w:val="18"/>
                <w:b w:val="1"/>
                <w:bCs w:val="1"/>
                <w:color w:val="auto"/>
                <w:w w:val="89"/>
              </w:rPr>
              <w:t>Adjustments</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41"/>
        </w:trPr>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Fuels</w:t>
            </w:r>
          </w:p>
        </w:tc>
        <w:tc>
          <w:tcPr>
            <w:tcW w:w="120" w:type="dxa"/>
            <w:vAlign w:val="bottom"/>
          </w:tcPr>
          <w:p>
            <w:pPr>
              <w:spacing w:after="0"/>
              <w:rPr>
                <w:sz w:val="20"/>
                <w:szCs w:val="20"/>
                <w:color w:val="auto"/>
              </w:rPr>
            </w:pPr>
          </w:p>
        </w:tc>
        <w:tc>
          <w:tcPr>
            <w:tcW w:w="102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(Note 4)</w:t>
            </w:r>
          </w:p>
        </w:tc>
        <w:tc>
          <w:tcPr>
            <w:tcW w:w="80" w:type="dxa"/>
            <w:vAlign w:val="bottom"/>
          </w:tcPr>
          <w:p>
            <w:pPr>
              <w:spacing w:after="0"/>
              <w:rPr>
                <w:sz w:val="20"/>
                <w:szCs w:val="20"/>
                <w:color w:val="auto"/>
              </w:rPr>
            </w:pPr>
          </w:p>
        </w:tc>
        <w:tc>
          <w:tcPr>
            <w:tcW w:w="12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(Note 6)</w:t>
            </w:r>
          </w:p>
        </w:tc>
        <w:tc>
          <w:tcPr>
            <w:tcW w:w="740" w:type="dxa"/>
            <w:vAlign w:val="bottom"/>
          </w:tcPr>
          <w:p>
            <w:pPr>
              <w:spacing w:after="0"/>
              <w:rPr>
                <w:sz w:val="20"/>
                <w:szCs w:val="20"/>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188"/>
        </w:trPr>
        <w:tc>
          <w:tcPr>
            <w:tcW w:w="59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Class A ordinary shares subject to possible redemption; 31,116,305 shares at</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of $10.00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311,163</w:t>
            </w:r>
          </w:p>
        </w:tc>
        <w:tc>
          <w:tcPr>
            <w:tcW w:w="13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(311,163)</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89"/>
              </w:rPr>
              <w:t>6h</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Redeemable preferred units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units</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25,117</w:t>
            </w:r>
          </w:p>
        </w:tc>
        <w:tc>
          <w:tcPr>
            <w:tcW w:w="11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75,000</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89"/>
              </w:rPr>
              <w:t>6d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(100,117)</w:t>
            </w:r>
          </w:p>
        </w:tc>
        <w:tc>
          <w:tcPr>
            <w:tcW w:w="880" w:type="dxa"/>
            <w:vAlign w:val="bottom"/>
            <w:gridSpan w:val="2"/>
          </w:tcPr>
          <w:p>
            <w:pPr>
              <w:jc w:val="center"/>
              <w:ind w:right="190"/>
              <w:spacing w:after="0"/>
              <w:rPr>
                <w:sz w:val="20"/>
                <w:szCs w:val="20"/>
                <w:color w:val="auto"/>
              </w:rPr>
            </w:pPr>
            <w:r>
              <w:rPr>
                <w:rFonts w:ascii="Arial" w:cs="Arial" w:eastAsia="Arial" w:hAnsi="Arial"/>
                <w:sz w:val="18"/>
                <w:szCs w:val="18"/>
                <w:color w:val="auto"/>
                <w:w w:val="79"/>
              </w:rPr>
              <w:t>6e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Series A-1 preferred units</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30,810</w:t>
            </w:r>
          </w:p>
        </w:tc>
        <w:tc>
          <w:tcPr>
            <w:tcW w:w="11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(30,810)</w:t>
            </w:r>
          </w:p>
        </w:tc>
        <w:tc>
          <w:tcPr>
            <w:tcW w:w="880" w:type="dxa"/>
            <w:vAlign w:val="bottom"/>
            <w:gridSpan w:val="2"/>
            <w:shd w:val="clear" w:color="auto" w:fill="CCEEFF"/>
          </w:tcPr>
          <w:p>
            <w:pPr>
              <w:jc w:val="center"/>
              <w:ind w:right="190"/>
              <w:spacing w:after="0"/>
              <w:rPr>
                <w:sz w:val="20"/>
                <w:szCs w:val="20"/>
                <w:color w:val="auto"/>
              </w:rPr>
            </w:pPr>
            <w:r>
              <w:rPr>
                <w:rFonts w:ascii="Arial" w:cs="Arial" w:eastAsia="Arial" w:hAnsi="Arial"/>
                <w:sz w:val="18"/>
                <w:szCs w:val="18"/>
                <w:color w:val="auto"/>
                <w:w w:val="79"/>
              </w:rPr>
              <w:t>6e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Redeemable preferred noncontrolling interest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100,117</w:t>
            </w:r>
          </w:p>
        </w:tc>
        <w:tc>
          <w:tcPr>
            <w:tcW w:w="880" w:type="dxa"/>
            <w:vAlign w:val="bottom"/>
            <w:gridSpan w:val="2"/>
          </w:tcPr>
          <w:p>
            <w:pPr>
              <w:jc w:val="center"/>
              <w:ind w:right="190"/>
              <w:spacing w:after="0"/>
              <w:rPr>
                <w:sz w:val="20"/>
                <w:szCs w:val="20"/>
                <w:color w:val="auto"/>
              </w:rPr>
            </w:pPr>
            <w:r>
              <w:rPr>
                <w:rFonts w:ascii="Arial" w:cs="Arial" w:eastAsia="Arial" w:hAnsi="Arial"/>
                <w:sz w:val="18"/>
                <w:szCs w:val="18"/>
                <w:color w:val="auto"/>
                <w:w w:val="79"/>
              </w:rPr>
              <w:t>6e</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130,927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30,810</w:t>
            </w:r>
          </w:p>
        </w:tc>
        <w:tc>
          <w:tcPr>
            <w:tcW w:w="880" w:type="dxa"/>
            <w:vAlign w:val="bottom"/>
            <w:gridSpan w:val="2"/>
            <w:shd w:val="clear" w:color="auto" w:fill="CCEEFF"/>
          </w:tcPr>
          <w:p>
            <w:pPr>
              <w:jc w:val="center"/>
              <w:ind w:right="190"/>
              <w:spacing w:after="0"/>
              <w:rPr>
                <w:sz w:val="20"/>
                <w:szCs w:val="20"/>
                <w:color w:val="auto"/>
              </w:rPr>
            </w:pPr>
            <w:r>
              <w:rPr>
                <w:rFonts w:ascii="Arial" w:cs="Arial" w:eastAsia="Arial" w:hAnsi="Arial"/>
                <w:sz w:val="18"/>
                <w:szCs w:val="18"/>
                <w:color w:val="auto"/>
                <w:w w:val="79"/>
              </w:rPr>
              <w:t>6e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6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58,324</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99"/>
              </w:rPr>
              <w:t>6j</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133,724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(3,596)</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89"/>
              </w:rPr>
              <w:t>6g</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78,996</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99"/>
              </w:rPr>
              <w:t>6j</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Common units</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47,566</w:t>
            </w:r>
          </w:p>
        </w:tc>
        <w:tc>
          <w:tcPr>
            <w:tcW w:w="11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(47,566)</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99"/>
              </w:rPr>
              <w:t>6j</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9"/>
              </w:rPr>
              <w:t>6i</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20" w:type="dxa"/>
            <w:vAlign w:val="bottom"/>
          </w:tcPr>
          <w:p>
            <w:pPr>
              <w:spacing w:after="0" w:line="201" w:lineRule="exact"/>
              <w:rPr>
                <w:sz w:val="20"/>
                <w:szCs w:val="20"/>
                <w:color w:val="auto"/>
              </w:rPr>
            </w:pPr>
            <w:r>
              <w:rPr>
                <w:rFonts w:ascii="Arial" w:cs="Arial" w:eastAsia="Arial" w:hAnsi="Arial"/>
                <w:sz w:val="18"/>
                <w:szCs w:val="18"/>
                <w:color w:val="auto"/>
                <w:w w:val="91"/>
              </w:rPr>
              <w:t>Preference shares, $0.0001 par value; 5,000,000 shares authorized; none issued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Class A ordinary shares, $0.0001 par value; 500,000,000 shares authorized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31,116,305 shares subject to possible redemption)</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89"/>
              </w:rPr>
              <w:t>6h</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920" w:type="dxa"/>
            <w:vAlign w:val="bottom"/>
          </w:tcPr>
          <w:p>
            <w:pPr>
              <w:spacing w:after="0" w:line="201" w:lineRule="exact"/>
              <w:rPr>
                <w:sz w:val="20"/>
                <w:szCs w:val="20"/>
                <w:color w:val="auto"/>
              </w:rPr>
            </w:pPr>
            <w:r>
              <w:rPr>
                <w:rFonts w:ascii="Arial" w:cs="Arial" w:eastAsia="Arial" w:hAnsi="Arial"/>
                <w:sz w:val="18"/>
                <w:szCs w:val="18"/>
                <w:color w:val="auto"/>
                <w:w w:val="98"/>
              </w:rPr>
              <w:t>Class B ordinary shares, $0.0001 par value; 50,000,000 shares authorized;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180"/>
              <w:spacing w:after="0"/>
              <w:rPr>
                <w:sz w:val="20"/>
                <w:szCs w:val="20"/>
                <w:color w:val="auto"/>
              </w:rPr>
            </w:pPr>
            <w:r>
              <w:rPr>
                <w:rFonts w:ascii="Arial" w:cs="Arial" w:eastAsia="Arial" w:hAnsi="Arial"/>
                <w:sz w:val="18"/>
                <w:szCs w:val="18"/>
                <w:color w:val="auto"/>
              </w:rPr>
              <w:t>7,779,076 shares issued and outstanding</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1"/>
              <w:spacing w:after="0"/>
              <w:rPr>
                <w:sz w:val="20"/>
                <w:szCs w:val="20"/>
                <w:color w:val="auto"/>
              </w:rPr>
            </w:pPr>
            <w:r>
              <w:rPr>
                <w:rFonts w:ascii="Arial" w:cs="Arial" w:eastAsia="Arial" w:hAnsi="Arial"/>
                <w:sz w:val="18"/>
                <w:szCs w:val="18"/>
                <w:color w:val="auto"/>
              </w:rPr>
              <w:t>1</w:t>
            </w: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6h</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New OPAL Class A common stock</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9"/>
              </w:rPr>
              <w:t>6i</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center"/>
              <w:ind w:right="190"/>
              <w:spacing w:after="0"/>
              <w:rPr>
                <w:sz w:val="20"/>
                <w:szCs w:val="20"/>
                <w:color w:val="auto"/>
              </w:rPr>
            </w:pPr>
            <w:r>
              <w:rPr>
                <w:rFonts w:ascii="Arial" w:cs="Arial" w:eastAsia="Arial" w:hAnsi="Arial"/>
                <w:sz w:val="18"/>
                <w:szCs w:val="18"/>
                <w:color w:val="auto"/>
                <w:w w:val="83"/>
              </w:rPr>
              <w:t>6c</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90"/>
              <w:spacing w:after="0"/>
              <w:rPr>
                <w:sz w:val="20"/>
                <w:szCs w:val="20"/>
                <w:color w:val="auto"/>
              </w:rPr>
            </w:pPr>
            <w:r>
              <w:rPr>
                <w:rFonts w:ascii="Arial" w:cs="Arial" w:eastAsia="Arial" w:hAnsi="Arial"/>
                <w:sz w:val="18"/>
                <w:szCs w:val="18"/>
                <w:color w:val="auto"/>
              </w:rPr>
              <w:t>6f</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6h</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4"/>
              </w:rPr>
              <w:t>6k</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New OPAL Class B common stock</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99"/>
              </w:rPr>
              <w:t>6i</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New OPAL Class D common stock</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9"/>
              </w:rPr>
              <w:t>6i</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99"/>
              </w:rPr>
              <w:t>6i</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105,805</w:t>
            </w:r>
          </w:p>
        </w:tc>
        <w:tc>
          <w:tcPr>
            <w:tcW w:w="880" w:type="dxa"/>
            <w:vAlign w:val="bottom"/>
            <w:gridSpan w:val="2"/>
            <w:shd w:val="clear" w:color="auto" w:fill="CCEEFF"/>
          </w:tcPr>
          <w:p>
            <w:pPr>
              <w:jc w:val="center"/>
              <w:ind w:right="190"/>
              <w:spacing w:after="0"/>
              <w:rPr>
                <w:sz w:val="20"/>
                <w:szCs w:val="20"/>
                <w:color w:val="auto"/>
              </w:rPr>
            </w:pPr>
            <w:r>
              <w:rPr>
                <w:rFonts w:ascii="Arial" w:cs="Arial" w:eastAsia="Arial" w:hAnsi="Arial"/>
                <w:sz w:val="18"/>
                <w:szCs w:val="18"/>
                <w:color w:val="auto"/>
                <w:w w:val="83"/>
              </w:rPr>
              <w:t>6c</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29,865</w:t>
            </w:r>
          </w:p>
        </w:tc>
        <w:tc>
          <w:tcPr>
            <w:tcW w:w="880" w:type="dxa"/>
            <w:vAlign w:val="bottom"/>
            <w:gridSpan w:val="2"/>
          </w:tcPr>
          <w:p>
            <w:pPr>
              <w:jc w:val="center"/>
              <w:ind w:right="190"/>
              <w:spacing w:after="0"/>
              <w:rPr>
                <w:sz w:val="20"/>
                <w:szCs w:val="20"/>
                <w:color w:val="auto"/>
              </w:rPr>
            </w:pPr>
            <w:r>
              <w:rPr>
                <w:rFonts w:ascii="Arial" w:cs="Arial" w:eastAsia="Arial" w:hAnsi="Arial"/>
                <w:sz w:val="18"/>
                <w:szCs w:val="18"/>
                <w:color w:val="auto"/>
              </w:rPr>
              <w:t>6f</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311,160</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89"/>
              </w:rPr>
              <w:t>6h</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(52,000)</w:t>
            </w:r>
          </w:p>
        </w:tc>
        <w:tc>
          <w:tcPr>
            <w:tcW w:w="880" w:type="dxa"/>
            <w:vAlign w:val="bottom"/>
            <w:gridSpan w:val="2"/>
          </w:tcPr>
          <w:p>
            <w:pPr>
              <w:jc w:val="center"/>
              <w:ind w:right="190"/>
              <w:spacing w:after="0"/>
              <w:rPr>
                <w:sz w:val="20"/>
                <w:szCs w:val="20"/>
                <w:color w:val="auto"/>
              </w:rPr>
            </w:pPr>
            <w:r>
              <w:rPr>
                <w:rFonts w:ascii="Arial" w:cs="Arial" w:eastAsia="Arial" w:hAnsi="Arial"/>
                <w:sz w:val="18"/>
                <w:szCs w:val="18"/>
                <w:color w:val="auto"/>
                <w:w w:val="95"/>
              </w:rPr>
              <w:t>6m</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(35,196)</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9"/>
              </w:rPr>
              <w:t>6i</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10,891</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6b</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(5,268)</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89"/>
              </w:rPr>
              <w:t>6g</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(4,130)</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6g</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(274,184)</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4"/>
              </w:rPr>
              <w:t>6k</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(78,996)</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99"/>
              </w:rPr>
              <w:t>6j</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(5,425)</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89"/>
              </w:rPr>
              <w:t>6n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6o</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10,758</w:t>
            </w:r>
          </w:p>
        </w:tc>
        <w:tc>
          <w:tcPr>
            <w:tcW w:w="11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(35,196)</w:t>
            </w:r>
          </w:p>
        </w:tc>
        <w:tc>
          <w:tcPr>
            <w:tcW w:w="13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35,196</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9"/>
              </w:rPr>
              <w:t>6i</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(10,758)</w:t>
            </w:r>
          </w:p>
        </w:tc>
        <w:tc>
          <w:tcPr>
            <w:tcW w:w="880" w:type="dxa"/>
            <w:vAlign w:val="bottom"/>
            <w:gridSpan w:val="2"/>
          </w:tcPr>
          <w:p>
            <w:pPr>
              <w:jc w:val="center"/>
              <w:ind w:right="170"/>
              <w:spacing w:after="0"/>
              <w:rPr>
                <w:sz w:val="20"/>
                <w:szCs w:val="20"/>
                <w:color w:val="auto"/>
              </w:rPr>
            </w:pPr>
            <w:r>
              <w:rPr>
                <w:rFonts w:ascii="Arial" w:cs="Arial" w:eastAsia="Arial" w:hAnsi="Arial"/>
                <w:sz w:val="18"/>
                <w:szCs w:val="18"/>
                <w:color w:val="auto"/>
                <w:w w:val="99"/>
              </w:rPr>
              <w:t>6j</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(604)</w:t>
            </w:r>
          </w:p>
        </w:tc>
        <w:tc>
          <w:tcPr>
            <w:tcW w:w="8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89"/>
              </w:rPr>
              <w:t>6g</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Non-controlling interest in subsidiaries</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6,684</w:t>
            </w:r>
          </w:p>
        </w:tc>
        <w:tc>
          <w:tcPr>
            <w:tcW w:w="11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6,684</w:t>
            </w:r>
          </w:p>
        </w:tc>
        <w:tc>
          <w:tcPr>
            <w:tcW w:w="0" w:type="dxa"/>
            <w:vAlign w:val="bottom"/>
          </w:tcPr>
          <w:p>
            <w:pPr>
              <w:spacing w:after="0"/>
              <w:rPr>
                <w:sz w:val="1"/>
                <w:szCs w:val="1"/>
                <w:color w:val="auto"/>
              </w:rPr>
            </w:pPr>
          </w:p>
        </w:tc>
      </w:tr>
      <w:tr>
        <w:trPr>
          <w:trHeight w:val="236"/>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(35,195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(21,209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  424,800</w:t>
            </w:r>
          </w:p>
        </w:tc>
        <w:tc>
          <w:tcPr>
            <w:tcW w:w="114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rPr>
              <w:t>$  312,498</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9"/>
              </w:rPr>
              <w:t>$   (109,721</w:t>
            </w:r>
          </w:p>
        </w:tc>
        <w:tc>
          <w:tcPr>
            <w:tcW w:w="240" w:type="dxa"/>
            <w:vAlign w:val="bottom"/>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627,577</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5480"/>
              <w:spacing w:after="0"/>
              <w:rPr>
                <w:sz w:val="20"/>
                <w:szCs w:val="20"/>
                <w:color w:val="auto"/>
              </w:rPr>
            </w:pPr>
            <w:r>
              <w:rPr>
                <w:rFonts w:ascii="Arial" w:cs="Arial" w:eastAsia="Arial" w:hAnsi="Arial"/>
                <w:sz w:val="18"/>
                <w:szCs w:val="18"/>
                <w:color w:val="auto"/>
              </w:rPr>
              <w:t>- 4 -</w:t>
            </w: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33" w:name="page234"/>
    <w:bookmarkEnd w:id="233"/>
    <w:p>
      <w:pPr>
        <w:jc w:val="center"/>
        <w:spacing w:after="0" w:line="266" w:lineRule="auto"/>
        <w:rPr>
          <w:sz w:val="20"/>
          <w:szCs w:val="20"/>
          <w:color w:val="auto"/>
        </w:rPr>
      </w:pPr>
      <w:r>
        <w:rPr>
          <w:rFonts w:ascii="Arial" w:cs="Arial" w:eastAsia="Arial" w:hAnsi="Arial"/>
          <w:sz w:val="18"/>
          <w:szCs w:val="18"/>
          <w:b w:val="1"/>
          <w:bCs w:val="1"/>
          <w:color w:val="auto"/>
        </w:rPr>
        <w:t>UNAUDITED PRO FORMA CONDENSED COMBINED STATEMENT OF OPERATIONS FOR THE THREE MONTHS ENDED MARCH 31, 2022 (in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Transaction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4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Historical</w:t>
            </w:r>
          </w:p>
        </w:tc>
        <w:tc>
          <w:tcPr>
            <w:tcW w:w="8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8"/>
              </w:rPr>
              <w:t>Accounting</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Pro</w:t>
            </w: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50"/>
              <w:spacing w:after="0" w:line="198" w:lineRule="exact"/>
              <w:rPr>
                <w:sz w:val="20"/>
                <w:szCs w:val="20"/>
                <w:color w:val="auto"/>
              </w:rPr>
            </w:pPr>
            <w:r>
              <w:rPr>
                <w:rFonts w:ascii="Arial" w:cs="Arial" w:eastAsia="Arial" w:hAnsi="Arial"/>
                <w:sz w:val="18"/>
                <w:szCs w:val="18"/>
                <w:b w:val="1"/>
                <w:bCs w:val="1"/>
                <w:color w:val="auto"/>
              </w:rPr>
              <w:t>ArcLight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gridSpan w:val="3"/>
          </w:tcPr>
          <w:p>
            <w:pPr>
              <w:jc w:val="center"/>
              <w:ind w:right="181"/>
              <w:spacing w:after="0" w:line="198" w:lineRule="exact"/>
              <w:rPr>
                <w:sz w:val="20"/>
                <w:szCs w:val="20"/>
                <w:color w:val="auto"/>
              </w:rPr>
            </w:pPr>
            <w:r>
              <w:rPr>
                <w:rFonts w:ascii="Arial" w:cs="Arial" w:eastAsia="Arial" w:hAnsi="Arial"/>
                <w:sz w:val="18"/>
                <w:szCs w:val="18"/>
                <w:b w:val="1"/>
                <w:bCs w:val="1"/>
                <w:color w:val="auto"/>
                <w:w w:val="89"/>
              </w:rPr>
              <w:t>Adjustments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41"/>
              <w:spacing w:after="0" w:line="198" w:lineRule="exact"/>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41"/>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0"/>
              </w:rPr>
              <w:t>OPAL Fuels</w:t>
            </w:r>
          </w:p>
        </w:tc>
        <w:tc>
          <w:tcPr>
            <w:tcW w:w="260" w:type="dxa"/>
            <w:vAlign w:val="bottom"/>
          </w:tcPr>
          <w:p>
            <w:pPr>
              <w:spacing w:after="0"/>
              <w:rPr>
                <w:sz w:val="20"/>
                <w:szCs w:val="20"/>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w w:val="89"/>
              </w:rPr>
              <w:t>(Note 4)</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2"/>
              </w:rPr>
              <w:t>(Note 7)</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RNG fuel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25,142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25,142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Renewable power</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9,124</w:t>
            </w:r>
          </w:p>
        </w:tc>
        <w:tc>
          <w:tcPr>
            <w:tcW w:w="26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Fuel station services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14,781</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14,781</w:t>
            </w: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49,047</w:t>
            </w: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49,047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sales - RNG fuel</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14,487</w:t>
            </w:r>
          </w:p>
        </w:tc>
        <w:tc>
          <w:tcPr>
            <w:tcW w:w="26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Renewable power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8,408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sales - Fuel station services</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12,979</w:t>
            </w:r>
          </w:p>
        </w:tc>
        <w:tc>
          <w:tcPr>
            <w:tcW w:w="26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10,855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1,391</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4d</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Depreciation, amortization, and accretion</w:t>
            </w:r>
          </w:p>
        </w:tc>
        <w:tc>
          <w:tcPr>
            <w:tcW w:w="100" w:type="dxa"/>
            <w:vAlign w:val="bottom"/>
          </w:tcPr>
          <w:p>
            <w:pPr>
              <w:spacing w:after="0"/>
              <w:rPr>
                <w:sz w:val="20"/>
                <w:szCs w:val="20"/>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3,313</w:t>
            </w:r>
          </w:p>
        </w:tc>
        <w:tc>
          <w:tcPr>
            <w:tcW w:w="26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36"/>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50,042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(995</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(1,391</w:t>
            </w:r>
          </w:p>
        </w:tc>
        <w:tc>
          <w:tcPr>
            <w:tcW w:w="28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(2,386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and financing expense, net</w:t>
            </w:r>
          </w:p>
        </w:tc>
        <w:tc>
          <w:tcPr>
            <w:tcW w:w="1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(3,051)</w:t>
            </w:r>
          </w:p>
        </w:tc>
        <w:tc>
          <w:tcPr>
            <w:tcW w:w="26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24</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4e</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(24)</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7c</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7"/>
              </w:rPr>
              <w:t>Realized and unrealized gain on interest rate swaps,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5,252</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method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Gain on acquisition of equity method investment</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Gain on deconsolidation of VIEs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(4,467)</w:t>
            </w: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3,885</w:t>
            </w: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w:t>
            </w:r>
          </w:p>
        </w:tc>
        <w:tc>
          <w:tcPr>
            <w:tcW w:w="2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(606)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7a</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(4,467</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3,885</w:t>
            </w:r>
          </w:p>
        </w:tc>
        <w:tc>
          <w:tcPr>
            <w:tcW w:w="2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(606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 attributable to redeemable preferred</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1,500</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7b</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redeemable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20"/>
                <w:szCs w:val="20"/>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(5,515)</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7b</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40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(4,942</w:t>
            </w:r>
          </w:p>
        </w:tc>
        <w:tc>
          <w:tcPr>
            <w:tcW w:w="24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3,885</w:t>
            </w: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3,991</w:t>
            </w:r>
          </w:p>
        </w:tc>
        <w:tc>
          <w:tcPr>
            <w:tcW w:w="840" w:type="dxa"/>
            <w:vAlign w:val="bottom"/>
            <w:gridSpan w:val="2"/>
          </w:tcPr>
          <w:p>
            <w:pPr>
              <w:ind w:left="72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2,934</w:t>
            </w:r>
          </w:p>
        </w:tc>
        <w:tc>
          <w:tcPr>
            <w:tcW w:w="0" w:type="dxa"/>
            <w:vAlign w:val="bottom"/>
          </w:tcPr>
          <w:p>
            <w:pPr>
              <w:spacing w:after="0"/>
              <w:rPr>
                <w:sz w:val="1"/>
                <w:szCs w:val="1"/>
                <w:color w:val="auto"/>
              </w:rPr>
            </w:pPr>
          </w:p>
        </w:tc>
      </w:tr>
      <w:tr>
        <w:trPr>
          <w:trHeight w:val="161"/>
        </w:trPr>
        <w:tc>
          <w:tcPr>
            <w:tcW w:w="44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8"/>
                <w:szCs w:val="18"/>
                <w:color w:val="auto"/>
                <w:w w:val="97"/>
              </w:rPr>
              <w:t>Weighted average common units outstanding, basic and</w:t>
            </w: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w w:val="95"/>
              </w:rPr>
              <w:t>Basic and diluted net income per common unit, basic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(4,942)</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shares outstanding of Class A common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basic and diluted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5"/>
              </w:rPr>
              <w:t>31,116,305</w:t>
            </w: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Basic and diluted net loss per ordinary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shares outstanding of Class B common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basic and diluted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7,779,076</w:t>
            </w: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Basic and diluted net loss per ordinary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shares outstanding of New OPAL Class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 common stock – basic and diluted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24,257,483</w:t>
            </w:r>
          </w:p>
        </w:tc>
        <w:tc>
          <w:tcPr>
            <w:tcW w:w="0" w:type="dxa"/>
            <w:vAlign w:val="bottom"/>
          </w:tcPr>
          <w:p>
            <w:pPr>
              <w:spacing w:after="0"/>
              <w:rPr>
                <w:sz w:val="1"/>
                <w:szCs w:val="1"/>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Pro forma net loss per share attributable to New OPAL</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Class A common stockholders - basic and diluted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Beacon Pro</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Pro Forma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Combined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0"/>
              </w:rPr>
              <w:t>Transaction</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5"/>
          </w:tcPr>
          <w:p>
            <w:pPr>
              <w:ind w:left="320"/>
              <w:spacing w:after="0"/>
              <w:rPr>
                <w:sz w:val="20"/>
                <w:szCs w:val="20"/>
                <w:color w:val="auto"/>
              </w:rPr>
            </w:pPr>
            <w:r>
              <w:rPr>
                <w:rFonts w:ascii="Arial" w:cs="Arial" w:eastAsia="Arial" w:hAnsi="Arial"/>
                <w:sz w:val="16"/>
                <w:szCs w:val="16"/>
                <w:b w:val="1"/>
                <w:bCs w:val="1"/>
                <w:color w:val="auto"/>
              </w:rPr>
              <w:t>Historical</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Forma</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OPAL</w:t>
            </w:r>
          </w:p>
        </w:tc>
        <w:tc>
          <w:tcPr>
            <w:tcW w:w="20" w:type="dxa"/>
            <w:vAlign w:val="bottom"/>
          </w:tcPr>
          <w:p>
            <w:pPr>
              <w:spacing w:after="0"/>
              <w:rPr>
                <w:sz w:val="22"/>
                <w:szCs w:val="22"/>
                <w:color w:val="auto"/>
              </w:rPr>
            </w:pPr>
          </w:p>
        </w:tc>
        <w:tc>
          <w:tcPr>
            <w:tcW w:w="96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95"/>
              </w:rPr>
              <w:t>Historical</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Accounting</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8"/>
              </w:rPr>
              <w:t>OPAL</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Beacon</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Adjustments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80"/>
              <w:spacing w:after="0" w:line="184" w:lineRule="exact"/>
              <w:rPr>
                <w:sz w:val="20"/>
                <w:szCs w:val="20"/>
                <w:color w:val="auto"/>
              </w:rPr>
            </w:pPr>
            <w:r>
              <w:rPr>
                <w:rFonts w:ascii="Arial" w:cs="Arial" w:eastAsia="Arial" w:hAnsi="Arial"/>
                <w:sz w:val="18"/>
                <w:szCs w:val="18"/>
                <w:b w:val="1"/>
                <w:bCs w:val="1"/>
                <w:color w:val="auto"/>
                <w:w w:val="88"/>
              </w:rPr>
              <w:t>Fuels and</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ArcLight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79"/>
              <w:spacing w:after="0" w:line="184" w:lineRule="exact"/>
              <w:rPr>
                <w:sz w:val="20"/>
                <w:szCs w:val="20"/>
                <w:color w:val="auto"/>
              </w:rPr>
            </w:pPr>
            <w:r>
              <w:rPr>
                <w:rFonts w:ascii="Arial" w:cs="Arial" w:eastAsia="Arial" w:hAnsi="Arial"/>
                <w:sz w:val="18"/>
                <w:szCs w:val="18"/>
                <w:b w:val="1"/>
                <w:bCs w:val="1"/>
                <w:color w:val="auto"/>
                <w:w w:val="89"/>
              </w:rPr>
              <w:t>Adjustments</w:t>
            </w:r>
          </w:p>
        </w:tc>
        <w:tc>
          <w:tcPr>
            <w:tcW w:w="42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5"/>
              </w:rPr>
              <w:t>Fuels</w:t>
            </w:r>
          </w:p>
        </w:tc>
        <w:tc>
          <w:tcPr>
            <w:tcW w:w="80" w:type="dxa"/>
            <w:vAlign w:val="bottom"/>
          </w:tcPr>
          <w:p>
            <w:pPr>
              <w:spacing w:after="0"/>
              <w:rPr>
                <w:sz w:val="20"/>
                <w:szCs w:val="20"/>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(Note 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(Note 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Beacon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(Note 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159"/>
              <w:spacing w:after="0"/>
              <w:rPr>
                <w:sz w:val="20"/>
                <w:szCs w:val="20"/>
                <w:color w:val="auto"/>
              </w:rPr>
            </w:pPr>
            <w:r>
              <w:rPr>
                <w:rFonts w:ascii="Arial" w:cs="Arial" w:eastAsia="Arial" w:hAnsi="Arial"/>
                <w:sz w:val="18"/>
                <w:szCs w:val="18"/>
                <w:b w:val="1"/>
                <w:bCs w:val="1"/>
                <w:color w:val="auto"/>
                <w:w w:val="92"/>
              </w:rPr>
              <w:t>(Note 7)</w:t>
            </w:r>
          </w:p>
        </w:tc>
        <w:tc>
          <w:tcPr>
            <w:tcW w:w="42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4"/>
              </w:rPr>
              <w:t>Combined</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RNG fuel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70,360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5a</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83,672</w:t>
            </w: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83,672</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Arial" w:cs="Arial" w:eastAsia="Arial" w:hAnsi="Arial"/>
                <w:sz w:val="16"/>
                <w:szCs w:val="16"/>
                <w:color w:val="auto"/>
              </w:rPr>
              <w:t>Renewable power</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45,324</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45,324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45,324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Fuel station services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50,440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50,440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50,440</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166,124</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13,312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179,436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179,436</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41,075</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6,397</w:t>
            </w:r>
          </w:p>
        </w:tc>
        <w:tc>
          <w:tcPr>
            <w:tcW w:w="10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5b</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47,472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47,472</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Renewable power</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31,152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31,152</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Arial" w:cs="Arial" w:eastAsia="Arial" w:hAnsi="Arial"/>
                <w:sz w:val="16"/>
                <w:szCs w:val="16"/>
                <w:color w:val="auto"/>
              </w:rPr>
              <w:t>Cost of sales - Fuel station services</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42,838</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42,838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42,838</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Environmental credit processing services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(1,134)</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5e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29,380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w w:val="94"/>
              </w:rPr>
              <w:t>5c</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29,836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4,945</w:t>
            </w:r>
          </w:p>
        </w:tc>
        <w:tc>
          <w:tcPr>
            <w:tcW w:w="14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auto"/>
              </w:rPr>
              <w:t>4f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4,200</w:t>
            </w:r>
          </w:p>
        </w:tc>
        <w:tc>
          <w:tcPr>
            <w:tcW w:w="420" w:type="dxa"/>
            <w:vAlign w:val="bottom"/>
          </w:tcPr>
          <w:p>
            <w:pPr>
              <w:jc w:val="center"/>
              <w:ind w:right="19"/>
              <w:spacing w:after="0"/>
              <w:rPr>
                <w:sz w:val="20"/>
                <w:szCs w:val="20"/>
                <w:color w:val="auto"/>
              </w:rPr>
            </w:pPr>
            <w:r>
              <w:rPr>
                <w:rFonts w:ascii="Arial" w:cs="Arial" w:eastAsia="Arial" w:hAnsi="Arial"/>
                <w:sz w:val="16"/>
                <w:szCs w:val="16"/>
                <w:color w:val="auto"/>
                <w:w w:val="89"/>
              </w:rPr>
              <w:t>7h</w:t>
            </w: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38,981</w:t>
            </w: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amortization, and accretion</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10,653</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7d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11,413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11,413</w:t>
            </w:r>
          </w:p>
        </w:tc>
        <w:tc>
          <w:tcPr>
            <w:tcW w:w="0" w:type="dxa"/>
            <w:vAlign w:val="bottom"/>
          </w:tcPr>
          <w:p>
            <w:pPr>
              <w:spacing w:after="0"/>
              <w:rPr>
                <w:sz w:val="1"/>
                <w:szCs w:val="1"/>
                <w:color w:val="auto"/>
              </w:rPr>
            </w:pPr>
          </w:p>
        </w:tc>
      </w:tr>
      <w:tr>
        <w:trPr>
          <w:trHeight w:val="192"/>
        </w:trPr>
        <w:tc>
          <w:tcPr>
            <w:tcW w:w="29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Total expenses</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155,098</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9,047</w:t>
            </w: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(1,434)</w:t>
            </w:r>
          </w:p>
        </w:tc>
        <w:tc>
          <w:tcPr>
            <w:tcW w:w="1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162,711</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4,945</w:t>
            </w:r>
          </w:p>
        </w:tc>
        <w:tc>
          <w:tcPr>
            <w:tcW w:w="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4,200</w:t>
            </w:r>
          </w:p>
        </w:tc>
        <w:tc>
          <w:tcPr>
            <w:tcW w:w="1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171,856</w:t>
            </w: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11,026</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1,434</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16,725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(4,945)</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(4,200)</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7,580</w:t>
            </w:r>
          </w:p>
        </w:tc>
        <w:tc>
          <w:tcPr>
            <w:tcW w:w="0" w:type="dxa"/>
            <w:vAlign w:val="bottom"/>
          </w:tcPr>
          <w:p>
            <w:pPr>
              <w:spacing w:after="0"/>
              <w:rPr>
                <w:sz w:val="1"/>
                <w:szCs w:val="1"/>
                <w:color w:val="auto"/>
              </w:rPr>
            </w:pPr>
          </w:p>
        </w:tc>
      </w:tr>
      <w:tr>
        <w:trPr>
          <w:trHeight w:val="186"/>
        </w:trPr>
        <w:tc>
          <w:tcPr>
            <w:tcW w:w="29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Other income (expense)</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Interest and financing expense,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(7,467)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4g</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4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7g</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(7,930)</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Arial" w:cs="Arial" w:eastAsia="Arial" w:hAnsi="Arial"/>
                <w:sz w:val="16"/>
                <w:szCs w:val="16"/>
                <w:color w:val="auto"/>
                <w:w w:val="98"/>
              </w:rPr>
              <w:t>Realized and unrealized loss on derivative</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180"/>
              <w:spacing w:after="0"/>
              <w:rPr>
                <w:sz w:val="20"/>
                <w:szCs w:val="20"/>
                <w:color w:val="auto"/>
              </w:rPr>
            </w:pPr>
            <w:r>
              <w:rPr>
                <w:rFonts w:ascii="Arial" w:cs="Arial" w:eastAsia="Arial" w:hAnsi="Arial"/>
                <w:sz w:val="16"/>
                <w:szCs w:val="16"/>
                <w:color w:val="auto"/>
              </w:rPr>
              <w:t>financial instruments, net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derivative warrant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Arial" w:cs="Arial" w:eastAsia="Arial" w:hAnsi="Arial"/>
                <w:sz w:val="16"/>
                <w:szCs w:val="16"/>
                <w:color w:val="auto"/>
              </w:rPr>
              <w:t>Income from equity method investments</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2,268</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(2,392)</w:t>
            </w:r>
          </w:p>
        </w:tc>
        <w:tc>
          <w:tcPr>
            <w:tcW w:w="320" w:type="dxa"/>
            <w:vAlign w:val="bottom"/>
          </w:tcPr>
          <w:p>
            <w:pPr>
              <w:ind w:left="80"/>
              <w:spacing w:after="0"/>
              <w:rPr>
                <w:sz w:val="20"/>
                <w:szCs w:val="20"/>
                <w:color w:val="auto"/>
              </w:rPr>
            </w:pPr>
            <w:r>
              <w:rPr>
                <w:rFonts w:ascii="Arial" w:cs="Arial" w:eastAsia="Arial" w:hAnsi="Arial"/>
                <w:sz w:val="16"/>
                <w:szCs w:val="16"/>
                <w:color w:val="auto"/>
              </w:rPr>
              <w:t>7d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Gain on acquisition of equity method</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19,818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Arial" w:cs="Arial" w:eastAsia="Arial" w:hAnsi="Arial"/>
                <w:sz w:val="16"/>
                <w:szCs w:val="16"/>
                <w:color w:val="auto"/>
              </w:rPr>
              <w:t>Gain on deconsolidation of VIEs</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15,025</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15,025</w:t>
            </w: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(1,134)</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5e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9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b w:val="1"/>
                <w:bCs w:val="1"/>
                <w:color w:val="auto"/>
                <w:w w:val="93"/>
              </w:rPr>
              <w:t>Income before provision for income taxes</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40,769</w:t>
            </w:r>
          </w:p>
        </w:tc>
        <w:tc>
          <w:tcPr>
            <w:tcW w:w="1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5,399</w:t>
            </w:r>
          </w:p>
        </w:tc>
        <w:tc>
          <w:tcPr>
            <w:tcW w:w="100" w:type="dxa"/>
            <w:vAlign w:val="bottom"/>
            <w:tcBorders>
              <w:top w:val="single" w:sz="8" w:color="CCEEFF"/>
              <w:bottom w:val="single" w:sz="8" w:color="CCEEFF"/>
            </w:tcBorders>
          </w:tcPr>
          <w:p>
            <w:pPr>
              <w:spacing w:after="0"/>
              <w:rPr>
                <w:sz w:val="17"/>
                <w:szCs w:val="17"/>
                <w:color w:val="auto"/>
              </w:rPr>
            </w:pPr>
          </w:p>
        </w:tc>
        <w:tc>
          <w:tcPr>
            <w:tcW w:w="36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(2,092</w:t>
            </w:r>
          </w:p>
        </w:tc>
        <w:tc>
          <w:tcPr>
            <w:tcW w:w="16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44,076</w:t>
            </w:r>
          </w:p>
        </w:tc>
        <w:tc>
          <w:tcPr>
            <w:tcW w:w="8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(16,195</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(4,213</w:t>
            </w:r>
          </w:p>
        </w:tc>
        <w:tc>
          <w:tcPr>
            <w:tcW w:w="16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4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23,668</w:t>
            </w:r>
          </w:p>
        </w:tc>
        <w:tc>
          <w:tcPr>
            <w:tcW w:w="6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7e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40,769</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5,399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(2,092)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44,076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(16,195)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(4,213)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23,668</w:t>
            </w: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w w:val="94"/>
              </w:rPr>
              <w:t>Net income (loss) attributable to redeemable</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noncontrolling interest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6,000</w:t>
            </w:r>
          </w:p>
        </w:tc>
        <w:tc>
          <w:tcPr>
            <w:tcW w:w="4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7f</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6,210</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Arial" w:cs="Arial" w:eastAsia="Arial" w:hAnsi="Arial"/>
                <w:sz w:val="16"/>
                <w:szCs w:val="16"/>
                <w:color w:val="auto"/>
                <w:w w:val="94"/>
              </w:rPr>
              <w:t>Net income (loss) attributable to redeemable</w:t>
            </w:r>
          </w:p>
        </w:tc>
        <w:tc>
          <w:tcPr>
            <w:tcW w:w="120" w:type="dxa"/>
            <w:vAlign w:val="bottom"/>
          </w:tcPr>
          <w:p>
            <w:pPr>
              <w:spacing w:after="0"/>
              <w:rPr>
                <w:sz w:val="16"/>
                <w:szCs w:val="16"/>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29,512</w:t>
            </w:r>
          </w:p>
        </w:tc>
        <w:tc>
          <w:tcPr>
            <w:tcW w:w="0" w:type="dxa"/>
            <w:vAlign w:val="bottom"/>
          </w:tcPr>
          <w:p>
            <w:pPr>
              <w:spacing w:after="0"/>
              <w:rPr>
                <w:sz w:val="1"/>
                <w:szCs w:val="1"/>
                <w:color w:val="auto"/>
              </w:rPr>
            </w:pPr>
          </w:p>
        </w:tc>
      </w:tr>
      <w:tr>
        <w:trPr>
          <w:trHeight w:val="212"/>
        </w:trPr>
        <w:tc>
          <w:tcPr>
            <w:tcW w:w="298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29,512</w:t>
            </w:r>
          </w:p>
        </w:tc>
        <w:tc>
          <w:tcPr>
            <w:tcW w:w="420" w:type="dxa"/>
            <w:vAlign w:val="bottom"/>
          </w:tcPr>
          <w:p>
            <w:pPr>
              <w:jc w:val="center"/>
              <w:ind w:right="19"/>
              <w:spacing w:after="0"/>
              <w:rPr>
                <w:sz w:val="20"/>
                <w:szCs w:val="20"/>
                <w:color w:val="auto"/>
              </w:rPr>
            </w:pPr>
            <w:r>
              <w:rPr>
                <w:rFonts w:ascii="Arial" w:cs="Arial" w:eastAsia="Arial" w:hAnsi="Arial"/>
                <w:sz w:val="16"/>
                <w:szCs w:val="16"/>
                <w:color w:val="auto"/>
                <w:w w:val="89"/>
              </w:rPr>
              <w:t>7f</w:t>
            </w: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(804)</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65"/>
        </w:trPr>
        <w:tc>
          <w:tcPr>
            <w:tcW w:w="2980" w:type="dxa"/>
            <w:vAlign w:val="bottom"/>
            <w:tcBorders>
              <w:top w:val="single" w:sz="8" w:color="CCEEFF"/>
            </w:tcBorders>
          </w:tcPr>
          <w:p>
            <w:pPr>
              <w:spacing w:after="0" w:line="165" w:lineRule="exact"/>
              <w:rPr>
                <w:sz w:val="20"/>
                <w:szCs w:val="20"/>
                <w:color w:val="auto"/>
              </w:rPr>
            </w:pPr>
            <w:r>
              <w:rPr>
                <w:rFonts w:ascii="Arial" w:cs="Arial" w:eastAsia="Arial" w:hAnsi="Arial"/>
                <w:sz w:val="16"/>
                <w:szCs w:val="16"/>
                <w:b w:val="1"/>
                <w:bCs w:val="1"/>
                <w:color w:val="auto"/>
              </w:rPr>
              <w:t>Net income (loss) attributable to</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98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41,363</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5,399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9"/>
              <w:spacing w:after="0" w:line="256" w:lineRule="exact"/>
              <w:rPr>
                <w:sz w:val="20"/>
                <w:szCs w:val="20"/>
                <w:color w:val="auto"/>
              </w:rPr>
            </w:pPr>
            <w:r>
              <w:rPr>
                <w:rFonts w:ascii="Arial" w:cs="Arial" w:eastAsia="Arial" w:hAnsi="Arial"/>
                <w:sz w:val="15"/>
                <w:szCs w:val="15"/>
                <w:b w:val="1"/>
                <w:bCs w:val="1"/>
                <w:color w:val="auto"/>
              </w:rPr>
              <w:t>(2,092</w:t>
            </w:r>
            <w:r>
              <w:rPr>
                <w:rFonts w:ascii="Arial" w:cs="Arial" w:eastAsia="Arial" w:hAnsi="Arial"/>
                <w:sz w:val="29"/>
                <w:szCs w:val="29"/>
                <w:b w:val="1"/>
                <w:bCs w:val="1"/>
                <w:color w:val="auto"/>
                <w:vertAlign w:val="superscript"/>
              </w:rPr>
              <w:t>)</w:t>
            </w:r>
          </w:p>
        </w:tc>
        <w:tc>
          <w:tcPr>
            <w:tcW w:w="3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44,670</w:t>
            </w: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spacing w:after="0" w:line="256" w:lineRule="exact"/>
              <w:rPr>
                <w:sz w:val="20"/>
                <w:szCs w:val="20"/>
                <w:color w:val="auto"/>
              </w:rPr>
            </w:pPr>
            <w:r>
              <w:rPr>
                <w:rFonts w:ascii="Arial" w:cs="Arial" w:eastAsia="Arial" w:hAnsi="Arial"/>
                <w:sz w:val="15"/>
                <w:szCs w:val="15"/>
                <w:b w:val="1"/>
                <w:bCs w:val="1"/>
                <w:color w:val="auto"/>
              </w:rPr>
              <w:t>(16,195</w:t>
            </w:r>
            <w:r>
              <w:rPr>
                <w:rFonts w:ascii="Arial" w:cs="Arial" w:eastAsia="Arial" w:hAnsi="Arial"/>
                <w:sz w:val="29"/>
                <w:szCs w:val="29"/>
                <w:b w:val="1"/>
                <w:bCs w:val="1"/>
                <w:color w:val="auto"/>
                <w:vertAlign w:val="superscript"/>
              </w:rPr>
              <w:t>)</w:t>
            </w:r>
          </w:p>
        </w:tc>
        <w:tc>
          <w:tcPr>
            <w:tcW w:w="3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19"/>
              <w:spacing w:after="0" w:line="256" w:lineRule="exact"/>
              <w:rPr>
                <w:sz w:val="20"/>
                <w:szCs w:val="20"/>
                <w:color w:val="auto"/>
              </w:rPr>
            </w:pPr>
            <w:r>
              <w:rPr>
                <w:rFonts w:ascii="Arial" w:cs="Arial" w:eastAsia="Arial" w:hAnsi="Arial"/>
                <w:sz w:val="15"/>
                <w:szCs w:val="15"/>
                <w:b w:val="1"/>
                <w:bCs w:val="1"/>
                <w:color w:val="auto"/>
              </w:rPr>
              <w:t>(39,725</w:t>
            </w:r>
            <w:r>
              <w:rPr>
                <w:rFonts w:ascii="Arial" w:cs="Arial" w:eastAsia="Arial" w:hAnsi="Arial"/>
                <w:sz w:val="29"/>
                <w:szCs w:val="29"/>
                <w:b w:val="1"/>
                <w:bCs w:val="1"/>
                <w:color w:val="auto"/>
                <w:vertAlign w:val="superscript"/>
              </w:rPr>
              <w:t>)</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spacing w:after="0" w:line="256" w:lineRule="exact"/>
              <w:rPr>
                <w:sz w:val="20"/>
                <w:szCs w:val="20"/>
                <w:color w:val="auto"/>
              </w:rPr>
            </w:pPr>
            <w:r>
              <w:rPr>
                <w:rFonts w:ascii="Arial" w:cs="Arial" w:eastAsia="Arial" w:hAnsi="Arial"/>
                <w:sz w:val="15"/>
                <w:szCs w:val="15"/>
                <w:b w:val="1"/>
                <w:bCs w:val="1"/>
                <w:color w:val="auto"/>
              </w:rPr>
              <w:t>(11,250</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152"/>
        </w:trPr>
        <w:tc>
          <w:tcPr>
            <w:tcW w:w="298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Weighted average common units</w:t>
            </w: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basic and diluted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Arial" w:cs="Arial" w:eastAsia="Arial" w:hAnsi="Arial"/>
                <w:sz w:val="16"/>
                <w:szCs w:val="16"/>
                <w:color w:val="auto"/>
                <w:w w:val="99"/>
              </w:rPr>
              <w:t>Basic and diluted net income per common</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180"/>
              <w:spacing w:after="0"/>
              <w:rPr>
                <w:sz w:val="20"/>
                <w:szCs w:val="20"/>
                <w:color w:val="auto"/>
              </w:rPr>
            </w:pPr>
            <w:r>
              <w:rPr>
                <w:rFonts w:ascii="Arial" w:cs="Arial" w:eastAsia="Arial" w:hAnsi="Arial"/>
                <w:sz w:val="16"/>
                <w:szCs w:val="16"/>
                <w:color w:val="auto"/>
              </w:rPr>
              <w:t>unit, basic and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41,908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 of</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Class A common stock, basic and diluted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25,360,688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20"/>
                <w:szCs w:val="20"/>
                <w:color w:val="auto"/>
              </w:rPr>
            </w:pPr>
            <w:r>
              <w:rPr>
                <w:rFonts w:ascii="Arial" w:cs="Arial" w:eastAsia="Arial" w:hAnsi="Arial"/>
                <w:sz w:val="16"/>
                <w:szCs w:val="16"/>
                <w:color w:val="auto"/>
                <w:w w:val="93"/>
              </w:rPr>
              <w:t>Basic and diluted net loss per ordinary share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(0.49)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 of</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Class B common stock, basic and diluted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7,611,848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Arial" w:cs="Arial" w:eastAsia="Arial" w:hAnsi="Arial"/>
                <w:sz w:val="16"/>
                <w:szCs w:val="16"/>
                <w:color w:val="auto"/>
                <w:w w:val="93"/>
              </w:rPr>
              <w:t>Basic and diluted net loss per ordinary share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(0.49)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 of</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New OPAL Class A common stock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and diluted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24,257,483</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Arial" w:cs="Arial" w:eastAsia="Arial" w:hAnsi="Arial"/>
                <w:sz w:val="16"/>
                <w:szCs w:val="16"/>
                <w:color w:val="auto"/>
                <w:w w:val="97"/>
              </w:rPr>
              <w:t>Pro forma net loss per share attributable to</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180"/>
              <w:spacing w:after="0"/>
              <w:rPr>
                <w:sz w:val="20"/>
                <w:szCs w:val="20"/>
                <w:color w:val="auto"/>
              </w:rPr>
            </w:pPr>
            <w:r>
              <w:rPr>
                <w:rFonts w:ascii="Arial" w:cs="Arial" w:eastAsia="Arial" w:hAnsi="Arial"/>
                <w:sz w:val="16"/>
                <w:szCs w:val="16"/>
                <w:color w:val="auto"/>
              </w:rPr>
              <w:t>New OPAL Class A common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180"/>
              <w:spacing w:after="0"/>
              <w:rPr>
                <w:sz w:val="20"/>
                <w:szCs w:val="20"/>
                <w:color w:val="auto"/>
              </w:rPr>
            </w:pPr>
            <w:r>
              <w:rPr>
                <w:rFonts w:ascii="Arial" w:cs="Arial" w:eastAsia="Arial" w:hAnsi="Arial"/>
                <w:sz w:val="16"/>
                <w:szCs w:val="16"/>
                <w:color w:val="auto"/>
              </w:rPr>
              <w:t>stockholders - basic and diluted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661"/>
        </w:trPr>
        <w:tc>
          <w:tcPr>
            <w:tcW w:w="2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- 6 -</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Note 1 — Description of the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Business Combination Agreement, on July 21, 2022 ArcLight changed its jurisdiction of incorporation by deregistering as a Cayman Islands exempted company and continuing and domesticating as a corporation incorporated under the laws of the State of Delaware (the “</w:t>
      </w:r>
      <w:r>
        <w:rPr>
          <w:rFonts w:ascii="Arial" w:cs="Arial" w:eastAsia="Arial" w:hAnsi="Arial"/>
          <w:sz w:val="18"/>
          <w:szCs w:val="18"/>
          <w:b w:val="1"/>
          <w:bCs w:val="1"/>
          <w:i w:val="1"/>
          <w:iCs w:val="1"/>
          <w:color w:val="auto"/>
        </w:rPr>
        <w:t>Domestication</w:t>
      </w:r>
      <w:r>
        <w:rPr>
          <w:rFonts w:ascii="Arial" w:cs="Arial" w:eastAsia="Arial" w:hAnsi="Arial"/>
          <w:sz w:val="18"/>
          <w:szCs w:val="18"/>
          <w:color w:val="auto"/>
        </w:rPr>
        <w:t>”). Following the Domestication, on July 21, 2022, ArcLight changed its name to “OPAL Fuels Inc.” (which is referred to herein as “</w:t>
      </w:r>
      <w:r>
        <w:rPr>
          <w:rFonts w:ascii="Arial" w:cs="Arial" w:eastAsia="Arial" w:hAnsi="Arial"/>
          <w:sz w:val="18"/>
          <w:szCs w:val="18"/>
          <w:b w:val="1"/>
          <w:bCs w:val="1"/>
          <w:i w:val="1"/>
          <w:i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OPAL</w:t>
      </w:r>
      <w:r>
        <w:rPr>
          <w:rFonts w:ascii="Arial" w:cs="Arial" w:eastAsia="Arial" w:hAnsi="Arial"/>
          <w:sz w:val="18"/>
          <w:szCs w:val="18"/>
          <w:color w:val="auto"/>
        </w:rPr>
        <w:t>”) and each outstanding ArcLight Class B ordinary share converted into one ArcLight Class A ordinary share, each outstanding ArcLight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ordinary share became one share of Class A common stock of New OPAL, par value $0.0001 per share (the “</w:t>
      </w:r>
      <w:r>
        <w:rPr>
          <w:rFonts w:ascii="Arial" w:cs="Arial" w:eastAsia="Arial" w:hAnsi="Arial"/>
          <w:sz w:val="18"/>
          <w:szCs w:val="18"/>
          <w:b w:val="1"/>
          <w:bCs w:val="1"/>
          <w:i w:val="1"/>
          <w:iCs w:val="1"/>
          <w:color w:val="auto"/>
        </w:rPr>
        <w:t>New OPAL Class A common stock</w:t>
      </w:r>
      <w:r>
        <w:rPr>
          <w:rFonts w:ascii="Arial" w:cs="Arial" w:eastAsia="Arial" w:hAnsi="Arial"/>
          <w:sz w:val="18"/>
          <w:szCs w:val="18"/>
          <w:color w:val="auto"/>
        </w:rPr>
        <w:t>”), and each outstanding warrant to purchase one ArcLight Class A ordinary share became a warrant to purchase one share of New OPAL Class A common stock at an exercise price of $11.50 per share.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the consummation of the Business Combination on July 21, 2022, the Combined Company (“</w:t>
      </w:r>
      <w:r>
        <w:rPr>
          <w:rFonts w:ascii="Arial" w:cs="Arial" w:eastAsia="Arial" w:hAnsi="Arial"/>
          <w:sz w:val="18"/>
          <w:szCs w:val="18"/>
          <w:b w:val="1"/>
          <w:bCs w:val="1"/>
          <w:i w:val="1"/>
          <w:iCs w:val="1"/>
          <w:color w:val="auto"/>
        </w:rPr>
        <w:t>Combined Company</w:t>
      </w:r>
      <w:r>
        <w:rPr>
          <w:rFonts w:ascii="Arial" w:cs="Arial" w:eastAsia="Arial" w:hAnsi="Arial"/>
          <w:sz w:val="18"/>
          <w:szCs w:val="18"/>
          <w:color w:val="auto"/>
        </w:rPr>
        <w:t>” refers to New OPAL and its subsidiaries, including OPAL Fuels, following consummation of the Business Combinations) is organized in an “Up-C” structure. New OPAL is the managing member of OPAL Fuels. OPAL Fuels directly or indirectly holds substantially all of the consolidated assets and business of New OPAL.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consummation of the Business Combination, the events summarized below, among others, occurred:</w:t>
      </w:r>
    </w:p>
    <w:p>
      <w:pPr>
        <w:spacing w:after="0" w:line="225" w:lineRule="exact"/>
        <w:rPr>
          <w:sz w:val="20"/>
          <w:szCs w:val="20"/>
          <w:color w:val="auto"/>
        </w:rPr>
      </w:pPr>
    </w:p>
    <w:p>
      <w:pPr>
        <w:jc w:val="both"/>
        <w:ind w:left="980" w:hanging="324"/>
        <w:spacing w:after="0" w:line="255" w:lineRule="auto"/>
        <w:tabs>
          <w:tab w:leader="none" w:pos="9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At the Closing, Opal HoldCo LLC (“</w:t>
      </w:r>
      <w:r>
        <w:rPr>
          <w:rFonts w:ascii="Arial" w:cs="Arial" w:eastAsia="Arial" w:hAnsi="Arial"/>
          <w:sz w:val="18"/>
          <w:szCs w:val="18"/>
          <w:b w:val="1"/>
          <w:bCs w:val="1"/>
          <w:i w:val="1"/>
          <w:iCs w:val="1"/>
          <w:color w:val="auto"/>
        </w:rPr>
        <w:t>OPAL Holdco</w:t>
      </w:r>
      <w:r>
        <w:rPr>
          <w:rFonts w:ascii="Arial" w:cs="Arial" w:eastAsia="Arial" w:hAnsi="Arial"/>
          <w:sz w:val="18"/>
          <w:szCs w:val="18"/>
          <w:color w:val="auto"/>
        </w:rPr>
        <w:t>”) and OPAL Fuels caused OPAL Fuels’ existing limited liability company agreement to be amended and restated to, among other things, admit New OPAL as a member of OPAL Fuels and to re-classify OPAL Fuels’ existing limited liability company membership interests into Class B Units of OPAL Fuels, calculated as a function of the pre-transaction equity value for OPAL Fuels equal to $1,501,870,000, less all principal and accrued interest outstanding immediately after the Closing pursuant to certain convertible promissory note, dated as of May 1, 2021 (as amended, including that certain First Amendment to Convertible Note, dated November 29, 2021), held by ARCC Beacon LLC (“</w:t>
      </w:r>
      <w:r>
        <w:rPr>
          <w:rFonts w:ascii="Arial" w:cs="Arial" w:eastAsia="Arial" w:hAnsi="Arial"/>
          <w:sz w:val="18"/>
          <w:szCs w:val="18"/>
          <w:b w:val="1"/>
          <w:bCs w:val="1"/>
          <w:i w:val="1"/>
          <w:iCs w:val="1"/>
          <w:color w:val="auto"/>
        </w:rPr>
        <w:t>Ares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At the Closing, ArcLight (i) contributed to OPAL Fuels $123,362,579 in cash, representing the sum of cash in the Trust Account as of immediately prior to the Closing (after giving effect to the ACT Share Redemptions from the Trust Account and the set aside of funds in escrow to support a forward purchase agreement (described further below)) plus the aggregate proceeds of the PIPE Investment and (ii) issued to OPAL Fuels 144,399,037 shares of New OPAL Class D common stock (which it in turn distributed to OPAL Holdco and Hillman), and (iii) issued 3,059,533 shares of New OPAL Class A common stock to Ares, collectively, in exchange for a number of Class A Units of OPAL Fuels equal to the 25,171,390 shares of New OPAL Class A common stock issued and outstanding.</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entering into the Business Combination Agreement, ArcLight entered into the Subscription Agreements with the PIPE Investors, pursuant to which, among other things, in connection with the consummation of the Business Combination, the PIPE Investors party thereto purchased an aggregate of 10,580,600 shares of New OPAL Class A common stock immediately prior to the Closing at a cash purchase price of $10.00 per share, resulting in aggregate proceeds of $105.8 million from the PIPE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related events that have taken place in connection with the Business Combination are summarized below:</w:t>
      </w:r>
    </w:p>
    <w:p>
      <w:pPr>
        <w:spacing w:after="0" w:line="225" w:lineRule="exact"/>
        <w:rPr>
          <w:sz w:val="20"/>
          <w:szCs w:val="20"/>
          <w:color w:val="auto"/>
        </w:rPr>
      </w:pPr>
    </w:p>
    <w:p>
      <w:pPr>
        <w:jc w:val="both"/>
        <w:ind w:left="980" w:hanging="324"/>
        <w:spacing w:after="0" w:line="279" w:lineRule="auto"/>
        <w:tabs>
          <w:tab w:leader="none" w:pos="9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Immediately prior to the execution of the Business Combination Agreement, OPAL Fuels entered into the Hillman Exchange Agreement with Hillman RNG Investments LLC (“</w:t>
      </w:r>
      <w:r>
        <w:rPr>
          <w:rFonts w:ascii="Arial" w:cs="Arial" w:eastAsia="Arial" w:hAnsi="Arial"/>
          <w:sz w:val="17"/>
          <w:szCs w:val="17"/>
          <w:b w:val="1"/>
          <w:bCs w:val="1"/>
          <w:i w:val="1"/>
          <w:iCs w:val="1"/>
          <w:color w:val="auto"/>
        </w:rPr>
        <w:t>Hillman</w:t>
      </w:r>
      <w:r>
        <w:rPr>
          <w:rFonts w:ascii="Arial" w:cs="Arial" w:eastAsia="Arial" w:hAnsi="Arial"/>
          <w:sz w:val="17"/>
          <w:szCs w:val="17"/>
          <w:color w:val="auto"/>
        </w:rPr>
        <w:t>”), pursuant to which Hillman has exchanged all of its Equity Interests in the Group Companies for 300,000 OPAL Fuels Series A-1 Preferred Units and 14 Pre-Closing Company Common Units. This transaction was consummated in December 2021, and has been reflected in the historical audited consolidated balance sheet as of December 31, 2021;</w:t>
      </w:r>
    </w:p>
    <w:p>
      <w:pPr>
        <w:spacing w:after="0" w:line="171"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Immediately prior to the execution of the Business Combination Agreement, the Company entered into the NextEra Subscription Agreement with Mendocino Capital, LLC, a Delaware limited liability company (“</w:t>
      </w:r>
      <w:r>
        <w:rPr>
          <w:rFonts w:ascii="Arial" w:cs="Arial" w:eastAsia="Arial" w:hAnsi="Arial"/>
          <w:sz w:val="18"/>
          <w:szCs w:val="18"/>
          <w:b w:val="1"/>
          <w:bCs w:val="1"/>
          <w:i w:val="1"/>
          <w:iCs w:val="1"/>
          <w:color w:val="auto"/>
        </w:rPr>
        <w:t>NextEra</w:t>
      </w:r>
      <w:r>
        <w:rPr>
          <w:rFonts w:ascii="Arial" w:cs="Arial" w:eastAsia="Arial" w:hAnsi="Arial"/>
          <w:sz w:val="18"/>
          <w:szCs w:val="18"/>
          <w:color w:val="auto"/>
        </w:rPr>
        <w:t>”), pursuant to which NextEra agreed to subscribe for up to an aggregate amount of 1,000,000 Company Series A Preferred Units. The Company had drawn $25.0 million as of March 31, 2022, issuing 250,000 Series A Preferred Units as of such date, and the Company drew the remaining $75.0 million issuing 750,000 Series A Preferred Units prior to the consummation of the Business Combination;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80" w:hanging="106"/>
        <w:spacing w:after="0"/>
        <w:tabs>
          <w:tab w:leader="none" w:pos="55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left="324" w:hanging="324"/>
        <w:spacing w:after="0" w:line="257" w:lineRule="auto"/>
        <w:tabs>
          <w:tab w:leader="none" w:pos="3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Immediately prior to the execution of the Business Combination Agreement, OPAL Fuels entered into that certain First Amendment to Convertible Note, dated November 29, 2021 (the “</w:t>
      </w:r>
      <w:r>
        <w:rPr>
          <w:rFonts w:ascii="Arial" w:cs="Arial" w:eastAsia="Arial" w:hAnsi="Arial"/>
          <w:sz w:val="18"/>
          <w:szCs w:val="18"/>
          <w:b w:val="1"/>
          <w:bCs w:val="1"/>
          <w:i w:val="1"/>
          <w:iCs w:val="1"/>
          <w:color w:val="auto"/>
        </w:rPr>
        <w:t>Ares First Amendment</w:t>
      </w:r>
      <w:r>
        <w:rPr>
          <w:rFonts w:ascii="Arial" w:cs="Arial" w:eastAsia="Arial" w:hAnsi="Arial"/>
          <w:sz w:val="18"/>
          <w:szCs w:val="18"/>
          <w:color w:val="auto"/>
        </w:rPr>
        <w:t>”), with Ares, pursuant to which Ares irrevocably agreed to exercise its right to convert fifty percent (50%) of the principal and accrued interest outstanding pursuant to the Ares Note into pre-Closing OPAL Fuels common units; On July 21, 2022, Ares elected to receive New OPAL Class A common stock in lieu of pre-Closing Opal Fuels common units.</w:t>
      </w:r>
    </w:p>
    <w:p>
      <w:pPr>
        <w:spacing w:after="0" w:line="187" w:lineRule="exact"/>
        <w:rPr>
          <w:rFonts w:ascii="Arial" w:cs="Arial" w:eastAsia="Arial" w:hAnsi="Arial"/>
          <w:sz w:val="18"/>
          <w:szCs w:val="18"/>
          <w:color w:val="auto"/>
        </w:rPr>
      </w:pPr>
    </w:p>
    <w:p>
      <w:pPr>
        <w:jc w:val="both"/>
        <w:ind w:left="324" w:hanging="324"/>
        <w:spacing w:after="0" w:line="272" w:lineRule="auto"/>
        <w:tabs>
          <w:tab w:leader="none" w:pos="32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Pursuant to the terms of the Sponsor Letter Agreement entered into on December 2, 2021 among ArcLight, ArcLight CTC Holdings II, L.P.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OPAL Fuels and certain other persons concurrently with the execution of the Business Combination Agreement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the Sponsor agreed to subject 10% of its New OPAL Class A common stock (received as a result of the conversion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ArcLight Class B ordinary shares immediately prior to the Closing) to vesting and forfeiture conditions relating to VWAP targets for New OPAL Class A common stock sustained over a period of 60 months following the Closing (“</w:t>
      </w:r>
      <w:r>
        <w:rPr>
          <w:rFonts w:ascii="Arial" w:cs="Arial" w:eastAsia="Arial" w:hAnsi="Arial"/>
          <w:sz w:val="17"/>
          <w:szCs w:val="17"/>
          <w:b w:val="1"/>
          <w:bCs w:val="1"/>
          <w:i w:val="1"/>
          <w:iCs w:val="1"/>
          <w:color w:val="auto"/>
        </w:rPr>
        <w:t>Sponsor Earnout Awards</w:t>
      </w:r>
      <w:r>
        <w:rPr>
          <w:rFonts w:ascii="Arial" w:cs="Arial" w:eastAsia="Arial" w:hAnsi="Arial"/>
          <w:sz w:val="17"/>
          <w:szCs w:val="17"/>
          <w:color w:val="auto"/>
        </w:rPr>
        <w:t xml:space="preserve">”). For more information, see the section titled </w:t>
      </w:r>
      <w:r>
        <w:rPr>
          <w:rFonts w:ascii="Arial" w:cs="Arial" w:eastAsia="Arial" w:hAnsi="Arial"/>
          <w:sz w:val="17"/>
          <w:szCs w:val="17"/>
          <w:i w:val="1"/>
          <w:iCs w:val="1"/>
          <w:color w:val="auto"/>
        </w:rPr>
        <w:t>“The Business Combination Agreement — Sponsor Letter Agreement”</w:t>
      </w:r>
      <w:r>
        <w:rPr>
          <w:rFonts w:ascii="Arial" w:cs="Arial" w:eastAsia="Arial" w:hAnsi="Arial"/>
          <w:sz w:val="17"/>
          <w:szCs w:val="17"/>
          <w:color w:val="auto"/>
        </w:rPr>
        <w:t xml:space="preserve"> beginning on page 147 of the Proxy Statement/Prospectus and incorporated herein by reference.</w:t>
      </w:r>
    </w:p>
    <w:p>
      <w:pPr>
        <w:spacing w:after="0" w:line="177" w:lineRule="exact"/>
        <w:rPr>
          <w:rFonts w:ascii="Arial" w:cs="Arial" w:eastAsia="Arial" w:hAnsi="Arial"/>
          <w:sz w:val="17"/>
          <w:szCs w:val="17"/>
          <w:color w:val="auto"/>
        </w:rPr>
      </w:pPr>
    </w:p>
    <w:p>
      <w:pPr>
        <w:jc w:val="both"/>
        <w:ind w:left="324" w:hanging="324"/>
        <w:spacing w:after="0" w:line="288" w:lineRule="auto"/>
        <w:tabs>
          <w:tab w:leader="none" w:pos="32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Effective immediately after the Closing, and upon the date on which New OPAL’s annual EBITDA for the calendar year 2023 exceeds $238.0 million (the “</w:t>
      </w:r>
      <w:r>
        <w:rPr>
          <w:rFonts w:ascii="Arial" w:cs="Arial" w:eastAsia="Arial" w:hAnsi="Arial"/>
          <w:sz w:val="16"/>
          <w:szCs w:val="16"/>
          <w:b w:val="1"/>
          <w:bCs w:val="1"/>
          <w:i w:val="1"/>
          <w:iCs w:val="1"/>
          <w:color w:val="auto"/>
        </w:rPr>
        <w:t>First Earnout Triggering Event</w:t>
      </w:r>
      <w:r>
        <w:rPr>
          <w:rFonts w:ascii="Arial" w:cs="Arial" w:eastAsia="Arial" w:hAnsi="Arial"/>
          <w:sz w:val="16"/>
          <w:szCs w:val="16"/>
          <w:color w:val="auto"/>
        </w:rPr>
        <w:t>”), (i) New OPAL will issue to OPAL Fuels Common Equity holders (the “</w:t>
      </w:r>
      <w:r>
        <w:rPr>
          <w:rFonts w:ascii="Arial" w:cs="Arial" w:eastAsia="Arial" w:hAnsi="Arial"/>
          <w:sz w:val="16"/>
          <w:szCs w:val="16"/>
          <w:b w:val="1"/>
          <w:bCs w:val="1"/>
          <w:i w:val="1"/>
          <w:iCs w:val="1"/>
          <w:color w:val="auto"/>
        </w:rPr>
        <w:t>Earnout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Participants</w:t>
      </w:r>
      <w:r>
        <w:rPr>
          <w:rFonts w:ascii="Arial" w:cs="Arial" w:eastAsia="Arial" w:hAnsi="Arial"/>
          <w:sz w:val="16"/>
          <w:szCs w:val="16"/>
          <w:color w:val="auto"/>
        </w:rPr>
        <w:t>”) an aggregate of 5,000,000 shares of New OPAL Class B common stock and New OPAL Class D common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corresponding OPAL Common Units (collectively, the “</w:t>
      </w:r>
      <w:r>
        <w:rPr>
          <w:rFonts w:ascii="Arial" w:cs="Arial" w:eastAsia="Arial" w:hAnsi="Arial"/>
          <w:sz w:val="16"/>
          <w:szCs w:val="16"/>
          <w:b w:val="1"/>
          <w:bCs w:val="1"/>
          <w:i w:val="1"/>
          <w:iCs w:val="1"/>
          <w:color w:val="auto"/>
        </w:rPr>
        <w:t>First Earnout Tranche</w:t>
      </w:r>
      <w:r>
        <w:rPr>
          <w:rFonts w:ascii="Arial" w:cs="Arial" w:eastAsia="Arial" w:hAnsi="Arial"/>
          <w:sz w:val="16"/>
          <w:szCs w:val="16"/>
          <w:color w:val="auto"/>
        </w:rPr>
        <w:t>”) in accordance with the allocations set forth in the Business Combination Agreement. Additionally, upon the date on which New OPAL’s annual EBITDA for the calendar year 2024 exceeds $446.0 million (the “</w:t>
      </w:r>
      <w:r>
        <w:rPr>
          <w:rFonts w:ascii="Arial" w:cs="Arial" w:eastAsia="Arial" w:hAnsi="Arial"/>
          <w:sz w:val="16"/>
          <w:szCs w:val="16"/>
          <w:b w:val="1"/>
          <w:bCs w:val="1"/>
          <w:i w:val="1"/>
          <w:iCs w:val="1"/>
          <w:color w:val="auto"/>
        </w:rPr>
        <w:t>Second Earnout Triggering Event</w:t>
      </w:r>
      <w:r>
        <w:rPr>
          <w:rFonts w:ascii="Arial" w:cs="Arial" w:eastAsia="Arial" w:hAnsi="Arial"/>
          <w:sz w:val="16"/>
          <w:szCs w:val="16"/>
          <w:color w:val="auto"/>
        </w:rPr>
        <w:t>”), (i) New OPAL will issue to the Earnout Participants an aggregate of 5,000,000 additional shares of New OPAL Class B common stock and New OPAL Class D common stock and corresponding OPAL Common Units (collectively, the “</w:t>
      </w:r>
      <w:r>
        <w:rPr>
          <w:rFonts w:ascii="Arial" w:cs="Arial" w:eastAsia="Arial" w:hAnsi="Arial"/>
          <w:sz w:val="16"/>
          <w:szCs w:val="16"/>
          <w:b w:val="1"/>
          <w:bCs w:val="1"/>
          <w:i w:val="1"/>
          <w:iCs w:val="1"/>
          <w:color w:val="auto"/>
        </w:rPr>
        <w:t>Second Earnout Tranche</w:t>
      </w:r>
      <w:r>
        <w:rPr>
          <w:rFonts w:ascii="Arial" w:cs="Arial" w:eastAsia="Arial" w:hAnsi="Arial"/>
          <w:sz w:val="16"/>
          <w:szCs w:val="16"/>
          <w:color w:val="auto"/>
        </w:rPr>
        <w:t>”) in accordance with the allocations set forth in the Business Combination Agreement (“</w:t>
      </w:r>
      <w:r>
        <w:rPr>
          <w:rFonts w:ascii="Arial" w:cs="Arial" w:eastAsia="Arial" w:hAnsi="Arial"/>
          <w:sz w:val="16"/>
          <w:szCs w:val="16"/>
          <w:b w:val="1"/>
          <w:bCs w:val="1"/>
          <w:i w:val="1"/>
          <w:iCs w:val="1"/>
          <w:color w:val="auto"/>
        </w:rPr>
        <w:t>OPAL Earnout Awards</w:t>
      </w:r>
      <w:r>
        <w:rPr>
          <w:rFonts w:ascii="Arial" w:cs="Arial" w:eastAsia="Arial" w:hAnsi="Arial"/>
          <w:sz w:val="16"/>
          <w:szCs w:val="16"/>
          <w:color w:val="auto"/>
        </w:rPr>
        <w:t>”). For more information, see the section titled “</w:t>
      </w:r>
      <w:r>
        <w:rPr>
          <w:rFonts w:ascii="Arial" w:cs="Arial" w:eastAsia="Arial" w:hAnsi="Arial"/>
          <w:sz w:val="16"/>
          <w:szCs w:val="16"/>
          <w:i w:val="1"/>
          <w:iCs w:val="1"/>
          <w:color w:val="auto"/>
        </w:rPr>
        <w:t>The Business Combination Agreement — Consideration to OPAL</w:t>
      </w:r>
      <w:r>
        <w:rPr>
          <w:rFonts w:ascii="Arial" w:cs="Arial" w:eastAsia="Arial" w:hAnsi="Arial"/>
          <w:sz w:val="16"/>
          <w:szCs w:val="16"/>
          <w:color w:val="auto"/>
        </w:rPr>
        <w:t xml:space="preserve"> </w:t>
      </w:r>
      <w:r>
        <w:rPr>
          <w:rFonts w:ascii="Arial" w:cs="Arial" w:eastAsia="Arial" w:hAnsi="Arial"/>
          <w:sz w:val="16"/>
          <w:szCs w:val="16"/>
          <w:i w:val="1"/>
          <w:iCs w:val="1"/>
          <w:color w:val="auto"/>
        </w:rPr>
        <w:t>Fuels Holders in the Business Combination</w:t>
      </w:r>
      <w:r>
        <w:rPr>
          <w:rFonts w:ascii="Arial" w:cs="Arial" w:eastAsia="Arial" w:hAnsi="Arial"/>
          <w:sz w:val="16"/>
          <w:szCs w:val="16"/>
          <w:color w:val="auto"/>
        </w:rPr>
        <w:t>” beginning on page 128 of the Proxy Statement/Prospectus and incorporated herein by reference.</w:t>
      </w:r>
    </w:p>
    <w:p>
      <w:pPr>
        <w:spacing w:after="0" w:line="168" w:lineRule="exact"/>
        <w:rPr>
          <w:rFonts w:ascii="Arial" w:cs="Arial" w:eastAsia="Arial" w:hAnsi="Arial"/>
          <w:sz w:val="16"/>
          <w:szCs w:val="16"/>
          <w:color w:val="auto"/>
        </w:rPr>
      </w:pPr>
    </w:p>
    <w:p>
      <w:pPr>
        <w:jc w:val="both"/>
        <w:ind w:left="324" w:hanging="324"/>
        <w:spacing w:after="0" w:line="272" w:lineRule="auto"/>
        <w:tabs>
          <w:tab w:leader="none" w:pos="32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Pursuant to a forward share purchase agreement (the “Forward Purchase Agreement”) entered into between ArcLight and Meteora Capital Partners and its affiliates (collectively, “</w:t>
      </w:r>
      <w:r>
        <w:rPr>
          <w:rFonts w:ascii="Arial" w:cs="Arial" w:eastAsia="Arial" w:hAnsi="Arial"/>
          <w:sz w:val="17"/>
          <w:szCs w:val="17"/>
          <w:b w:val="1"/>
          <w:bCs w:val="1"/>
          <w:i w:val="1"/>
          <w:iCs w:val="1"/>
          <w:color w:val="auto"/>
        </w:rPr>
        <w:t>Meteora</w:t>
      </w:r>
      <w:r>
        <w:rPr>
          <w:rFonts w:ascii="Arial" w:cs="Arial" w:eastAsia="Arial" w:hAnsi="Arial"/>
          <w:sz w:val="17"/>
          <w:szCs w:val="17"/>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obligation to repurchase these 2,000,000 shares at Meteora’s option for a price of $10.02 per share on the date that is six months after Closing of the Business Combination.</w:t>
      </w:r>
    </w:p>
    <w:p>
      <w:pPr>
        <w:spacing w:after="0" w:line="177" w:lineRule="exact"/>
        <w:rPr>
          <w:rFonts w:ascii="Arial" w:cs="Arial" w:eastAsia="Arial" w:hAnsi="Arial"/>
          <w:sz w:val="17"/>
          <w:szCs w:val="17"/>
          <w:color w:val="auto"/>
        </w:rPr>
      </w:pPr>
    </w:p>
    <w:p>
      <w:pPr>
        <w:jc w:val="both"/>
        <w:ind w:left="324" w:hanging="324"/>
        <w:spacing w:after="0" w:line="272" w:lineRule="auto"/>
        <w:tabs>
          <w:tab w:leader="none" w:pos="32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Pursuant to a July 21, 2022 agreement between Encompass Capital Advisors LLC (“</w:t>
      </w:r>
      <w:r>
        <w:rPr>
          <w:rFonts w:ascii="Arial" w:cs="Arial" w:eastAsia="Arial" w:hAnsi="Arial"/>
          <w:sz w:val="17"/>
          <w:szCs w:val="17"/>
          <w:b w:val="1"/>
          <w:bCs w:val="1"/>
          <w:i w:val="1"/>
          <w:iCs w:val="1"/>
          <w:color w:val="auto"/>
        </w:rPr>
        <w:t>Encompass</w:t>
      </w:r>
      <w:r>
        <w:rPr>
          <w:rFonts w:ascii="Arial" w:cs="Arial" w:eastAsia="Arial" w:hAnsi="Arial"/>
          <w:sz w:val="17"/>
          <w:szCs w:val="17"/>
          <w:color w:val="auto"/>
        </w:rPr>
        <w:t>”) and the Sponsor, prior to the closing of the Business Combination, certain fund entities and managed accounts for which Encompass exercises investment discretion purchased 1,320,849 Class A ordinary shares of Arclight, in the aggregate, from shareholders that had previously tendered such shares for redemption but agreed to reverse their redemption and sell such shares to Encompass, resulting in Encompass’ beneficial ownership of a total of 1,320,849 Class A ordinary shares, which Encompass agreed not to redeem in connection with the Business Combination. Additionally, the Sponsor agreed to transfer to Encompass for no consideration, 1,985,236 of the Sponsor’s private placement warrants, which warrants are subject to a 9.9% beneficial ownership limitation on exercise.</w:t>
      </w:r>
    </w:p>
    <w:p>
      <w:pPr>
        <w:spacing w:after="0" w:line="177" w:lineRule="exact"/>
        <w:rPr>
          <w:rFonts w:ascii="Arial" w:cs="Arial" w:eastAsia="Arial" w:hAnsi="Arial"/>
          <w:sz w:val="17"/>
          <w:szCs w:val="17"/>
          <w:color w:val="auto"/>
        </w:rPr>
      </w:pPr>
    </w:p>
    <w:p>
      <w:pPr>
        <w:jc w:val="both"/>
        <w:ind w:left="324" w:hanging="324"/>
        <w:spacing w:after="0" w:line="290" w:lineRule="auto"/>
        <w:tabs>
          <w:tab w:leader="none" w:pos="32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Additionally, in connection with the Closing, OPAL Fuels and Sponsor entered into a letter agreement (the “</w:t>
      </w:r>
      <w:r>
        <w:rPr>
          <w:rFonts w:ascii="Arial" w:cs="Arial" w:eastAsia="Arial" w:hAnsi="Arial"/>
          <w:sz w:val="16"/>
          <w:szCs w:val="16"/>
          <w:b w:val="1"/>
          <w:bCs w:val="1"/>
          <w:i w:val="1"/>
          <w:iCs w:val="1"/>
          <w:color w:val="auto"/>
        </w:rPr>
        <w:t>Sponsor Side Letter</w:t>
      </w:r>
      <w:r>
        <w:rPr>
          <w:rFonts w:ascii="Arial" w:cs="Arial" w:eastAsia="Arial" w:hAnsi="Arial"/>
          <w:sz w:val="16"/>
          <w:szCs w:val="16"/>
          <w:color w:val="auto"/>
        </w:rPr>
        <w:t>”) whereby Sponsor agreed to transfer, pledge or forfeit up to 150,000 shares of New OPAL Class A common stock held by Sponsor for the benefit of a third party non-affiliate of the Company where no consideration is received by Sponsor in respect thereof, upon and in accordance with the written direction of OPAL Fuels. Pursuant to such letter agreement, Sponsor further agreed that if the Company were to receive less than $6,800,000 in cash upon the release of the escrow fund established pursuant to the Forward Purchase Agreement (such shortfall amount being referred to as the “</w:t>
      </w:r>
      <w:r>
        <w:rPr>
          <w:rFonts w:ascii="Arial" w:cs="Arial" w:eastAsia="Arial" w:hAnsi="Arial"/>
          <w:sz w:val="16"/>
          <w:szCs w:val="16"/>
          <w:b w:val="1"/>
          <w:bCs w:val="1"/>
          <w:i w:val="1"/>
          <w:iCs w:val="1"/>
          <w:color w:val="auto"/>
        </w:rPr>
        <w:t>Shortfall Amount</w:t>
      </w:r>
      <w:r>
        <w:rPr>
          <w:rFonts w:ascii="Arial" w:cs="Arial" w:eastAsia="Arial" w:hAnsi="Arial"/>
          <w:sz w:val="16"/>
          <w:szCs w:val="16"/>
          <w:color w:val="auto"/>
        </w:rPr>
        <w:t>”), Sponsor shall transfer, pledge or forfeit up to an additional 102,000 of the Sponsor Earnout Awards (shares of New OPAL Class A common stock subject to vesting conditions noted above), with such maximum number of shares pro-rated on a directly proportionate basis based on the size of the Shortfall Amount relative to $6,800,000.</w:t>
      </w:r>
    </w:p>
    <w:p>
      <w:pPr>
        <w:spacing w:after="0" w:line="381" w:lineRule="exact"/>
        <w:rPr>
          <w:rFonts w:ascii="Arial" w:cs="Arial" w:eastAsia="Arial" w:hAnsi="Arial"/>
          <w:sz w:val="16"/>
          <w:szCs w:val="16"/>
          <w:color w:val="auto"/>
        </w:rPr>
      </w:pPr>
    </w:p>
    <w:p>
      <w:pPr>
        <w:ind w:left="4924" w:hanging="106"/>
        <w:spacing w:after="0"/>
        <w:tabs>
          <w:tab w:leader="none" w:pos="492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7" w:name="page238"/>
    <w:bookmarkEnd w:id="237"/>
    <w:p>
      <w:pPr>
        <w:jc w:val="both"/>
        <w:ind w:firstLine="648"/>
        <w:spacing w:after="0" w:line="289" w:lineRule="auto"/>
        <w:rPr>
          <w:sz w:val="20"/>
          <w:szCs w:val="20"/>
          <w:color w:val="auto"/>
        </w:rPr>
      </w:pPr>
      <w:r>
        <w:rPr>
          <w:rFonts w:ascii="Arial" w:cs="Arial" w:eastAsia="Arial" w:hAnsi="Arial"/>
          <w:sz w:val="16"/>
          <w:szCs w:val="16"/>
          <w:color w:val="auto"/>
        </w:rPr>
        <w:t>Upon the completion of the Business Combination, New OPAL entered into the Tax Receivable Agreement with OPAL Holdco and Hillman (such persons, and any other persons that from time to time become a party to such agreement, collectively, the “</w:t>
      </w:r>
      <w:r>
        <w:rPr>
          <w:rFonts w:ascii="Arial" w:cs="Arial" w:eastAsia="Arial" w:hAnsi="Arial"/>
          <w:sz w:val="16"/>
          <w:szCs w:val="16"/>
          <w:b w:val="1"/>
          <w:bCs w:val="1"/>
          <w:i w:val="1"/>
          <w:iCs w:val="1"/>
          <w:color w:val="auto"/>
        </w:rPr>
        <w:t>TRA Participants</w:t>
      </w:r>
      <w:r>
        <w:rPr>
          <w:rFonts w:ascii="Arial" w:cs="Arial" w:eastAsia="Arial" w:hAnsi="Arial"/>
          <w:sz w:val="16"/>
          <w:szCs w:val="16"/>
          <w:color w:val="auto"/>
        </w:rPr>
        <w:t>”), pursuant to which New OPAL generally will be required to pay to the OPAL Fuels Equityholders, in the aggregate, 85% of the amount of cash savings, if any, in U.S. federal, state and local income tax or franchise tax that New OPAL actually realizes as a result of (i) increases to the tax basis of OPAL Fuels’ assets resulting from future redemptions or exchanges of OPAL Units (together with voting shares of New OPAL Common Stock) for shares of New OPAL Class A common stock or New OPAL Class C common stock, as applicable, or cash, (ii) tax benefits related to imputed interest, and (iii) tax attributes resulting from payments made under the Tax Receivable Agreement. The payment obligations under the Tax Receivable Agreement are New OPAL’s obligations and not obligations of OPAL Fuels. For more information about the Tax Receivable Agreement, see the section titled “</w:t>
      </w:r>
      <w:r>
        <w:rPr>
          <w:rFonts w:ascii="Arial" w:cs="Arial" w:eastAsia="Arial" w:hAnsi="Arial"/>
          <w:sz w:val="16"/>
          <w:szCs w:val="16"/>
          <w:i w:val="1"/>
          <w:iCs w:val="1"/>
          <w:color w:val="auto"/>
        </w:rPr>
        <w:t>The Business Combination —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 — Tax Receivable Agreement</w:t>
      </w:r>
      <w:r>
        <w:rPr>
          <w:rFonts w:ascii="Arial" w:cs="Arial" w:eastAsia="Arial" w:hAnsi="Arial"/>
          <w:sz w:val="16"/>
          <w:szCs w:val="16"/>
          <w:color w:val="auto"/>
        </w:rPr>
        <w:t>” beginning on page 144 of the Proxy Statement/Prospectus and incorporated herein by reference.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2022, ArcLight’s and OPAL Fuels’ Advisors resigned and withdrew from their engagements in connection with the Business Combination. Please see “</w:t>
      </w:r>
      <w:r>
        <w:rPr>
          <w:rFonts w:ascii="Arial" w:cs="Arial" w:eastAsia="Arial" w:hAnsi="Arial"/>
          <w:sz w:val="18"/>
          <w:szCs w:val="18"/>
          <w:i w:val="1"/>
          <w:iCs w:val="1"/>
          <w:color w:val="auto"/>
        </w:rPr>
        <w:t>Summary — Recent Developments,</w:t>
      </w:r>
      <w:r>
        <w:rPr>
          <w:rFonts w:ascii="Arial" w:cs="Arial" w:eastAsia="Arial" w:hAnsi="Arial"/>
          <w:sz w:val="18"/>
          <w:szCs w:val="18"/>
          <w:color w:val="auto"/>
        </w:rPr>
        <w:t>” beginning on page 42 of the Proxy Statement/Prospectus and incorporated herein by reference, for a description of the potential impacts of such resignation on the Business Combination and Note 6 to this unaudited pro forma condensed combined financial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Beacon Transaction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30, 2021, OPAL Fuels and Ares signed the Exchange Agreement (the “</w:t>
      </w:r>
      <w:r>
        <w:rPr>
          <w:rFonts w:ascii="Arial" w:cs="Arial" w:eastAsia="Arial" w:hAnsi="Arial"/>
          <w:sz w:val="18"/>
          <w:szCs w:val="18"/>
          <w:b w:val="1"/>
          <w:bCs w:val="1"/>
          <w:i w:val="1"/>
          <w:iCs w:val="1"/>
          <w:color w:val="auto"/>
        </w:rPr>
        <w:t>Exchange Agreement</w:t>
      </w:r>
      <w:r>
        <w:rPr>
          <w:rFonts w:ascii="Arial" w:cs="Arial" w:eastAsia="Arial" w:hAnsi="Arial"/>
          <w:sz w:val="18"/>
          <w:szCs w:val="18"/>
          <w:color w:val="auto"/>
        </w:rPr>
        <w:t>”) which outlines terms that were substantially agreed to on April 30, 2021. Pursuant to the Exchange Agreement, OPAL Fuels issued an unsecured convertible promissory note (the “</w:t>
      </w:r>
      <w:r>
        <w:rPr>
          <w:rFonts w:ascii="Arial" w:cs="Arial" w:eastAsia="Arial" w:hAnsi="Arial"/>
          <w:sz w:val="18"/>
          <w:szCs w:val="18"/>
          <w:b w:val="1"/>
          <w:bCs w:val="1"/>
          <w:i w:val="1"/>
          <w:iCs w:val="1"/>
          <w:color w:val="auto"/>
        </w:rPr>
        <w:t>Convertible Note</w:t>
      </w:r>
      <w:r>
        <w:rPr>
          <w:rFonts w:ascii="Arial" w:cs="Arial" w:eastAsia="Arial" w:hAnsi="Arial"/>
          <w:sz w:val="18"/>
          <w:szCs w:val="18"/>
          <w:color w:val="auto"/>
        </w:rPr>
        <w:t>”) in return for Ares’ assignment of its 58% Class B units in Beacon JV to OPAL Fuels (the “</w:t>
      </w:r>
      <w:r>
        <w:rPr>
          <w:rFonts w:ascii="Arial" w:cs="Arial" w:eastAsia="Arial" w:hAnsi="Arial"/>
          <w:sz w:val="18"/>
          <w:szCs w:val="18"/>
          <w:b w:val="1"/>
          <w:bCs w:val="1"/>
          <w:i w:val="1"/>
          <w:iCs w:val="1"/>
          <w:color w:val="auto"/>
        </w:rPr>
        <w:t>Assignment Agreement</w:t>
      </w:r>
      <w:r>
        <w:rPr>
          <w:rFonts w:ascii="Arial" w:cs="Arial" w:eastAsia="Arial" w:hAnsi="Arial"/>
          <w:sz w:val="18"/>
          <w:szCs w:val="18"/>
          <w:color w:val="auto"/>
        </w:rPr>
        <w:t>”). The transfer date of the aforementioned consideration was set to May 1, 2021. As agreed to on April 30, 2021, OPAL Fuels obtained unilateral control over Beacon JV on May 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Accounting Adjustments</w:t>
      </w:r>
      <w:r>
        <w:rPr>
          <w:rFonts w:ascii="Arial" w:cs="Arial" w:eastAsia="Arial" w:hAnsi="Arial"/>
          <w:sz w:val="16"/>
          <w:szCs w:val="16"/>
          <w:color w:val="auto"/>
        </w:rPr>
        <w:t>”) and present the reasonably estimable synergies and other transaction effects that have occurred or are reasonably expected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 (“</w:t>
      </w:r>
      <w:r>
        <w:rPr>
          <w:rFonts w:ascii="Arial" w:cs="Arial" w:eastAsia="Arial" w:hAnsi="Arial"/>
          <w:sz w:val="16"/>
          <w:szCs w:val="16"/>
          <w:b w:val="1"/>
          <w:bCs w:val="1"/>
          <w:i w:val="1"/>
          <w:iCs w:val="1"/>
          <w:color w:val="auto"/>
        </w:rPr>
        <w:t>Management’s Adjustments</w:t>
      </w:r>
      <w:r>
        <w:rPr>
          <w:rFonts w:ascii="Arial" w:cs="Arial" w:eastAsia="Arial" w:hAnsi="Arial"/>
          <w:sz w:val="16"/>
          <w:szCs w:val="16"/>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unaudited pro forma condensed combined financial information is subject to several uncertainties and assumptions as described herein. The combined financial information presents the pro forma effects of the Business Combination and other events as described in Note 1.</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Transaction Accounting Adjustments reflecting the consummation of the Transactions are based on certain currently available information and certain assumptions and methodologies that ArcLight believes are reasonable under the circumstances. The Transaction Accounting Adjustments, which are described in the accompanying notes, may be revised as additional information becomes available and is evaluated. Therefore, it is likely that the actual adjustments will differ from the Transaction Accounting Adjustments, and it is possible the difference may be material. New OPAL believes that its assumptions and methodologies provide a reasonable basis for presenting all of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jc w:val="both"/>
        <w:ind w:firstLine="648"/>
        <w:spacing w:after="0" w:line="286" w:lineRule="auto"/>
        <w:rPr>
          <w:sz w:val="20"/>
          <w:szCs w:val="20"/>
          <w:color w:val="auto"/>
        </w:rPr>
      </w:pPr>
      <w:r>
        <w:rPr>
          <w:rFonts w:ascii="Arial" w:cs="Arial" w:eastAsia="Arial" w:hAnsi="Arial"/>
          <w:sz w:val="17"/>
          <w:szCs w:val="17"/>
          <w:color w:val="auto"/>
        </w:rPr>
        <w:t>The unaudited pro forma condensed combined financial information does not give effect to any anticipated synergies, operating efficiencies, tax savings, or cost savings that may be associated with the Transactions. ArcLight has not had any historical relationship with OPAL Fuels prior to the Business Combination. Accordingly, no Transaction Accounting Adjustments were required to eliminate activities between the companies.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Class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New OPAL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Pro forma</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 Stock</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(Shares)</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Ownership</w:t>
            </w:r>
          </w:p>
        </w:tc>
        <w:tc>
          <w:tcPr>
            <w:tcW w:w="160" w:type="dxa"/>
            <w:vAlign w:val="bottom"/>
            <w:tcBorders>
              <w:bottom w:val="single" w:sz="8" w:color="CCEEFF"/>
            </w:tcBorders>
            <w:gridSpan w:val="2"/>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ArcLight Public Shareholders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Class 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3,752,181</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Sponsor Shareholders (1)</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7,779,076</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Class 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10,580,600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Ares</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3,059,533</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OPAL Fuels Common Equityholders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144,399,037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Hillman</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Class 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2,021,587</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OPAL HoldCo</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Class 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142,377,450</w:t>
            </w: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84.0%</w:t>
            </w:r>
          </w:p>
        </w:tc>
      </w:tr>
      <w:tr>
        <w:trPr>
          <w:trHeight w:val="237"/>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 forma common stock at Closing</w:t>
            </w:r>
          </w:p>
        </w:tc>
        <w:tc>
          <w:tcPr>
            <w:tcW w:w="12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169,570,427</w:t>
            </w:r>
          </w:p>
        </w:tc>
        <w:tc>
          <w:tcPr>
            <w:tcW w:w="22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1"/>
        </w:trPr>
        <w:tc>
          <w:tcPr>
            <w:tcW w:w="7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Includes 763,907 of New OPAL Class A common stock held directly by the Sponsor that are legally issued and outstanding, and subject to forfeiture pursuant to the Sponsor Letter Agreement dated December 2, 2021, and an additional 150,000 of New OPAL Class A common stock held directly by the Sponsor that are subject to forfeiture pursuant to the Sponsor Side Letter.</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Please refer to the section titled “</w:t>
      </w:r>
      <w:r>
        <w:rPr>
          <w:rFonts w:ascii="Arial" w:cs="Arial" w:eastAsia="Arial" w:hAnsi="Arial"/>
          <w:sz w:val="18"/>
          <w:szCs w:val="18"/>
          <w:i w:val="1"/>
          <w:iCs w:val="1"/>
          <w:color w:val="auto"/>
        </w:rPr>
        <w:t>Description of New OPAL’s Capital Stock</w:t>
      </w:r>
      <w:r>
        <w:rPr>
          <w:rFonts w:ascii="Arial" w:cs="Arial" w:eastAsia="Arial" w:hAnsi="Arial"/>
          <w:sz w:val="18"/>
          <w:szCs w:val="18"/>
          <w:color w:val="auto"/>
        </w:rPr>
        <w:t>” beginning on page 296 of the Proxy Statement/Prospectus and incorporated herein by reference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Accounting for the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Business Combination is a common control transaction accounted for similar to a reverse recapitalization, with no goodwill or other intangible assets recorded, in accordance with GAAP. OPAL HoldCo held a controlling financial interest in OPAL Fuels prior to the closing date. At transaction close, OPAL HoldCo obtained a controlling financial interest in New OPAL and indirectly retained control over OPAL Fuels through New OPAL. OPAL HoldCo did not relinquish control over OPAL Fuels during the transaction, instead it affected a transfer of a controlled subsidiary (i.e., OPAL Fuels) to a newly-controlled subsidiary (i.e., New OPAL) in exchange for issuing Class A common units of OPAL Fuels for the net assets of New OPAL.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i w:val="1"/>
          <w:iCs w:val="1"/>
          <w:color w:val="auto"/>
        </w:rPr>
        <w:t>Earnout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Earnout Awards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Sponsor Earnout Awards will be classified as a liability as their settlement terms contain certain variables that preclude them from being considered indexed to New OPAL’s common stock under the “fixed-for-fixed” requirement in ASC 815-40. The estimated fair value of the Sponsor Earnout Awards liability is approximately $5.9 million.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Sponsor Earnout Awards was determined using a Monte Carlo valuation model with a distribution of potential outcomes on a daily basis over the 5-year post-close period, and incorporating the most reliable information available as of the March 31, 2022 valuation date. Assumptions used in the valuation are as follows:</w:t>
      </w:r>
    </w:p>
    <w:p>
      <w:pPr>
        <w:spacing w:after="0" w:line="184" w:lineRule="exact"/>
        <w:rPr>
          <w:sz w:val="20"/>
          <w:szCs w:val="20"/>
          <w:color w:val="auto"/>
        </w:rPr>
      </w:pPr>
    </w:p>
    <w:p>
      <w:pPr>
        <w:ind w:left="980" w:hanging="324"/>
        <w:spacing w:after="0"/>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Current stock price — The ArcLight closing stock price of $9.92 as of March 31, 2022;</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Expected volatility — The volatility rate was determined based on historical and implied volatilities of selected industry peers deemed to be comparable to our business corresponding to the expected term of the awards;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Expected term — The expected term is the 5 years following the closing;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Expected dividend yield — The expected dividend yield is zero, as we do not anticipate distributing dividends on the common stock in the expected term.</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Sponsor Earnout Awards has been recorded in the unaudited pro forma condensed combined balance sheet. See Note 6(m). Topic 815 provides guidance that changes in the fair value of the Sponsor Earnout Awards liability in future periods will be recognized in the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OPAL Earnout Awards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OPAL Earnout Awards will be classified as a liability under Topic 480 because they are considered indexed to an obligation to repurchase shares by delivering cash or other assets as a result of certain settlement provisions. OPAL Earnout Awards are a possible exception to this accounting treatment as Ares elected to receive New Opal Class A common stock in lieu of pre-Closing Opal Fuels common units. The accounting conclusion regarding the classification of the OPAL Earnout Awards is still under evaluation, and for purposes of the unaudited condensed combined pro forma information these awards are presented as liability classified on a preliminary basis. The estimated fair value of the OPAL Earnout Awards liability is approximately $46.1 million.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of OPAL Earnout Awards was determined using a Monte Carlo valuation model with a distribution of potential outcomes for stock price and EBITDA over the 2-year period commencing on January 1, 2023 and ending on December 31, 2024, and incorporating the most reliable information available as of the March 31, 2022 valuation date. Assumptions used in the valuation are as follows:</w:t>
      </w:r>
    </w:p>
    <w:p>
      <w:pPr>
        <w:spacing w:after="0" w:line="165" w:lineRule="exact"/>
        <w:rPr>
          <w:sz w:val="20"/>
          <w:szCs w:val="20"/>
          <w:color w:val="auto"/>
        </w:rPr>
      </w:pPr>
    </w:p>
    <w:p>
      <w:pPr>
        <w:ind w:left="980" w:hanging="324"/>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Current stock price — The ArcLight closing stock price of $9.92 as of March 31, 2022;</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Weighted average cost of capital (“</w:t>
      </w:r>
      <w:r>
        <w:rPr>
          <w:rFonts w:ascii="Arial" w:cs="Arial" w:eastAsia="Arial" w:hAnsi="Arial"/>
          <w:sz w:val="18"/>
          <w:szCs w:val="18"/>
          <w:b w:val="1"/>
          <w:bCs w:val="1"/>
          <w:i w:val="1"/>
          <w:iCs w:val="1"/>
          <w:color w:val="auto"/>
        </w:rPr>
        <w:t>WACC</w:t>
      </w:r>
      <w:r>
        <w:rPr>
          <w:rFonts w:ascii="Arial" w:cs="Arial" w:eastAsia="Arial" w:hAnsi="Arial"/>
          <w:sz w:val="18"/>
          <w:szCs w:val="18"/>
          <w:color w:val="auto"/>
        </w:rPr>
        <w:t>”) — The WACC reflected a derived cost of capital informed by research on cost of capital of a selection of comparable public companies;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Expected volatility — The volatility rate was determined by using an average of historical volatilities of selected industry peers deemed to be comparable to our business corresponding to the expected term of the awards;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Expected term — The expected term is the 2 years earnout period;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Expected dividend yield — The expected dividend yield is zero, as we do not anticipate distributing dividends on the common stock in the expected term;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EBITDA forecast internally derived by OPAL Fuels for the earnout period.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OPAL Earnout Awards has been recorded in the unaudited pro forma condensed combined balance sheet. See Note 6(m). Topic 480 provides guidance that changes in the fair value of the OPAL Earnout Awards liability in future periods will be recognized in the statement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put option written to Meteora on 2,000,000 Class A common stock under the Forward Purchase Agreement is presented as a liability based on the company’s preliminary accounting analysis under ASC 480. The estimated fair value of the Forward Purchase Agreement liability is approximately $4.8 million.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Forward Purchase Agreement liability was determined using a Monte Carlo valuation model with a distribution of potential outcomes on a daily basis over the 6-month post-close period, and incorporating the most reliable information available as of the March 31, 2022 valuation date Assumptions used in the valuation are as follows:</w:t>
      </w:r>
    </w:p>
    <w:p>
      <w:pPr>
        <w:spacing w:after="0" w:line="184" w:lineRule="exact"/>
        <w:rPr>
          <w:sz w:val="20"/>
          <w:szCs w:val="20"/>
          <w:color w:val="auto"/>
        </w:rPr>
      </w:pPr>
    </w:p>
    <w:p>
      <w:pPr>
        <w:ind w:left="980" w:hanging="32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Current stock price — The ArcLight closing stock price of $9.92 as of March 31, 2022;</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Expected volatility — The volatility rate was determined based on historical and implied volatilities of selected industry peers deemed to be comparable to our business corresponding to the expected term of the option;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Expected term — The expected term is the 6 months following the closing;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Expected dividend yield — The expected dividend yield is zero, as we do not anticipate distributing dividends on the common stock in the expected term.</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Forward Purchase Agreement liability has been recorded in the unaudited pro forma condensed combined balance sheet. See Note 6(n). Topic 480 provides guidance that changes in the fair value of the Forward Purchase Agreement liability in future periods will be recognized in the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Beacon Transaction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Reclassifications Made to ArcLight Financial Statement Presentation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reclassification adjustments have been made to conform ArcLight’s financial statement presentation to that of OPAL Fuels’.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reclassification adjustments were made to the unaudited pro forma condensed combined balance sheet as of March 31, 2022:</w:t>
      </w:r>
    </w:p>
    <w:p>
      <w:pPr>
        <w:spacing w:after="0" w:line="237" w:lineRule="exact"/>
        <w:rPr>
          <w:sz w:val="20"/>
          <w:szCs w:val="20"/>
          <w:color w:val="auto"/>
        </w:rPr>
      </w:pPr>
    </w:p>
    <w:p>
      <w:pPr>
        <w:ind w:left="980" w:hanging="324"/>
        <w:spacing w:after="0"/>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Reflects the reclassification of $559 thousand from ArcLight’s Cash to Cash and cash equivalents.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Reflects the reclassification of $739 thousand from ArcLight’s Prepaid expenses to Prepaid expenses and other current assets.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Reflects the reclassification of $113 thousand from ArcLight’s Accrued expenses and $4,891 thousand from ArcLight’s Deferred legal fees to Accrued expenses and other current liabilities.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reclassification adjustments were made to the unaudited pro forma condensed combined statement of operations for the three months ended March 31, 2022:</w:t>
      </w:r>
    </w:p>
    <w:p>
      <w:pPr>
        <w:spacing w:after="0" w:line="170" w:lineRule="exact"/>
        <w:rPr>
          <w:sz w:val="20"/>
          <w:szCs w:val="20"/>
          <w:color w:val="auto"/>
        </w:rPr>
      </w:pPr>
    </w:p>
    <w:p>
      <w:pPr>
        <w:ind w:left="980" w:hanging="324"/>
        <w:spacing w:after="0"/>
        <w:tabs>
          <w:tab w:leader="none" w:pos="9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Reflects the reclassification of $1,391 thousand from ArcLight’s General and administrative expenses to Selling, general and administrative.</w:t>
      </w:r>
    </w:p>
    <w:p>
      <w:pPr>
        <w:spacing w:after="0" w:line="2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Reflects the reclassification of $24 thousand from ArcLight’s Net gain on investments held in Trust Account to Interest and financing expense, net.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reclassification adjustments were made to the unaudited pro forma condensed combined statement of operations for the period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13, 2021 (inception) to December 31, 2021:</w:t>
      </w:r>
    </w:p>
    <w:p>
      <w:pPr>
        <w:spacing w:after="0" w:line="211" w:lineRule="exact"/>
        <w:rPr>
          <w:sz w:val="20"/>
          <w:szCs w:val="20"/>
          <w:color w:val="auto"/>
        </w:rPr>
      </w:pPr>
    </w:p>
    <w:p>
      <w:pPr>
        <w:ind w:left="980" w:hanging="324"/>
        <w:spacing w:after="0"/>
        <w:tabs>
          <w:tab w:leader="none" w:pos="9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Reflects the reclassification of $4,945 thousand from ArcLight’s General and administrative expenses to Selling, general and administrative.</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Reflects the reclassification of $463 thousand from ArcLight’s Financing costs — warrant liabilities and $13 thousand from ArcLight’s Net gain on investments held in Trust Account to Interest and financing expense, net.</w:t>
      </w:r>
    </w:p>
    <w:p>
      <w:pPr>
        <w:spacing w:after="0" w:line="386" w:lineRule="exact"/>
        <w:rPr>
          <w:rFonts w:ascii="Arial" w:cs="Arial" w:eastAsia="Arial" w:hAnsi="Arial"/>
          <w:sz w:val="18"/>
          <w:szCs w:val="18"/>
          <w:color w:val="auto"/>
        </w:rPr>
      </w:pPr>
    </w:p>
    <w:p>
      <w:pPr>
        <w:ind w:left="5540" w:hanging="111"/>
        <w:spacing w:after="0"/>
        <w:tabs>
          <w:tab w:leader="none" w:pos="55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t>Note 5 — Reclassifications Made to Beacon Financial Statement Presentation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reclassification adjustments were made to the pro forma condensed combined statement of operations for the four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2021 to conform Beacon financial statement presentation to that of OPAL Fuels’:</w:t>
      </w:r>
    </w:p>
    <w:p>
      <w:pPr>
        <w:spacing w:after="0" w:line="211" w:lineRule="exact"/>
        <w:rPr>
          <w:sz w:val="20"/>
          <w:szCs w:val="20"/>
          <w:color w:val="auto"/>
        </w:rPr>
      </w:pPr>
    </w:p>
    <w:p>
      <w:pPr>
        <w:ind w:left="980" w:hanging="324"/>
        <w:spacing w:after="0" w:line="277" w:lineRule="auto"/>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Reflects the reclassification of $1,137 thousand from Renewable gas sales, $12,101 thousand from RIN sales, and $74 thousand from Transportation sales to RNG Fuel.</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Reflects the reclassification of $5,937 thousand from Operations and $460 thousand from Repairs and Maintenance to Costs of sales — RNG fuel.</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Reflects the reclassification of $317 thousand from General and administrative and $139 thousand from Insurance to Selling, general and administrative.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Reflects the reclassification of $1,049 thousand from Depreciation and $11 thousand from Asset retirement obligation accretion to Depreciation, amortization, and accretion.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Reflects the elimination of an intercompany transaction between OPAL Fuels and Beacon for the amount of $1,134 thousand from Environmental credit processing service and $1,134 thousand from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Adjustments to Unaudited Pro Forma Condensed Combined Balance Sheet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unaudited pro forma condensed combined balance sheet as of March 31, 2022 has been prepared to illustrate the effect of the Transactions and has been prepared for informational purposes only. The unaudited pro forma condensed combined balance sheet as of March 31, 2022 includes Transaction Accounting Adjustments that are directly attributable to the Business Combination, and other related events described in Note 1 above.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 forma transaction accounting adjustments are as follows: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Reflects the reclassification of cash held in ArcLight’s Trust Account to cash and cash equivalents as of March 31, 2022 to reflect the cash available to effectuate the Transactions or to fund redemption of existing Public Shareholders. Note that on the Closing date, the actual balance of cash in the Trust Account including accumulated interest earned during the period prior to redemption is approximately $311.8 million.</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Reflects the forfeiture of approximately $10,891 thousand of deferred underwriters’ fees in connection with ArcLight’s initial public offering and due upon the Closing.</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Reflects the proceeds of approximately $105.8 million from the issuance and sale of 10,580,600 shares of New OPAL common stock at $10.00 per share pursuant to the Amended Subscription Agreements entered into with the PIPE Investors in connection with the PIPE Investment and subsequent PIPE Extension.</w:t>
      </w:r>
    </w:p>
    <w:p>
      <w:pPr>
        <w:spacing w:after="0" w:line="183"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Reflects the proceeds of $75.0 million from the issuance of 750,000 OPAL Fuels’ Series A Preferred Units at an original issue price of $100 per unit pursuant to the NextEra Subscription Agreement with Mendocino Capital, LLC, a Delaware limited liability company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Reflects the reclassification of the carrying value of OPAL Fuels’ Series A and Series A-1 Preferred Units to Redeemable preferred noncontrolling interest.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Reflects the conversion of fifty percent (50%) of the principal and accrued interest outstanding pursuant to the Ares Note into New OPAL Class A common stock.</w:t>
      </w:r>
    </w:p>
    <w:p>
      <w:pPr>
        <w:spacing w:after="0" w:line="386" w:lineRule="exact"/>
        <w:rPr>
          <w:rFonts w:ascii="Arial" w:cs="Arial" w:eastAsia="Arial" w:hAnsi="Arial"/>
          <w:sz w:val="18"/>
          <w:szCs w:val="18"/>
          <w:color w:val="auto"/>
        </w:rPr>
      </w:pPr>
    </w:p>
    <w:p>
      <w:pPr>
        <w:ind w:left="5540" w:hanging="111"/>
        <w:spacing w:after="0"/>
        <w:tabs>
          <w:tab w:leader="none" w:pos="55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left="324" w:hanging="324"/>
        <w:spacing w:after="0" w:line="296" w:lineRule="auto"/>
        <w:tabs>
          <w:tab w:leader="none" w:pos="32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Reflects recording of estimated additional transaction costs to be incurred of $5,268 thousand in additional paid in capital. The amount represents the estimated incremental advisory, legal, accounting and auditing fees and other professional fees as of March 31, 2022, that are deemed to be direct and incremental costs of the Business Combination and related transactions. The transaction costs excluded $24.9 million in aggregate fees due to ArcLight’s and OPAL Fuels’ financial advisors for the transaction, including deferred underwriting commissions from ArcLight’s initial public offering, as discussed in Note 6(b). The advisors withdrew from the transaction and waived their fees in whole.</w:t>
      </w:r>
    </w:p>
    <w:p>
      <w:pPr>
        <w:spacing w:after="0" w:line="161" w:lineRule="exact"/>
        <w:rPr>
          <w:rFonts w:ascii="Arial" w:cs="Arial" w:eastAsia="Arial" w:hAnsi="Arial"/>
          <w:sz w:val="16"/>
          <w:szCs w:val="16"/>
          <w:color w:val="auto"/>
        </w:rPr>
      </w:pPr>
    </w:p>
    <w:p>
      <w:pPr>
        <w:jc w:val="both"/>
        <w:ind w:left="324"/>
        <w:spacing w:after="0" w:line="255" w:lineRule="auto"/>
        <w:rPr>
          <w:rFonts w:ascii="Arial" w:cs="Arial" w:eastAsia="Arial" w:hAnsi="Arial"/>
          <w:sz w:val="16"/>
          <w:szCs w:val="16"/>
          <w:color w:val="auto"/>
        </w:rPr>
      </w:pPr>
      <w:r>
        <w:rPr>
          <w:rFonts w:ascii="Arial" w:cs="Arial" w:eastAsia="Arial" w:hAnsi="Arial"/>
          <w:sz w:val="18"/>
          <w:szCs w:val="18"/>
          <w:color w:val="auto"/>
        </w:rPr>
        <w:t>The $1,400 thousand and $4,917 thousand decreases to accrued expenses and other current liabilities represent the adjustment to account for payments of accrued transaction cost liabilities in both ArcLight and OPAL Fuels historical balance sheets with an offsetting decrease to cash. The $4,130 deferred transaction costs incurred by OPAL Fuels are adjusted against additional paid-in capital. Additionally, a $4,200 thousand adjustment was made to accrue for estimated fees related to directors’ and officers’ insurance tail policy (which is required as part of the business combination agreement), with offsetting decreases to retained earnings (accumulated deficit) and redeemable noncontrolling interests based on ownership percentage interests.</w:t>
      </w:r>
    </w:p>
    <w:p>
      <w:pPr>
        <w:spacing w:after="0" w:line="192" w:lineRule="exact"/>
        <w:rPr>
          <w:rFonts w:ascii="Arial" w:cs="Arial" w:eastAsia="Arial" w:hAnsi="Arial"/>
          <w:sz w:val="16"/>
          <w:szCs w:val="16"/>
          <w:color w:val="auto"/>
        </w:rPr>
      </w:pPr>
    </w:p>
    <w:p>
      <w:pPr>
        <w:jc w:val="both"/>
        <w:ind w:left="324" w:hanging="324"/>
        <w:spacing w:after="0" w:line="311" w:lineRule="auto"/>
        <w:tabs>
          <w:tab w:leader="none" w:pos="32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Reflects the reclassification, prior to ArcLight Class A ordinary shareholders exercise their redemption rights, of Class A ordinary shares of $311,163 thousand to permanent equity. The Transaction Accounting Adjustment also includes conversion of outstanding ArcLight Class A and Class B ordinary shares into New OPAL Class A common stock concurrent with the consummation of the Business Combination.</w:t>
      </w:r>
    </w:p>
    <w:p>
      <w:pPr>
        <w:spacing w:after="0" w:line="148" w:lineRule="exact"/>
        <w:rPr>
          <w:rFonts w:ascii="Arial" w:cs="Arial" w:eastAsia="Arial" w:hAnsi="Arial"/>
          <w:sz w:val="16"/>
          <w:szCs w:val="16"/>
          <w:color w:val="auto"/>
        </w:rPr>
      </w:pPr>
    </w:p>
    <w:p>
      <w:pPr>
        <w:jc w:val="both"/>
        <w:ind w:left="324" w:hanging="324"/>
        <w:spacing w:after="0" w:line="279" w:lineRule="auto"/>
        <w:tabs>
          <w:tab w:leader="none" w:pos="32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Reflects the recapitalization of OPAL Fuels with 38,895,381 shares of New OPAL Class A common stock and the elimination of the accumulated deficit of ArcLight. As a result of the recapitalization, ArcLight’s historical accumulated deficit balance of $35,196 thousand on March 31, 2022 was derecognized and reclassified into additional paid in capital. The shares of New OPAL’s Class B and Class D common stock issued in exchange for OPAL Fuels’ capital were recorded at par value in the amount of $15 thousand.</w:t>
      </w:r>
    </w:p>
    <w:p>
      <w:pPr>
        <w:spacing w:after="0" w:line="171" w:lineRule="exact"/>
        <w:rPr>
          <w:rFonts w:ascii="Arial" w:cs="Arial" w:eastAsia="Arial" w:hAnsi="Arial"/>
          <w:sz w:val="17"/>
          <w:szCs w:val="17"/>
          <w:color w:val="auto"/>
        </w:rPr>
      </w:pPr>
    </w:p>
    <w:p>
      <w:pPr>
        <w:jc w:val="both"/>
        <w:ind w:left="324" w:hanging="324"/>
        <w:spacing w:after="0" w:line="270" w:lineRule="auto"/>
        <w:tabs>
          <w:tab w:leader="none" w:pos="32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Following the completion of the Transactions, New OPAL, as the registrant, does not own 100% of the economic interests in OPAL Fuels due to the existing equityholders of OPAL Fuels owning an approximately 85.6% economic interest in OPAL Fuels. This percentage excludes the 913,907 forfeitable ArcLight Sponsor shares which are recognized as a liability at fair value as detailed above. The calculation of redeemable noncontrolling interest is based on the net assets of OPAL Fuels and the ownership percentage held by existing equityholders of OPAL Fuels in OPAL Fuels following the completion of the Transactions. Shares pursuant to the earnout arrangements have been excluded from the calculation of the redeemable noncontrolling interest until such time they become vested. Accordingly, redeemable noncontrolling interest increased to $133,724 thousand with a corresponding decrease to additional paid-in capital. In addition, as a result of the recapitalization, the carrying value of OPAL Fuels’ historical members’ equity of $47,566 thousand and retained earnings of $10,758 thousand were reclassified into redeemable noncontrolling interest.</w:t>
      </w:r>
    </w:p>
    <w:p>
      <w:pPr>
        <w:spacing w:after="0" w:line="180" w:lineRule="exact"/>
        <w:rPr>
          <w:rFonts w:ascii="Arial" w:cs="Arial" w:eastAsia="Arial" w:hAnsi="Arial"/>
          <w:sz w:val="17"/>
          <w:szCs w:val="17"/>
          <w:color w:val="auto"/>
        </w:rPr>
      </w:pPr>
    </w:p>
    <w:p>
      <w:pPr>
        <w:ind w:left="324" w:hanging="324"/>
        <w:spacing w:after="0" w:line="308" w:lineRule="auto"/>
        <w:tabs>
          <w:tab w:leader="none" w:pos="32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Reflects the redemption of 27,364,124 Class A ordinary shares for approximately $274.2 million allocated to ArcLight common stock and additional paid in capital, using a par value of $0.0001 per share at a redemption price of approximately $10.02 per share.</w:t>
      </w:r>
    </w:p>
    <w:p>
      <w:pPr>
        <w:spacing w:after="0" w:line="146" w:lineRule="exact"/>
        <w:rPr>
          <w:rFonts w:ascii="Arial" w:cs="Arial" w:eastAsia="Arial" w:hAnsi="Arial"/>
          <w:sz w:val="17"/>
          <w:szCs w:val="17"/>
          <w:color w:val="auto"/>
        </w:rPr>
      </w:pPr>
    </w:p>
    <w:p>
      <w:pPr>
        <w:jc w:val="both"/>
        <w:ind w:left="324" w:hanging="324"/>
        <w:spacing w:after="0" w:line="273" w:lineRule="auto"/>
        <w:tabs>
          <w:tab w:leader="none" w:pos="32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In connection with the Business Combination, New OPAL entered into the tax receivable agreement (the “</w:t>
      </w:r>
      <w:r>
        <w:rPr>
          <w:rFonts w:ascii="Arial" w:cs="Arial" w:eastAsia="Arial" w:hAnsi="Arial"/>
          <w:sz w:val="17"/>
          <w:szCs w:val="17"/>
          <w:b w:val="1"/>
          <w:bCs w:val="1"/>
          <w:i w:val="1"/>
          <w:iCs w:val="1"/>
          <w:color w:val="auto"/>
        </w:rPr>
        <w:t>Tax Receivable Agreement</w:t>
      </w:r>
      <w:r>
        <w:rPr>
          <w:rFonts w:ascii="Arial" w:cs="Arial" w:eastAsia="Arial" w:hAnsi="Arial"/>
          <w:sz w:val="17"/>
          <w:szCs w:val="17"/>
          <w:color w:val="auto"/>
        </w:rPr>
        <w:t>”) with OPAL Holdco and Hillman such persons, together with such other persons from time to time that become party thereto, collectively, the “</w:t>
      </w:r>
      <w:r>
        <w:rPr>
          <w:rFonts w:ascii="Arial" w:cs="Arial" w:eastAsia="Arial" w:hAnsi="Arial"/>
          <w:sz w:val="17"/>
          <w:szCs w:val="17"/>
          <w:b w:val="1"/>
          <w:bCs w:val="1"/>
          <w:i w:val="1"/>
          <w:iCs w:val="1"/>
          <w:color w:val="auto"/>
        </w:rPr>
        <w:t>TRA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Participants</w:t>
      </w:r>
      <w:r>
        <w:rPr>
          <w:rFonts w:ascii="Arial" w:cs="Arial" w:eastAsia="Arial" w:hAnsi="Arial"/>
          <w:sz w:val="17"/>
          <w:szCs w:val="17"/>
          <w:color w:val="auto"/>
        </w:rPr>
        <w:t>”). Pursuant to the Tax Receivable Agreement, New OPAL will be required to pay the TRA Participants 85% of the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savings, if any, in U.S. federal, state and local income tax that New OPAL actually realizes (computed using certain simplifying assumptions) as a result of the increases in tax basis and certain other tax benefits related to any exchanges of OPAL Common Units (together with voting shares of New OPAL) for shares of New OPAL Class A common stock or Class C common stock.</w:t>
      </w:r>
    </w:p>
    <w:p>
      <w:pPr>
        <w:spacing w:after="0" w:line="393" w:lineRule="exact"/>
        <w:rPr>
          <w:rFonts w:ascii="Arial" w:cs="Arial" w:eastAsia="Arial" w:hAnsi="Arial"/>
          <w:sz w:val="17"/>
          <w:szCs w:val="17"/>
          <w:color w:val="auto"/>
        </w:rPr>
      </w:pPr>
    </w:p>
    <w:p>
      <w:pPr>
        <w:ind w:left="4884" w:hanging="111"/>
        <w:spacing w:after="0"/>
        <w:tabs>
          <w:tab w:leader="none" w:pos="488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3" w:name="page244"/>
    <w:bookmarkEnd w:id="243"/>
    <w:p>
      <w:pPr>
        <w:jc w:val="both"/>
        <w:ind w:left="980"/>
        <w:spacing w:after="0" w:line="286" w:lineRule="auto"/>
        <w:rPr>
          <w:sz w:val="20"/>
          <w:szCs w:val="20"/>
          <w:color w:val="auto"/>
        </w:rPr>
      </w:pPr>
      <w:r>
        <w:rPr>
          <w:rFonts w:ascii="Arial" w:cs="Arial" w:eastAsia="Arial" w:hAnsi="Arial"/>
          <w:sz w:val="16"/>
          <w:szCs w:val="16"/>
          <w:color w:val="auto"/>
        </w:rPr>
        <w:t>Due to the uncertainty as to the amount and timing of future exchanges of OPAL Common Units by the TRA Participants and as to the price of New OPAL Class A common stock at the time of any such exchanges, the unaudited pro forma condensed combined financial information assumes that no existing equityholders of OPAL Fuels have exchanged OPAL Common Units in a transaction that would create an obligation under the Tax Receivable Agreement. Therefore, no increases in tax basis in New OPAL’s assets or other tax benefits that may be realized under the Tax Receivable Agreement have been reflected in the unaudited condensed combined pro forma financial information. Future exchanges will result in incremental tax attributes and potential cash tax savings for New OPAL. Depending on New OPAL’s assessment on realizability of such tax attributes, the arising Tax Receivable Agreement liability will be recorded at the exchange date against equity, or at a later point through income. If the TRA Participants were to exchange all of their OPAL Common Units, New OPAL would recognize a deferred tax asset of approximately $509.0 million and a related liability for payments under the Tax Receivable Agreement of approximately $433.0 million, assuming (i) that the TRA Participants redeemed or exchanged all of their OPAL Common Units on the closing date; (ii) a price of $10.00 per share; (iii) a constant combined effective income tax rate of 26.47%; (iv) New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w:t>
      </w:r>
    </w:p>
    <w:p>
      <w:pPr>
        <w:spacing w:after="0" w:line="167"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It is more likely than not that the deferred tax assets will not be realized in accordance with ASC Topic 740, ‘Income Taxes’ (“</w:t>
      </w:r>
      <w:r>
        <w:rPr>
          <w:rFonts w:ascii="Arial" w:cs="Arial" w:eastAsia="Arial" w:hAnsi="Arial"/>
          <w:sz w:val="18"/>
          <w:szCs w:val="18"/>
          <w:b w:val="1"/>
          <w:bCs w:val="1"/>
          <w:i w:val="1"/>
          <w:iCs w:val="1"/>
          <w:color w:val="auto"/>
        </w:rPr>
        <w:t>ASC 740</w:t>
      </w:r>
      <w:r>
        <w:rPr>
          <w:rFonts w:ascii="Arial" w:cs="Arial" w:eastAsia="Arial" w:hAnsi="Arial"/>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87" w:lineRule="exact"/>
        <w:rPr>
          <w:sz w:val="20"/>
          <w:szCs w:val="20"/>
          <w:color w:val="auto"/>
        </w:rPr>
      </w:pPr>
    </w:p>
    <w:p>
      <w:pPr>
        <w:ind w:left="980" w:hanging="324"/>
        <w:spacing w:after="0" w:line="277" w:lineRule="auto"/>
        <w:tabs>
          <w:tab w:leader="none" w:pos="9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Reflects the fair value of $5,900 and $46,100 thousand of the Sponsor Earnout Awards and the OPAL Earnout Awards, respectively. Refer to Note 3 for more information.</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Reflects the $4,800 thousand fair value of the Forward Purchase Agreement liability and associated fees of $625 thousand. The accounting treatment of these costs is still under evaluation, and for purposes of the unaudited condensed combined pro forma information these costs are presented as an adjustment to the equity issuance proceeds from the business combination.</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Reflects the $2,640 thousand fair value of private placement warrants transferred by Sponsor to Encompass. The accounting treatment of these costs is still under evaluation, and for purposes of the unaudited condensed combined pro forma information these costs are presented as an offsetting contribution and adjustment to issuance proceeds from the business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Adjustments to Unaudited Pro Forma Condensed Combined Statements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 forma adjustments included in the unaudited pro forma condensed combined statement of operations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are as follows:</w:t>
      </w:r>
    </w:p>
    <w:p>
      <w:pPr>
        <w:spacing w:after="0" w:line="211" w:lineRule="exact"/>
        <w:rPr>
          <w:sz w:val="20"/>
          <w:szCs w:val="20"/>
          <w:color w:val="auto"/>
        </w:rPr>
      </w:pPr>
    </w:p>
    <w:p>
      <w:pPr>
        <w:ind w:left="980" w:hanging="324"/>
        <w:spacing w:after="0" w:line="277" w:lineRule="auto"/>
        <w:tabs>
          <w:tab w:leader="none" w:pos="9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As it is more likely than not that the ArcLight deferred tax assets will not be realized in accordance with ASC 740, no income tax benefit is recognized.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85.6% percentage interest in OPAL Fuels. The adjustment to the net income (loss) redeemable preferred noncontrolling interest represents the accrued dividends that would be settled in cash in connection with item 6(d) above.</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Represents the elimination of interest earned on marketable securities held in ArcLight’s Trust Account.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 forma adjustments included in the unaudited pro forma condensed combined statement of operations for the year ended December 31, 2021 are as follows:</w:t>
      </w:r>
    </w:p>
    <w:p>
      <w:pPr>
        <w:spacing w:after="0" w:line="170" w:lineRule="exact"/>
        <w:rPr>
          <w:sz w:val="20"/>
          <w:szCs w:val="20"/>
          <w:color w:val="auto"/>
        </w:rPr>
      </w:pPr>
    </w:p>
    <w:p>
      <w:pPr>
        <w:jc w:val="both"/>
        <w:ind w:left="980" w:hanging="324"/>
        <w:spacing w:after="0" w:line="263" w:lineRule="auto"/>
        <w:tabs>
          <w:tab w:leader="none" w:pos="9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Reflects adjustments to eliminate the income (loss)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399" w:lineRule="exact"/>
        <w:rPr>
          <w:rFonts w:ascii="Arial" w:cs="Arial" w:eastAsia="Arial" w:hAnsi="Arial"/>
          <w:sz w:val="18"/>
          <w:szCs w:val="18"/>
          <w:color w:val="auto"/>
        </w:rPr>
      </w:pPr>
    </w:p>
    <w:p>
      <w:pPr>
        <w:ind w:left="5540" w:hanging="111"/>
        <w:spacing w:after="0"/>
        <w:tabs>
          <w:tab w:leader="none" w:pos="554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ind w:left="980" w:hanging="324"/>
        <w:spacing w:after="0" w:line="277" w:lineRule="auto"/>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As it is more likely than not that the ArcLight deferred tax assets will not be realized in accordance with ASC 740, no income tax benefit is recognized.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85.6% common ownership interest in OPAL Fuels. The adjustment to the net income (loss) redeemable preferred noncontrolling interest represents the accrued dividends that would be settled in cash in connection with item 6(d) above.</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Represents the elimination of interest earned on marketable securities held in ArcLight’s Trust Account.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Reflects a $4,200 thousand adjustment for estimated costs attributable to a directors’ and officers’ insurance tail policy which will be contingently incurred upon closing of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Net Income (Loss) per Share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Represents the net income (loss) per share calculated using the historical weighted average shares outstanding and the issuance of additional shares in connection with the Business Combination, the PIPE Investment, and other related events, assuming such additional shares were outstanding since January 1, 2021. As the Business Combination and PIPE Investment are being reflected as if they had occurred as of January 1, 2021, the calculation of weighted average shares outstanding for basic and diluted net income (loss) per share assumes the shares issued in connection with the Business Combination and PIPE Investment have been outstanding for the entire periods presented.</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New OPAL has 6,223,261 public warrants and 9,223,261 private placement warrants. The warrants are exercisable at their $11.50 strike price which exceeds the current market price for Arclight Class A ordinary shares. The warrants are considered anti-dilutive and were excluded from the diluted earnings per share for the period presented below. In addition, the shares pursuant to the earnout arrangements as discussed in Note 1 were excluded from the diluted earnings per share calculation since such shares are contingently issuable or forfeitable, and the contingencies have not been resolved. Diluted earnings per share also does not reflect the conversion of OPAL Fuels’ Class B units into New OPAL Class A common stock as the result would be anti-dilutive. As a result, the basic and diluted net income (loss) per share is the same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gridSpan w:val="2"/>
          </w:tcPr>
          <w:p>
            <w:pPr>
              <w:ind w:left="180"/>
              <w:spacing w:after="0"/>
              <w:rPr>
                <w:sz w:val="20"/>
                <w:szCs w:val="20"/>
                <w:color w:val="auto"/>
              </w:rPr>
            </w:pPr>
            <w:r>
              <w:rPr>
                <w:rFonts w:ascii="Arial" w:cs="Arial" w:eastAsia="Arial" w:hAnsi="Arial"/>
                <w:sz w:val="18"/>
                <w:szCs w:val="18"/>
                <w:i w:val="1"/>
                <w:iCs w:val="1"/>
                <w:color w:val="auto"/>
              </w:rPr>
              <w:t>(in thousands, except shares and per share data)</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Numerator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 forma net income (loss) attributable to stockholders - basic and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Denominator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of New OPAL Class A common stock – basic</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24,257,483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24,257,483</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Weighted average shares outstanding of New OPAL Class A common stock – diluted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24,261,483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24,261,483</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 forma net income (loss) per share (Basic) attributable to New OPAL Class A common stockholders (1)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Pro forma net income (loss) per share (Diluted) attributable to New OPAL Class A common stockholders (1)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ArcLight Public Shareholders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3,752,181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3,752,181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Sponsor Shareholders (2)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6,865,169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6,865,169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PIPE Investors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10,580,600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10,580,600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3,059,533</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ArcLight Public Shareholders (3)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3,756,181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3,756,181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Sponsor Shareholders (2)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6,865,169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6,865,169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PIPE Investors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10,580,600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10,580,600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3,059,533</w:t>
            </w:r>
          </w:p>
        </w:tc>
      </w:tr>
    </w:tbl>
    <w:p>
      <w:pPr>
        <w:spacing w:after="0" w:line="202" w:lineRule="exact"/>
        <w:rPr>
          <w:sz w:val="20"/>
          <w:szCs w:val="20"/>
          <w:color w:val="auto"/>
        </w:rPr>
      </w:pPr>
    </w:p>
    <w:p>
      <w:pPr>
        <w:jc w:val="both"/>
        <w:ind w:left="340" w:right="20" w:hanging="332"/>
        <w:spacing w:after="0" w:line="263" w:lineRule="auto"/>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New OPAL’s Class B and Class D common stock outstanding do not participate in earnings or losses and therefore are not participating securities. As such, a separate presentation of basic and diluted earnings per share of Class B and Class D common stock under the two-class method has not been presented.</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Excludes 763,907 of New OPAL Class A common stock held directly by the Sponsor that are subject to forfeiture pursuant to the Sponsor Letter Agreement and an additional 150,000 of New OPAL Class A common stock held directly by the Sponsor that are subject to forfeiture pursuant to the Sponsor Side Letter</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Includes 4,000 dilutive shares of New OPAL Class A Common Stock pursuant to the Forward Purchase Agreement under the reverse treasury stock method.</w:t>
      </w:r>
    </w:p>
    <w:p>
      <w:pPr>
        <w:spacing w:after="0" w:line="386" w:lineRule="exact"/>
        <w:rPr>
          <w:rFonts w:ascii="Arial" w:cs="Arial" w:eastAsia="Arial" w:hAnsi="Arial"/>
          <w:sz w:val="18"/>
          <w:szCs w:val="18"/>
          <w:color w:val="auto"/>
        </w:rPr>
      </w:pPr>
    </w:p>
    <w:p>
      <w:pPr>
        <w:ind w:left="5540" w:hanging="111"/>
        <w:spacing w:after="0"/>
        <w:tabs>
          <w:tab w:leader="none" w:pos="554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8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C6AFD4"/>
    <w:multiLevelType w:val="hybridMultilevel"/>
    <w:lvl w:ilvl="0">
      <w:lvlJc w:val="left"/>
      <w:lvlText w:val="☐"/>
      <w:numFmt w:val="bullet"/>
      <w:start w:val="1"/>
    </w:lvl>
  </w:abstractNum>
  <w:abstractNum w:abstractNumId="1">
    <w:nsid w:val="19E21BB2"/>
    <w:multiLevelType w:val="hybridMultilevel"/>
    <w:lvl w:ilvl="0">
      <w:lvlJc w:val="left"/>
      <w:lvlText w:val="●"/>
      <w:numFmt w:val="bullet"/>
      <w:start w:val="1"/>
    </w:lvl>
  </w:abstractNum>
  <w:abstractNum w:abstractNumId="2">
    <w:nsid w:val="75E0858A"/>
    <w:multiLevelType w:val="hybridMultilevel"/>
    <w:lvl w:ilvl="0">
      <w:lvlJc w:val="left"/>
      <w:lvlText w:val="●"/>
      <w:numFmt w:val="bullet"/>
      <w:start w:val="1"/>
    </w:lvl>
  </w:abstractNum>
  <w:abstractNum w:abstractNumId="3">
    <w:nsid w:val="57A61A29"/>
    <w:multiLevelType w:val="hybridMultilevel"/>
    <w:lvl w:ilvl="0">
      <w:lvlJc w:val="left"/>
      <w:lvlText w:val="●"/>
      <w:numFmt w:val="bullet"/>
      <w:start w:val="1"/>
    </w:lvl>
  </w:abstractNum>
  <w:abstractNum w:abstractNumId="4">
    <w:nsid w:val="5399C654"/>
    <w:multiLevelType w:val="hybridMultilevel"/>
    <w:lvl w:ilvl="0">
      <w:lvlJc w:val="left"/>
      <w:lvlText w:val="●"/>
      <w:numFmt w:val="bullet"/>
      <w:start w:val="1"/>
    </w:lvl>
  </w:abstractNum>
  <w:abstractNum w:abstractNumId="5">
    <w:nsid w:val="20EE1348"/>
    <w:multiLevelType w:val="hybridMultilevel"/>
    <w:lvl w:ilvl="0">
      <w:lvlJc w:val="left"/>
      <w:lvlText w:val="●"/>
      <w:numFmt w:val="bullet"/>
      <w:start w:val="1"/>
    </w:lvl>
  </w:abstractNum>
  <w:abstractNum w:abstractNumId="6">
    <w:nsid w:val="4427069A"/>
    <w:multiLevelType w:val="hybridMultilevel"/>
    <w:lvl w:ilvl="0">
      <w:lvlJc w:val="left"/>
      <w:lvlText w:val="(%1)"/>
      <w:numFmt w:val="decimal"/>
      <w:start w:val="1"/>
    </w:lvl>
  </w:abstractNum>
  <w:abstractNum w:abstractNumId="7">
    <w:nsid w:val="B37E80A"/>
    <w:multiLevelType w:val="hybridMultilevel"/>
    <w:lvl w:ilvl="0">
      <w:lvlJc w:val="left"/>
      <w:lvlText w:val="(%1)"/>
      <w:numFmt w:val="decimal"/>
      <w:start w:val="3"/>
    </w:lvl>
  </w:abstractNum>
  <w:abstractNum w:abstractNumId="8">
    <w:nsid w:val="2157F6BC"/>
    <w:multiLevelType w:val="hybridMultilevel"/>
    <w:lvl w:ilvl="0">
      <w:lvlJc w:val="left"/>
      <w:lvlText w:val="(%1)"/>
      <w:numFmt w:val="lowerLetter"/>
      <w:start w:val="1"/>
    </w:lvl>
  </w:abstractNum>
  <w:abstractNum w:abstractNumId="9">
    <w:nsid w:val="704E1DD5"/>
    <w:multiLevelType w:val="hybridMultilevel"/>
    <w:lvl w:ilvl="0">
      <w:lvlJc w:val="left"/>
      <w:lvlText w:val="(%1)"/>
      <w:numFmt w:val="lowerLetter"/>
      <w:start w:val="2"/>
    </w:lvl>
  </w:abstractNum>
  <w:abstractNum w:abstractNumId="10">
    <w:nsid w:val="57D2F10E"/>
    <w:multiLevelType w:val="hybridMultilevel"/>
    <w:lvl w:ilvl="0">
      <w:lvlJc w:val="left"/>
      <w:lvlText w:val="(%1)"/>
      <w:numFmt w:val="lowerLetter"/>
      <w:start w:val="4"/>
    </w:lvl>
  </w:abstractNum>
  <w:abstractNum w:abstractNumId="11">
    <w:nsid w:val="BFFAE18"/>
    <w:multiLevelType w:val="hybridMultilevel"/>
    <w:lvl w:ilvl="0">
      <w:lvlJc w:val="left"/>
      <w:lvlText w:val="*"/>
      <w:numFmt w:val="bullet"/>
      <w:start w:val="1"/>
    </w:lvl>
    <w:lvl w:ilvl="1">
      <w:lvlJc w:val="left"/>
      <w:lvlText w:val="%2"/>
      <w:numFmt w:val="decimal"/>
      <w:start w:val="104"/>
    </w:lvl>
  </w:abstractNum>
  <w:abstractNum w:abstractNumId="12">
    <w:nsid w:val="E3E47A8"/>
    <w:multiLevelType w:val="hybridMultilevel"/>
    <w:lvl w:ilvl="0">
      <w:lvlJc w:val="left"/>
      <w:lvlText w:val="†"/>
      <w:numFmt w:val="bullet"/>
      <w:start w:val="1"/>
    </w:lvl>
  </w:abstractNum>
  <w:abstractNum w:abstractNumId="13">
    <w:nsid w:val="2E48F044"/>
    <w:multiLevelType w:val="hybridMultilevel"/>
    <w:lvl w:ilvl="0">
      <w:lvlJc w:val="left"/>
      <w:lvlText w:val="#"/>
      <w:numFmt w:val="bullet"/>
      <w:start w:val="1"/>
    </w:lvl>
  </w:abstractNum>
  <w:abstractNum w:abstractNumId="14">
    <w:nsid w:val="49D0FEAC"/>
    <w:multiLevelType w:val="hybridMultilevel"/>
    <w:lvl w:ilvl="0">
      <w:lvlJc w:val="left"/>
      <w:lvlText w:val="%1."/>
      <w:numFmt w:val="decimal"/>
      <w:start w:val="1"/>
    </w:lvl>
  </w:abstractNum>
  <w:abstractNum w:abstractNumId="15">
    <w:nsid w:val="4BEE5A5B"/>
    <w:multiLevelType w:val="hybridMultilevel"/>
    <w:lvl w:ilvl="0">
      <w:lvlJc w:val="left"/>
      <w:lvlText w:val="(%1)"/>
      <w:numFmt w:val="lowerRoman"/>
      <w:start w:val="1"/>
    </w:lvl>
  </w:abstractNum>
  <w:abstractNum w:abstractNumId="16">
    <w:nsid w:val="5551B9F3"/>
    <w:multiLevelType w:val="hybridMultilevel"/>
    <w:lvl w:ilvl="0">
      <w:lvlJc w:val="left"/>
      <w:lvlText w:val="(%1)"/>
      <w:numFmt w:val="lowerRoman"/>
      <w:start w:val="2"/>
    </w:lvl>
  </w:abstractNum>
  <w:abstractNum w:abstractNumId="17">
    <w:nsid w:val="24F6AB8E"/>
    <w:multiLevelType w:val="hybridMultilevel"/>
    <w:lvl w:ilvl="0">
      <w:lvlJc w:val="left"/>
      <w:lvlText w:val="%1."/>
      <w:numFmt w:val="decimal"/>
      <w:start w:val="5"/>
    </w:lvl>
  </w:abstractNum>
  <w:abstractNum w:abstractNumId="18">
    <w:nsid w:val="634C574C"/>
    <w:multiLevelType w:val="hybridMultilevel"/>
    <w:lvl w:ilvl="0">
      <w:lvlJc w:val="left"/>
      <w:lvlText w:val="(%1)"/>
      <w:numFmt w:val="lowerRoman"/>
      <w:start w:val="1"/>
    </w:lvl>
    <w:lvl w:ilvl="1">
      <w:lvlJc w:val="left"/>
      <w:lvlText w:val="(%2)"/>
      <w:numFmt w:val="decimal"/>
      <w:start w:val="1"/>
    </w:lvl>
  </w:abstractNum>
  <w:abstractNum w:abstractNumId="19">
    <w:nsid w:val="24E99DD7"/>
    <w:multiLevelType w:val="hybridMultilevel"/>
    <w:lvl w:ilvl="0">
      <w:lvlJc w:val="left"/>
      <w:lvlText w:val="%1"/>
      <w:numFmt w:val="lowerRoman"/>
      <w:start w:val="1"/>
    </w:lvl>
    <w:lvl w:ilvl="1">
      <w:lvlJc w:val="left"/>
      <w:lvlText w:val="(%2)"/>
      <w:numFmt w:val="decimal"/>
      <w:start w:val="2"/>
    </w:lvl>
  </w:abstractNum>
  <w:abstractNum w:abstractNumId="20">
    <w:nsid w:val="2A31B62D"/>
    <w:multiLevelType w:val="hybridMultilevel"/>
    <w:lvl w:ilvl="0">
      <w:lvlJc w:val="left"/>
      <w:lvlText w:val="(%1)"/>
      <w:numFmt w:val="lowerRoman"/>
      <w:start w:val="2"/>
    </w:lvl>
    <w:lvl w:ilvl="1">
      <w:lvlJc w:val="left"/>
      <w:lvlText w:val="(%2)"/>
      <w:numFmt w:val="decimal"/>
      <w:start w:val="1"/>
    </w:lvl>
  </w:abstractNum>
  <w:abstractNum w:abstractNumId="21">
    <w:nsid w:val="1849C29B"/>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22">
    <w:nsid w:val="7DFF9D09"/>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23">
    <w:nsid w:val="754342"/>
    <w:multiLevelType w:val="hybridMultilevel"/>
    <w:lvl w:ilvl="0">
      <w:lvlJc w:val="left"/>
      <w:lvlText w:val="(%1)"/>
      <w:numFmt w:val="decimal"/>
      <w:start w:val="2"/>
    </w:lvl>
    <w:lvl w:ilvl="1">
      <w:lvlJc w:val="left"/>
      <w:lvlText w:val="%2"/>
      <w:numFmt w:val="lowerRoman"/>
      <w:start w:val="1"/>
    </w:lvl>
    <w:lvl w:ilvl="2">
      <w:lvlJc w:val="left"/>
      <w:lvlText w:val="%3"/>
      <w:numFmt w:val="decimal"/>
      <w:start w:val="1"/>
    </w:lvl>
  </w:abstractNum>
  <w:abstractNum w:abstractNumId="24">
    <w:nsid w:val="69E7F3E5"/>
    <w:multiLevelType w:val="hybridMultilevel"/>
    <w:lvl w:ilvl="0">
      <w:lvlJc w:val="left"/>
      <w:lvlText w:val="(%1)"/>
      <w:numFmt w:val="lowerRoman"/>
      <w:start w:val="1"/>
    </w:lvl>
  </w:abstractNum>
  <w:abstractNum w:abstractNumId="25">
    <w:nsid w:val="2A6DE806"/>
    <w:multiLevelType w:val="hybridMultilevel"/>
    <w:lvl w:ilvl="0">
      <w:lvlJc w:val="left"/>
      <w:lvlText w:val="%1"/>
      <w:numFmt w:val="decimal"/>
      <w:start w:val="1"/>
    </w:lvl>
    <w:lvl w:ilvl="1">
      <w:lvlJc w:val="left"/>
      <w:lvlText w:val="(%2)"/>
      <w:numFmt w:val="lowerRoman"/>
      <w:start w:val="2"/>
    </w:lvl>
  </w:abstractNum>
  <w:abstractNum w:abstractNumId="26">
    <w:nsid w:val="1816F8C4"/>
    <w:multiLevelType w:val="hybridMultilevel"/>
    <w:lvl w:ilvl="0">
      <w:lvlJc w:val="left"/>
      <w:lvlText w:val="%1."/>
      <w:numFmt w:val="decimal"/>
      <w:start w:val="6"/>
    </w:lvl>
    <w:lvl w:ilvl="1">
      <w:lvlJc w:val="left"/>
      <w:lvlText w:val="%2"/>
      <w:numFmt w:val="lowerRoman"/>
      <w:start w:val="1"/>
    </w:lvl>
  </w:abstractNum>
  <w:abstractNum w:abstractNumId="27">
    <w:nsid w:val="37DF2233"/>
    <w:multiLevelType w:val="hybridMultilevel"/>
    <w:lvl w:ilvl="0">
      <w:lvlJc w:val="left"/>
      <w:lvlText w:val="(%1)"/>
      <w:numFmt w:val="lowerRoman"/>
      <w:start w:val="1"/>
    </w:lvl>
  </w:abstractNum>
  <w:abstractNum w:abstractNumId="28">
    <w:nsid w:val="7AB49DAF"/>
    <w:multiLevelType w:val="hybridMultilevel"/>
    <w:lvl w:ilvl="0">
      <w:lvlJc w:val="left"/>
      <w:lvlText w:val="(%1)"/>
      <w:numFmt w:val="lowerRoman"/>
      <w:start w:val="2"/>
    </w:lvl>
  </w:abstractNum>
  <w:abstractNum w:abstractNumId="29">
    <w:nsid w:val="759F82CD"/>
    <w:multiLevelType w:val="hybridMultilevel"/>
    <w:lvl w:ilvl="0">
      <w:lvlJc w:val="left"/>
      <w:lvlText w:val="(%1)"/>
      <w:numFmt w:val="lowerRoman"/>
      <w:start w:val="1"/>
    </w:lvl>
  </w:abstractNum>
  <w:abstractNum w:abstractNumId="30">
    <w:nsid w:val="61E74EA3"/>
    <w:multiLevelType w:val="hybridMultilevel"/>
    <w:lvl w:ilvl="0">
      <w:lvlJc w:val="left"/>
      <w:lvlText w:val="(%1)"/>
      <w:numFmt w:val="lowerRoman"/>
      <w:start w:val="2"/>
    </w:lvl>
  </w:abstractNum>
  <w:abstractNum w:abstractNumId="31">
    <w:nsid w:val="597B4D84"/>
    <w:multiLevelType w:val="hybridMultilevel"/>
    <w:lvl w:ilvl="0">
      <w:lvlJc w:val="left"/>
      <w:lvlText w:val="(%1)"/>
      <w:numFmt w:val="lowerRoman"/>
      <w:start w:val="1"/>
    </w:lvl>
  </w:abstractNum>
  <w:abstractNum w:abstractNumId="32">
    <w:nsid w:val="F819E7F"/>
    <w:multiLevelType w:val="hybridMultilevel"/>
    <w:lvl w:ilvl="0">
      <w:lvlJc w:val="left"/>
      <w:lvlText w:val="(%1)"/>
      <w:numFmt w:val="lowerRoman"/>
      <w:start w:val="5"/>
    </w:lvl>
  </w:abstractNum>
  <w:abstractNum w:abstractNumId="33">
    <w:nsid w:val="57C7D42D"/>
    <w:multiLevelType w:val="hybridMultilevel"/>
    <w:lvl w:ilvl="0">
      <w:lvlJc w:val="left"/>
      <w:lvlText w:val="(%1)"/>
      <w:numFmt w:val="lowerRoman"/>
      <w:start w:val="11"/>
    </w:lvl>
    <w:lvl w:ilvl="1">
      <w:lvlJc w:val="left"/>
      <w:lvlText w:val="(%2)"/>
      <w:numFmt w:val="decimal"/>
      <w:start w:val="1"/>
    </w:lvl>
  </w:abstractNum>
  <w:abstractNum w:abstractNumId="34">
    <w:nsid w:val="312167AD"/>
    <w:multiLevelType w:val="hybridMultilevel"/>
    <w:lvl w:ilvl="0">
      <w:lvlJc w:val="left"/>
      <w:lvlText w:val="(%1)"/>
      <w:numFmt w:val="decimal"/>
      <w:start w:val="4"/>
    </w:lvl>
  </w:abstractNum>
  <w:abstractNum w:abstractNumId="35">
    <w:nsid w:val="631B64D4"/>
    <w:multiLevelType w:val="hybridMultilevel"/>
    <w:lvl w:ilvl="0">
      <w:lvlJc w:val="left"/>
      <w:lvlText w:val="%1"/>
      <w:numFmt w:val="decimal"/>
      <w:start w:val="1"/>
    </w:lvl>
    <w:lvl w:ilvl="1">
      <w:lvlJc w:val="left"/>
      <w:lvlText w:val="(%2)"/>
      <w:numFmt w:val="lowerRoman"/>
      <w:start w:val="13"/>
    </w:lvl>
  </w:abstractNum>
  <w:abstractNum w:abstractNumId="36">
    <w:nsid w:val="78B5E776"/>
    <w:multiLevelType w:val="hybridMultilevel"/>
    <w:lvl w:ilvl="0">
      <w:lvlJc w:val="left"/>
      <w:lvlText w:val="%1."/>
      <w:numFmt w:val="decimal"/>
      <w:start w:val="7"/>
    </w:lvl>
    <w:lvl w:ilvl="1">
      <w:lvlJc w:val="left"/>
      <w:lvlText w:val="%2"/>
      <w:numFmt w:val="lowerRoman"/>
      <w:start w:val="1"/>
    </w:lvl>
  </w:abstractNum>
  <w:abstractNum w:abstractNumId="37">
    <w:nsid w:val="75486E47"/>
    <w:multiLevelType w:val="hybridMultilevel"/>
    <w:lvl w:ilvl="0">
      <w:lvlJc w:val="left"/>
      <w:lvlText w:val="(%1)"/>
      <w:numFmt w:val="lowerRoman"/>
      <w:start w:val="1"/>
    </w:lvl>
  </w:abstractNum>
  <w:abstractNum w:abstractNumId="38">
    <w:nsid w:val="6E534CDE"/>
    <w:multiLevelType w:val="hybridMultilevel"/>
    <w:lvl w:ilvl="0">
      <w:lvlJc w:val="left"/>
      <w:lvlText w:val="(%1)"/>
      <w:numFmt w:val="lowerRoman"/>
      <w:start w:val="2"/>
    </w:lvl>
  </w:abstractNum>
  <w:abstractNum w:abstractNumId="39">
    <w:nsid w:val="1A0DDE32"/>
    <w:multiLevelType w:val="hybridMultilevel"/>
    <w:lvl w:ilvl="0">
      <w:lvlJc w:val="left"/>
      <w:lvlText w:val="%1."/>
      <w:numFmt w:val="decimal"/>
      <w:start w:val="8"/>
    </w:lvl>
  </w:abstractNum>
  <w:abstractNum w:abstractNumId="40">
    <w:nsid w:val="65968C1C"/>
    <w:multiLevelType w:val="hybridMultilevel"/>
    <w:lvl w:ilvl="0">
      <w:lvlJc w:val="left"/>
      <w:lvlText w:val="(%1)"/>
      <w:numFmt w:val="lowerRoman"/>
      <w:start w:val="1"/>
    </w:lvl>
  </w:abstractNum>
  <w:abstractNum w:abstractNumId="41">
    <w:nsid w:val="46263DEC"/>
    <w:multiLevelType w:val="hybridMultilevel"/>
    <w:lvl w:ilvl="0">
      <w:lvlJc w:val="left"/>
      <w:lvlText w:val="%1."/>
      <w:numFmt w:val="decimal"/>
      <w:start w:val="9"/>
    </w:lvl>
  </w:abstractNum>
  <w:abstractNum w:abstractNumId="42">
    <w:nsid w:val="260D8C4A"/>
    <w:multiLevelType w:val="hybridMultilevel"/>
    <w:lvl w:ilvl="0">
      <w:lvlJc w:val="left"/>
      <w:lvlText w:val="%1."/>
      <w:numFmt w:val="decimal"/>
      <w:start w:val="10"/>
    </w:lvl>
  </w:abstractNum>
  <w:abstractNum w:abstractNumId="43">
    <w:nsid w:val="73D4D3C4"/>
    <w:multiLevelType w:val="hybridMultilevel"/>
    <w:lvl w:ilvl="0">
      <w:lvlJc w:val="left"/>
      <w:lvlText w:val="%1."/>
      <w:numFmt w:val="decimal"/>
      <w:start w:val="12"/>
    </w:lvl>
  </w:abstractNum>
  <w:abstractNum w:abstractNumId="44">
    <w:nsid w:val="746F2E30"/>
    <w:multiLevelType w:val="hybridMultilevel"/>
    <w:lvl w:ilvl="0">
      <w:lvlJc w:val="left"/>
      <w:lvlText w:val="%1."/>
      <w:numFmt w:val="decimal"/>
      <w:start w:val="13"/>
    </w:lvl>
  </w:abstractNum>
  <w:abstractNum w:abstractNumId="45">
    <w:nsid w:val="6FDE8AF6"/>
    <w:multiLevelType w:val="hybridMultilevel"/>
    <w:lvl w:ilvl="0">
      <w:lvlJc w:val="left"/>
      <w:lvlText w:val="%1."/>
      <w:numFmt w:val="decimal"/>
      <w:start w:val="14"/>
    </w:lvl>
    <w:lvl w:ilvl="1">
      <w:lvlJc w:val="left"/>
      <w:lvlText w:val="(%2)"/>
      <w:numFmt w:val="lowerLetter"/>
      <w:start w:val="1"/>
    </w:lvl>
  </w:abstractNum>
  <w:abstractNum w:abstractNumId="46">
    <w:nsid w:val="3FC32E20"/>
    <w:multiLevelType w:val="hybridMultilevel"/>
    <w:lvl w:ilvl="0">
      <w:lvlJc w:val="left"/>
      <w:lvlText w:val="%1"/>
      <w:numFmt w:val="decimal"/>
      <w:start w:val="1"/>
    </w:lvl>
    <w:lvl w:ilvl="1">
      <w:lvlJc w:val="left"/>
      <w:lvlText w:val="(%2)"/>
      <w:numFmt w:val="lowerLetter"/>
      <w:start w:val="7"/>
    </w:lvl>
  </w:abstractNum>
  <w:abstractNum w:abstractNumId="47">
    <w:nsid w:val="49C0E823"/>
    <w:multiLevelType w:val="hybridMultilevel"/>
    <w:lvl w:ilvl="0">
      <w:lvlJc w:val="left"/>
      <w:lvlText w:val="%1."/>
      <w:numFmt w:val="decimal"/>
      <w:start w:val="16"/>
    </w:lvl>
    <w:lvl w:ilvl="1">
      <w:lvlJc w:val="left"/>
      <w:lvlText w:val="%2"/>
      <w:numFmt w:val="lowerLetter"/>
      <w:start w:val="1"/>
    </w:lvl>
  </w:abstractNum>
  <w:abstractNum w:abstractNumId="48">
    <w:nsid w:val="14D53685"/>
    <w:multiLevelType w:val="hybridMultilevel"/>
    <w:lvl w:ilvl="0">
      <w:lvlJc w:val="left"/>
      <w:lvlText w:val="(%1)"/>
      <w:numFmt w:val="lowerLetter"/>
      <w:start w:val="1"/>
    </w:lvl>
  </w:abstractNum>
  <w:abstractNum w:abstractNumId="49">
    <w:nsid w:val="230F856C"/>
    <w:multiLevelType w:val="hybridMultilevel"/>
    <w:lvl w:ilvl="0">
      <w:lvlJc w:val="left"/>
      <w:lvlText w:val="(%1)"/>
      <w:numFmt w:val="lowerLetter"/>
      <w:start w:val="4"/>
    </w:lvl>
    <w:lvl w:ilvl="1">
      <w:lvlJc w:val="left"/>
      <w:lvlText w:val="(%2)"/>
      <w:numFmt w:val="lowerRoman"/>
      <w:start w:val="1"/>
    </w:lvl>
  </w:abstractNum>
  <w:abstractNum w:abstractNumId="50">
    <w:nsid w:val="6EAA85FB"/>
    <w:multiLevelType w:val="hybridMultilevel"/>
    <w:lvl w:ilvl="0">
      <w:lvlJc w:val="left"/>
      <w:lvlText w:val="(%1)"/>
      <w:numFmt w:val="lowerRoman"/>
      <w:start w:val="4"/>
    </w:lvl>
  </w:abstractNum>
  <w:abstractNum w:abstractNumId="51">
    <w:nsid w:val="3F06ECB2"/>
    <w:multiLevelType w:val="hybridMultilevel"/>
    <w:lvl w:ilvl="0">
      <w:lvlJc w:val="left"/>
      <w:lvlText w:val="%1"/>
      <w:numFmt w:val="lowerLetter"/>
      <w:start w:val="1"/>
    </w:lvl>
    <w:lvl w:ilvl="1">
      <w:lvlJc w:val="left"/>
      <w:lvlText w:val="(%2)"/>
      <w:numFmt w:val="lowerLetter"/>
      <w:start w:val="24"/>
    </w:lvl>
  </w:abstractNum>
  <w:abstractNum w:abstractNumId="52">
    <w:nsid w:val="3B594807"/>
    <w:multiLevelType w:val="hybridMultilevel"/>
    <w:lvl w:ilvl="0">
      <w:lvlJc w:val="left"/>
      <w:lvlText w:val="(%1)"/>
      <w:numFmt w:val="lowerLetter"/>
      <w:start w:val="5"/>
    </w:lvl>
    <w:lvl w:ilvl="1">
      <w:lvlJc w:val="left"/>
      <w:lvlText w:val="%2"/>
      <w:numFmt w:val="lowerLetter"/>
      <w:start w:val="1"/>
    </w:lvl>
  </w:abstractNum>
  <w:abstractNum w:abstractNumId="53">
    <w:nsid w:val="6CAA2304"/>
    <w:multiLevelType w:val="hybridMultilevel"/>
    <w:lvl w:ilvl="0">
      <w:lvlJc w:val="left"/>
      <w:lvlText w:val="(%1)"/>
      <w:numFmt w:val="lowerLetter"/>
      <w:start w:val="6"/>
    </w:lvl>
    <w:lvl w:ilvl="1">
      <w:lvlJc w:val="left"/>
      <w:lvlText w:val="(%2)"/>
      <w:numFmt w:val="lowerLetter"/>
      <w:start w:val="9"/>
    </w:lvl>
  </w:abstractNum>
  <w:abstractNum w:abstractNumId="54">
    <w:nsid w:val="3F7C2FF4"/>
    <w:multiLevelType w:val="hybridMultilevel"/>
    <w:lvl w:ilvl="0">
      <w:lvlJc w:val="left"/>
      <w:lvlText w:val="%1"/>
      <w:numFmt w:val="lowerLetter"/>
      <w:start w:val="1"/>
    </w:lvl>
    <w:lvl w:ilvl="1">
      <w:lvlJc w:val="left"/>
      <w:lvlText w:val="(%2)"/>
      <w:numFmt w:val="lowerLetter"/>
      <w:start w:val="35"/>
    </w:lvl>
  </w:abstractNum>
  <w:abstractNum w:abstractNumId="55">
    <w:nsid w:val="25413BEC"/>
    <w:multiLevelType w:val="hybridMultilevel"/>
    <w:lvl w:ilvl="0">
      <w:lvlJc w:val="left"/>
      <w:lvlText w:val="(%1)"/>
      <w:numFmt w:val="lowerLetter"/>
      <w:start w:val="11"/>
    </w:lvl>
    <w:lvl w:ilvl="1">
      <w:lvlJc w:val="left"/>
      <w:lvlText w:val="%2"/>
      <w:numFmt w:val="lowerLetter"/>
      <w:start w:val="1"/>
    </w:lvl>
  </w:abstractNum>
  <w:abstractNum w:abstractNumId="56">
    <w:nsid w:val="17180B0B"/>
    <w:multiLevelType w:val="hybridMultilevel"/>
    <w:lvl w:ilvl="0">
      <w:lvlJc w:val="left"/>
      <w:lvlText w:val="(%1)"/>
      <w:numFmt w:val="lowerLetter"/>
      <w:start w:val="1"/>
    </w:lvl>
  </w:abstractNum>
  <w:abstractNum w:abstractNumId="57">
    <w:nsid w:val="579328B9"/>
    <w:multiLevelType w:val="hybridMultilevel"/>
    <w:lvl w:ilvl="0">
      <w:lvlJc w:val="left"/>
      <w:lvlText w:val="%1"/>
      <w:numFmt w:val="lowerLetter"/>
      <w:start w:val="1"/>
    </w:lvl>
    <w:lvl w:ilvl="1">
      <w:lvlJc w:val="left"/>
      <w:lvlText w:val="(%2)"/>
      <w:numFmt w:val="lowerRoman"/>
      <w:start w:val="1"/>
    </w:lvl>
  </w:abstractNum>
  <w:abstractNum w:abstractNumId="58">
    <w:nsid w:val="5D205E20"/>
    <w:multiLevelType w:val="hybridMultilevel"/>
    <w:lvl w:ilvl="0">
      <w:lvlJc w:val="left"/>
      <w:lvlText w:val="(%1)"/>
      <w:numFmt w:val="lowerLetter"/>
      <w:start w:val="3"/>
    </w:lvl>
    <w:lvl w:ilvl="1">
      <w:lvlJc w:val="left"/>
      <w:lvlText w:val="%2"/>
      <w:numFmt w:val="lowerRoman"/>
      <w:start w:val="1"/>
    </w:lvl>
  </w:abstractNum>
  <w:abstractNum w:abstractNumId="59">
    <w:nsid w:val="11CCA8BA"/>
    <w:multiLevelType w:val="hybridMultilevel"/>
    <w:lvl w:ilvl="0">
      <w:lvlJc w:val="left"/>
      <w:lvlText w:val="(%1)"/>
      <w:numFmt w:val="lowerLetter"/>
      <w:start w:val="1"/>
    </w:lvl>
  </w:abstractNum>
  <w:abstractNum w:abstractNumId="60">
    <w:nsid w:val="4D32AB86"/>
    <w:multiLevelType w:val="hybridMultilevel"/>
    <w:lvl w:ilvl="0">
      <w:lvlJc w:val="left"/>
      <w:lvlText w:val="(%1)"/>
      <w:numFmt w:val="lowerLetter"/>
      <w:start w:val="1"/>
    </w:lvl>
    <w:lvl w:ilvl="1">
      <w:lvlJc w:val="left"/>
      <w:lvlText w:val="(%2)"/>
      <w:numFmt w:val="lowerRoman"/>
      <w:start w:val="1"/>
    </w:lvl>
  </w:abstractNum>
  <w:abstractNum w:abstractNumId="61">
    <w:nsid w:val="3F07ACC3"/>
    <w:multiLevelType w:val="hybridMultilevel"/>
    <w:lvl w:ilvl="0">
      <w:lvlJc w:val="left"/>
      <w:lvlText w:val="(%1)"/>
      <w:numFmt w:val="lowerLetter"/>
      <w:start w:val="5"/>
    </w:lvl>
    <w:lvl w:ilvl="1">
      <w:lvlJc w:val="left"/>
      <w:lvlText w:val="(%2)"/>
      <w:numFmt w:val="lowerRoman"/>
      <w:start w:val="1"/>
    </w:lvl>
  </w:abstractNum>
  <w:abstractNum w:abstractNumId="62">
    <w:nsid w:val="6B47F63E"/>
    <w:multiLevelType w:val="hybridMultilevel"/>
    <w:lvl w:ilvl="0">
      <w:lvlJc w:val="left"/>
      <w:lvlText w:val="%1"/>
      <w:numFmt w:val="lowerLetter"/>
      <w:start w:val="1"/>
    </w:lvl>
    <w:lvl w:ilvl="1">
      <w:lvlJc w:val="left"/>
      <w:lvlText w:val="(%2)"/>
      <w:numFmt w:val="lowerRoman"/>
      <w:start w:val="5"/>
    </w:lvl>
  </w:abstractNum>
  <w:abstractNum w:abstractNumId="63">
    <w:nsid w:val="5CB44A05"/>
    <w:multiLevelType w:val="hybridMultilevel"/>
    <w:lvl w:ilvl="0">
      <w:lvlJc w:val="left"/>
      <w:lvlText w:val="(%1)"/>
      <w:numFmt w:val="lowerLetter"/>
      <w:start w:val="8"/>
    </w:lvl>
    <w:lvl w:ilvl="1">
      <w:lvlJc w:val="left"/>
      <w:lvlText w:val="(%2)"/>
      <w:numFmt w:val="lowerRoman"/>
      <w:start w:val="1"/>
    </w:lvl>
  </w:abstractNum>
  <w:abstractNum w:abstractNumId="64">
    <w:nsid w:val="16CF80F1"/>
    <w:multiLevelType w:val="hybridMultilevel"/>
    <w:lvl w:ilvl="0">
      <w:lvlJc w:val="left"/>
      <w:lvlText w:val="(%1)"/>
      <w:numFmt w:val="lowerLetter"/>
      <w:start w:val="11"/>
    </w:lvl>
  </w:abstractNum>
  <w:abstractNum w:abstractNumId="65">
    <w:nsid w:val="1C695DEC"/>
    <w:multiLevelType w:val="hybridMultilevel"/>
    <w:lvl w:ilvl="0">
      <w:lvlJc w:val="left"/>
      <w:lvlText w:val="(%1)"/>
      <w:numFmt w:val="lowerLetter"/>
      <w:start w:val="1"/>
    </w:lvl>
  </w:abstractNum>
  <w:abstractNum w:abstractNumId="66">
    <w:nsid w:val="3FCFAED9"/>
    <w:multiLevelType w:val="hybridMultilevel"/>
    <w:lvl w:ilvl="0">
      <w:lvlJc w:val="left"/>
      <w:lvlText w:val="(%1)"/>
      <w:numFmt w:val="lowerRoman"/>
      <w:start w:val="1"/>
    </w:lvl>
  </w:abstractNum>
  <w:abstractNum w:abstractNumId="67">
    <w:nsid w:val="F856867"/>
    <w:multiLevelType w:val="hybridMultilevel"/>
    <w:lvl w:ilvl="0">
      <w:lvlJc w:val="left"/>
      <w:lvlText w:val="(%1)"/>
      <w:numFmt w:val="lowerLetter"/>
      <w:start w:val="2"/>
    </w:lvl>
  </w:abstractNum>
  <w:abstractNum w:abstractNumId="68">
    <w:nsid w:val="11B1CC33"/>
    <w:multiLevelType w:val="hybridMultilevel"/>
    <w:lvl w:ilvl="0">
      <w:lvlJc w:val="left"/>
      <w:lvlText w:val="(%1)"/>
      <w:numFmt w:val="lowerLetter"/>
      <w:start w:val="10"/>
    </w:lvl>
    <w:lvl w:ilvl="1">
      <w:lvlJc w:val="left"/>
      <w:lvlText w:val="(%2)"/>
      <w:numFmt w:val="decimal"/>
      <w:start w:val="1"/>
    </w:lvl>
  </w:abstractNum>
  <w:abstractNum w:abstractNumId="69">
    <w:nsid w:val="2E22FBB7"/>
    <w:multiLevelType w:val="hybridMultilevel"/>
    <w:lvl w:ilvl="0">
      <w:lvlJc w:val="left"/>
      <w:lvlText w:val="(%1)"/>
      <w:numFmt w:val="lowerLetter"/>
      <w:start w:val="12"/>
    </w:lvl>
    <w:lvl w:ilvl="1">
      <w:lvlJc w:val="left"/>
      <w:lvlText w:val="(%2)"/>
      <w:numFmt w:val="decimal"/>
      <w:start w:val="1"/>
    </w:lvl>
  </w:abstractNum>
  <w:abstractNum w:abstractNumId="70">
    <w:nsid w:val="29934699"/>
    <w:multiLevelType w:val="hybridMultilevel"/>
    <w:lvl w:ilvl="0">
      <w:lvlJc w:val="left"/>
      <w:lvlText w:val="(%1)"/>
      <w:numFmt w:val="lowerLetter"/>
      <w:start w:val="22"/>
    </w:lvl>
  </w:abstractNum>
  <w:abstractNum w:abstractNumId="71">
    <w:nsid w:val="77485850"/>
    <w:multiLevelType w:val="hybridMultilevel"/>
    <w:lvl w:ilvl="0">
      <w:lvlJc w:val="left"/>
      <w:lvlText w:val="(%1)"/>
      <w:numFmt w:val="lowerLetter"/>
      <w:start w:val="27"/>
    </w:lvl>
  </w:abstractNum>
  <w:abstractNum w:abstractNumId="72">
    <w:nsid w:val="744939A3"/>
    <w:multiLevelType w:val="hybridMultilevel"/>
    <w:lvl w:ilvl="0">
      <w:lvlJc w:val="left"/>
      <w:lvlText w:val="%1"/>
      <w:numFmt w:val="lowerLetter"/>
      <w:start w:val="1"/>
    </w:lvl>
    <w:lvl w:ilvl="1">
      <w:lvlJc w:val="left"/>
      <w:lvlText w:val="(%2)"/>
      <w:numFmt w:val="lowerLetter"/>
      <w:start w:val="40"/>
    </w:lvl>
  </w:abstractNum>
  <w:abstractNum w:abstractNumId="73">
    <w:nsid w:val="4FA0D2E3"/>
    <w:multiLevelType w:val="hybridMultilevel"/>
    <w:lvl w:ilvl="0">
      <w:lvlJc w:val="left"/>
      <w:lvlText w:val="(%1)"/>
      <w:numFmt w:val="lowerLetter"/>
      <w:start w:val="9"/>
    </w:lvl>
    <w:lvl w:ilvl="1">
      <w:lvlJc w:val="left"/>
      <w:lvlText w:val="(%2)"/>
      <w:numFmt w:val="lowerLetter"/>
      <w:start w:val="41"/>
    </w:lvl>
  </w:abstractNum>
  <w:abstractNum w:abstractNumId="74">
    <w:nsid w:val="6B1D2C14"/>
    <w:multiLevelType w:val="hybridMultilevel"/>
    <w:lvl w:ilvl="0">
      <w:lvlJc w:val="left"/>
      <w:lvlText w:val="(%1)"/>
      <w:numFmt w:val="lowerLetter"/>
      <w:start w:val="1"/>
    </w:lvl>
    <w:lvl w:ilvl="1">
      <w:lvlJc w:val="left"/>
      <w:lvlText w:val="(%2)"/>
      <w:numFmt w:val="decimal"/>
      <w:start w:val="1"/>
    </w:lvl>
  </w:abstractNum>
  <w:abstractNum w:abstractNumId="75">
    <w:nsid w:val="68B867D3"/>
    <w:multiLevelType w:val="hybridMultilevel"/>
    <w:lvl w:ilvl="0">
      <w:lvlJc w:val="left"/>
      <w:lvlText w:val="(%1)"/>
      <w:numFmt w:val="lowerLetter"/>
      <w:start w:val="3"/>
    </w:lvl>
  </w:abstractNum>
  <w:abstractNum w:abstractNumId="76">
    <w:nsid w:val="3F7F5DD9"/>
    <w:multiLevelType w:val="hybridMultilevel"/>
    <w:lvl w:ilvl="0">
      <w:lvlJc w:val="left"/>
      <w:lvlText w:val="(%1)"/>
      <w:numFmt w:val="lowerLetter"/>
      <w:start w:val="1"/>
    </w:lvl>
  </w:abstractNum>
  <w:abstractNum w:abstractNumId="77">
    <w:nsid w:val="2AE05A34"/>
    <w:multiLevelType w:val="hybridMultilevel"/>
    <w:lvl w:ilvl="0">
      <w:lvlJc w:val="left"/>
      <w:lvlText w:val="%1"/>
      <w:numFmt w:val="decimal"/>
      <w:start w:val="1"/>
    </w:lvl>
    <w:lvl w:ilvl="1">
      <w:lvlJc w:val="left"/>
      <w:lvlText w:val="(%2)"/>
      <w:numFmt w:val="lowerLetter"/>
      <w:start w:val="1"/>
    </w:lvl>
  </w:abstractNum>
  <w:abstractNum w:abstractNumId="78">
    <w:nsid w:val="32794FF7"/>
    <w:multiLevelType w:val="hybridMultilevel"/>
    <w:lvl w:ilvl="0">
      <w:lvlJc w:val="left"/>
      <w:lvlText w:val="(%1)"/>
      <w:numFmt w:val="decimal"/>
      <w:start w:val="10"/>
    </w:lvl>
    <w:lvl w:ilvl="1">
      <w:lvlJc w:val="left"/>
      <w:lvlText w:val="(%2)"/>
      <w:numFmt w:val="lowerLetter"/>
      <w:start w:val="4"/>
    </w:lvl>
  </w:abstractNum>
  <w:abstractNum w:abstractNumId="79">
    <w:nsid w:val="5454945E"/>
    <w:multiLevelType w:val="hybridMultilevel"/>
    <w:lvl w:ilvl="0">
      <w:lvlJc w:val="left"/>
      <w:lvlText w:val="(%1)"/>
      <w:numFmt w:val="lowerLetter"/>
      <w:start w:val="5"/>
    </w:lvl>
    <w:lvl w:ilvl="1">
      <w:lvlJc w:val="left"/>
      <w:lvlText w:val="(%2)"/>
      <w:numFmt w:val="decimal"/>
      <w:start w:val="1"/>
    </w:lvl>
  </w:abstractNum>
  <w:abstractNum w:abstractNumId="80">
    <w:nsid w:val="4DEFDFA0"/>
    <w:multiLevelType w:val="hybridMultilevel"/>
    <w:lvl w:ilvl="0">
      <w:lvlJc w:val="left"/>
      <w:lvlText w:val="(%1)"/>
      <w:numFmt w:val="lowerRoman"/>
      <w:start w:val="1"/>
    </w:lvl>
  </w:abstractNum>
  <w:abstractNum w:abstractNumId="81">
    <w:nsid w:val="2123D5F2"/>
    <w:multiLevelType w:val="hybridMultilevel"/>
    <w:lvl w:ilvl="0">
      <w:lvlJc w:val="left"/>
      <w:lvlText w:val="(%1)"/>
      <w:numFmt w:val="lowerLetter"/>
      <w:start w:val="1"/>
    </w:lvl>
    <w:lvl w:ilvl="1">
      <w:lvlJc w:val="left"/>
      <w:lvlText w:val="(%2)"/>
      <w:numFmt w:val="decimal"/>
      <w:start w:val="1"/>
    </w:lvl>
  </w:abstractNum>
  <w:abstractNum w:abstractNumId="82">
    <w:nsid w:val="135B8110"/>
    <w:multiLevelType w:val="hybridMultilevel"/>
    <w:lvl w:ilvl="0">
      <w:lvlJc w:val="left"/>
      <w:lvlText w:val="(%1)"/>
      <w:numFmt w:val="lowerLetter"/>
      <w:start w:val="6"/>
    </w:lvl>
    <w:lvl w:ilvl="1">
      <w:lvlJc w:val="left"/>
      <w:lvlText w:val="(%2)"/>
      <w:numFmt w:val="decimal"/>
      <w:start w:val="1"/>
    </w:lvl>
  </w:abstractNum>
  <w:abstractNum w:abstractNumId="83">
    <w:nsid w:val="94927A8"/>
    <w:multiLevelType w:val="hybridMultilevel"/>
    <w:lvl w:ilvl="0">
      <w:lvlJc w:val="left"/>
      <w:lvlText w:val="(%1)"/>
      <w:numFmt w:val="lowerLetter"/>
      <w:start w:val="1"/>
    </w:lvl>
  </w:abstractNum>
  <w:abstractNum w:abstractNumId="84">
    <w:nsid w:val="DCDF8F6"/>
    <w:multiLevelType w:val="hybridMultilevel"/>
    <w:lvl w:ilvl="0">
      <w:lvlJc w:val="left"/>
      <w:lvlText w:val="(%1)"/>
      <w:numFmt w:val="lowerLetter"/>
      <w:start w:val="3"/>
    </w:lvl>
    <w:lvl w:ilvl="1">
      <w:lvlJc w:val="left"/>
      <w:lvlText w:val="(%2)"/>
      <w:numFmt w:val="decimal"/>
      <w:start w:val="1"/>
    </w:lvl>
  </w:abstractNum>
  <w:abstractNum w:abstractNumId="85">
    <w:nsid w:val="52D7B105"/>
    <w:multiLevelType w:val="hybridMultilevel"/>
    <w:lvl w:ilvl="0">
      <w:lvlJc w:val="left"/>
      <w:lvlText w:val="(%1)"/>
      <w:numFmt w:val="lowerLetter"/>
      <w:start w:val="1"/>
    </w:lvl>
  </w:abstractNum>
  <w:abstractNum w:abstractNumId="86">
    <w:nsid w:val="2E8A6394"/>
    <w:multiLevelType w:val="hybridMultilevel"/>
    <w:lvl w:ilvl="0">
      <w:lvlJc w:val="left"/>
      <w:lvlText w:val="(%1)"/>
      <w:numFmt w:val="lowerLetter"/>
      <w:start w:val="1"/>
    </w:lvl>
  </w:abstractNum>
  <w:abstractNum w:abstractNumId="87">
    <w:nsid w:val="24E60401"/>
    <w:multiLevelType w:val="hybridMultilevel"/>
    <w:lvl w:ilvl="0">
      <w:lvlJc w:val="left"/>
      <w:lvlText w:val="(%1)"/>
      <w:numFmt w:val="lowerLetter"/>
      <w:start w:val="1"/>
    </w:lvl>
  </w:abstractNum>
  <w:abstractNum w:abstractNumId="88">
    <w:nsid w:val="2A6AD9BE"/>
    <w:multiLevelType w:val="hybridMultilevel"/>
    <w:lvl w:ilvl="0">
      <w:lvlJc w:val="left"/>
      <w:lvlText w:val="(%1)"/>
      <w:numFmt w:val="lowerRoman"/>
      <w:start w:val="1"/>
    </w:lvl>
  </w:abstractNum>
  <w:abstractNum w:abstractNumId="89">
    <w:nsid w:val="BAAC1B4"/>
    <w:multiLevelType w:val="hybridMultilevel"/>
    <w:lvl w:ilvl="0">
      <w:lvlJc w:val="left"/>
      <w:lvlText w:val="(%1)"/>
      <w:numFmt w:val="lowerRoman"/>
      <w:start w:val="2"/>
    </w:lvl>
  </w:abstractNum>
  <w:abstractNum w:abstractNumId="90">
    <w:nsid w:val="36B2ACBC"/>
    <w:multiLevelType w:val="hybridMultilevel"/>
    <w:lvl w:ilvl="0">
      <w:lvlJc w:val="left"/>
      <w:lvlText w:val="(%1)"/>
      <w:numFmt w:val="lowerRoman"/>
      <w:start w:val="1"/>
    </w:lvl>
  </w:abstractNum>
  <w:abstractNum w:abstractNumId="91">
    <w:nsid w:val="779D8544"/>
    <w:multiLevelType w:val="hybridMultilevel"/>
    <w:lvl w:ilvl="0">
      <w:lvlJc w:val="left"/>
      <w:lvlText w:val="(%1)"/>
      <w:numFmt w:val="lowerLetter"/>
      <w:start w:val="1"/>
    </w:lvl>
    <w:lvl w:ilvl="1">
      <w:lvlJc w:val="left"/>
      <w:lvlText w:val="(%2)"/>
      <w:numFmt w:val="lowerRoman"/>
      <w:start w:val="1"/>
    </w:lvl>
  </w:abstractNum>
  <w:abstractNum w:abstractNumId="92">
    <w:nsid w:val="4AB26E78"/>
    <w:multiLevelType w:val="hybridMultilevel"/>
    <w:lvl w:ilvl="0">
      <w:lvlJc w:val="left"/>
      <w:lvlText w:val="%1"/>
      <w:numFmt w:val="lowerLetter"/>
      <w:start w:val="1"/>
    </w:lvl>
    <w:lvl w:ilvl="1">
      <w:lvlJc w:val="left"/>
      <w:lvlText w:val="(%2)"/>
      <w:numFmt w:val="lowerLetter"/>
      <w:start w:val="1"/>
    </w:lvl>
  </w:abstractNum>
  <w:abstractNum w:abstractNumId="93">
    <w:nsid w:val="21FAA2FA"/>
    <w:multiLevelType w:val="hybridMultilevel"/>
    <w:lvl w:ilvl="0">
      <w:lvlJc w:val="left"/>
      <w:lvlText w:val="(%1)"/>
      <w:numFmt w:val="lowerLetter"/>
      <w:start w:val="9"/>
    </w:lvl>
    <w:lvl w:ilvl="1">
      <w:lvlJc w:val="left"/>
      <w:lvlText w:val="%2"/>
      <w:numFmt w:val="lowerLetter"/>
      <w:start w:val="1"/>
    </w:lvl>
  </w:abstractNum>
  <w:abstractNum w:abstractNumId="94">
    <w:nsid w:val="5451CF49"/>
    <w:multiLevelType w:val="hybridMultilevel"/>
    <w:lvl w:ilvl="0">
      <w:lvlJc w:val="left"/>
      <w:lvlText w:val="(%1)"/>
      <w:numFmt w:val="lowerLetter"/>
      <w:start w:val="1"/>
    </w:lvl>
  </w:abstractNum>
  <w:abstractNum w:abstractNumId="95">
    <w:nsid w:val="6181EF69"/>
    <w:multiLevelType w:val="hybridMultilevel"/>
    <w:lvl w:ilvl="0">
      <w:lvlJc w:val="left"/>
      <w:lvlText w:val="(%1)"/>
      <w:numFmt w:val="lowerLetter"/>
      <w:start w:val="1"/>
    </w:lvl>
  </w:abstractNum>
  <w:abstractNum w:abstractNumId="96">
    <w:nsid w:val="3E6400E6"/>
    <w:multiLevelType w:val="hybridMultilevel"/>
    <w:lvl w:ilvl="0">
      <w:lvlJc w:val="left"/>
      <w:lvlText w:val="(%1)"/>
      <w:numFmt w:val="lowerLetter"/>
      <w:start w:val="2"/>
    </w:lvl>
  </w:abstractNum>
  <w:abstractNum w:abstractNumId="97">
    <w:nsid w:val="14217E23"/>
    <w:multiLevelType w:val="hybridMultilevel"/>
    <w:lvl w:ilvl="0">
      <w:lvlJc w:val="left"/>
      <w:lvlText w:val="(%1)"/>
      <w:numFmt w:val="lowerLetter"/>
      <w:start w:val="1"/>
    </w:lvl>
  </w:abstractNum>
  <w:abstractNum w:abstractNumId="98">
    <w:nsid w:val="710757D0"/>
    <w:multiLevelType w:val="hybridMultilevel"/>
    <w:lvl w:ilvl="0">
      <w:lvlJc w:val="left"/>
      <w:lvlText w:val="%1"/>
      <w:numFmt w:val="lowerLetter"/>
      <w:start w:val="1"/>
    </w:lvl>
    <w:lvl w:ilvl="1">
      <w:lvlJc w:val="left"/>
      <w:lvlText w:val="(%2)"/>
      <w:numFmt w:val="lowerLetter"/>
      <w:start w:val="3"/>
    </w:lvl>
  </w:abstractNum>
  <w:abstractNum w:abstractNumId="99">
    <w:nsid w:val="5015CD1A"/>
    <w:multiLevelType w:val="hybridMultilevel"/>
    <w:lvl w:ilvl="0">
      <w:lvlJc w:val="left"/>
      <w:lvlText w:val="(%1)"/>
      <w:numFmt w:val="lowerLetter"/>
      <w:start w:val="61"/>
    </w:lvl>
    <w:lvl w:ilvl="1">
      <w:lvlJc w:val="left"/>
      <w:lvlText w:val="%2"/>
      <w:numFmt w:val="lowerLetter"/>
      <w:start w:val="1"/>
    </w:lvl>
  </w:abstractNum>
  <w:abstractNum w:abstractNumId="100">
    <w:nsid w:val="424479DA"/>
    <w:multiLevelType w:val="hybridMultilevel"/>
    <w:lvl w:ilvl="0">
      <w:lvlJc w:val="left"/>
      <w:lvlText w:val="(%1)"/>
      <w:numFmt w:val="lowerLetter"/>
      <w:start w:val="1"/>
    </w:lvl>
  </w:abstractNum>
  <w:abstractNum w:abstractNumId="101">
    <w:nsid w:val="1A9A9E69"/>
    <w:multiLevelType w:val="hybridMultilevel"/>
    <w:lvl w:ilvl="0">
      <w:lvlJc w:val="left"/>
      <w:lvlText w:val="(%1)"/>
      <w:numFmt w:val="lowerRoman"/>
      <w:start w:val="1"/>
    </w:lvl>
  </w:abstractNum>
  <w:abstractNum w:abstractNumId="102">
    <w:nsid w:val="475E256A"/>
    <w:multiLevelType w:val="hybridMultilevel"/>
    <w:lvl w:ilvl="0">
      <w:lvlJc w:val="left"/>
      <w:lvlText w:val="(%1)"/>
      <w:numFmt w:val="lowerLetter"/>
      <w:start w:val="1"/>
    </w:lvl>
  </w:abstractNum>
  <w:abstractNum w:abstractNumId="103">
    <w:nsid w:val="368DB37E"/>
    <w:multiLevelType w:val="hybridMultilevel"/>
    <w:lvl w:ilvl="0">
      <w:lvlJc w:val="left"/>
      <w:lvlText w:val="(%1)"/>
      <w:numFmt w:val="lowerLetter"/>
      <w:start w:val="3"/>
    </w:lvl>
  </w:abstractNum>
  <w:abstractNum w:abstractNumId="104">
    <w:nsid w:val="6A3B714C"/>
    <w:multiLevelType w:val="hybridMultilevel"/>
    <w:lvl w:ilvl="0">
      <w:lvlJc w:val="left"/>
      <w:lvlText w:val="(%1)"/>
      <w:numFmt w:val="lowerLetter"/>
      <w:start w:val="1"/>
    </w:lvl>
  </w:abstractNum>
  <w:abstractNum w:abstractNumId="105">
    <w:nsid w:val="327B517E"/>
    <w:multiLevelType w:val="hybridMultilevel"/>
    <w:lvl w:ilvl="0">
      <w:lvlJc w:val="left"/>
      <w:lvlText w:val="(%1)"/>
      <w:numFmt w:val="lowerLetter"/>
      <w:start w:val="1"/>
    </w:lvl>
  </w:abstractNum>
  <w:abstractNum w:abstractNumId="106">
    <w:nsid w:val="1F461B51"/>
    <w:multiLevelType w:val="hybridMultilevel"/>
    <w:lvl w:ilvl="0">
      <w:lvlJc w:val="left"/>
      <w:lvlText w:val="(%1)"/>
      <w:numFmt w:val="lowerLetter"/>
      <w:start w:val="1"/>
    </w:lvl>
  </w:abstractNum>
  <w:abstractNum w:abstractNumId="107">
    <w:nsid w:val="29BACF25"/>
    <w:multiLevelType w:val="hybridMultilevel"/>
    <w:lvl w:ilvl="0">
      <w:lvlJc w:val="left"/>
      <w:lvlText w:val="(%1)"/>
      <w:numFmt w:val="lowerLetter"/>
      <w:start w:val="2"/>
    </w:lvl>
  </w:abstractNum>
  <w:abstractNum w:abstractNumId="108">
    <w:nsid w:val="5D5BABB3"/>
    <w:multiLevelType w:val="hybridMultilevel"/>
    <w:lvl w:ilvl="0">
      <w:lvlJc w:val="left"/>
      <w:lvlText w:val="(%1)"/>
      <w:numFmt w:val="lowerLetter"/>
      <w:start w:val="1"/>
    </w:lvl>
  </w:abstractNum>
  <w:abstractNum w:abstractNumId="109">
    <w:nsid w:val="51BF6B48"/>
    <w:multiLevelType w:val="hybridMultilevel"/>
    <w:lvl w:ilvl="0">
      <w:lvlJc w:val="left"/>
      <w:lvlText w:val="(%1)"/>
      <w:numFmt w:val="upperLetter"/>
      <w:start w:val="3"/>
    </w:lvl>
  </w:abstractNum>
  <w:abstractNum w:abstractNumId="110">
    <w:nsid w:val="7E0F6384"/>
    <w:multiLevelType w:val="hybridMultilevel"/>
    <w:lvl w:ilvl="0">
      <w:lvlJc w:val="left"/>
      <w:lvlText w:val="(%1)"/>
      <w:numFmt w:val="lowerLetter"/>
      <w:start w:val="1"/>
    </w:lvl>
  </w:abstractNum>
  <w:abstractNum w:abstractNumId="111">
    <w:nsid w:val="2B4B8B53"/>
    <w:multiLevelType w:val="hybridMultilevel"/>
    <w:lvl w:ilvl="0">
      <w:lvlJc w:val="left"/>
      <w:lvlText w:val="(%1)"/>
      <w:numFmt w:val="lowerLetter"/>
      <w:start w:val="2"/>
    </w:lvl>
  </w:abstractNum>
  <w:abstractNum w:abstractNumId="112">
    <w:nsid w:val="72E3413A"/>
    <w:multiLevelType w:val="hybridMultilevel"/>
    <w:lvl w:ilvl="0">
      <w:lvlJc w:val="left"/>
      <w:lvlText w:val="(%1)"/>
      <w:numFmt w:val="lowerLetter"/>
      <w:start w:val="1"/>
    </w:lvl>
  </w:abstractNum>
  <w:abstractNum w:abstractNumId="113">
    <w:nsid w:val="116AE494"/>
    <w:multiLevelType w:val="hybridMultilevel"/>
    <w:lvl w:ilvl="0">
      <w:lvlJc w:val="left"/>
      <w:lvlText w:val="%1"/>
      <w:numFmt w:val="lowerLetter"/>
      <w:start w:val="1"/>
    </w:lvl>
    <w:lvl w:ilvl="1">
      <w:lvlJc w:val="left"/>
      <w:lvlText w:val="(%2)"/>
      <w:numFmt w:val="lowerLetter"/>
      <w:start w:val="1"/>
    </w:lvl>
  </w:abstractNum>
  <w:abstractNum w:abstractNumId="114">
    <w:nsid w:val="3494B2FB"/>
    <w:multiLevelType w:val="hybridMultilevel"/>
    <w:lvl w:ilvl="0">
      <w:lvlJc w:val="left"/>
      <w:lvlText w:val="(%1)"/>
      <w:numFmt w:val="lowerLetter"/>
      <w:start w:val="35"/>
    </w:lvl>
    <w:lvl w:ilvl="1">
      <w:lvlJc w:val="left"/>
      <w:lvlText w:val="%2"/>
      <w:numFmt w:val="lowerLetter"/>
      <w:start w:val="1"/>
    </w:lvl>
  </w:abstractNum>
  <w:abstractNum w:abstractNumId="115">
    <w:nsid w:val="B13A31"/>
    <w:multiLevelType w:val="hybridMultilevel"/>
    <w:lvl w:ilvl="0">
      <w:lvlJc w:val="left"/>
      <w:lvlText w:val="%1"/>
      <w:numFmt w:val="decimal"/>
      <w:start w:val="1"/>
    </w:lvl>
    <w:lvl w:ilvl="1">
      <w:lvlJc w:val="left"/>
      <w:lvlText w:val="(%2)"/>
      <w:numFmt w:val="lowerLetter"/>
      <w:start w:val="3"/>
    </w:lvl>
  </w:abstractNum>
  <w:abstractNum w:abstractNumId="116">
    <w:nsid w:val="64429599"/>
    <w:multiLevelType w:val="hybridMultilevel"/>
    <w:lvl w:ilvl="0">
      <w:lvlJc w:val="left"/>
      <w:lvlText w:val="(%1)"/>
      <w:numFmt w:val="decimal"/>
      <w:start w:val="12"/>
    </w:lvl>
    <w:lvl w:ilvl="1">
      <w:lvlJc w:val="left"/>
      <w:lvlText w:val="(%2)"/>
      <w:numFmt w:val="lowerLetter"/>
      <w:start w:val="4"/>
    </w:lvl>
  </w:abstractNum>
  <w:abstractNum w:abstractNumId="117">
    <w:nsid w:val="631F1690"/>
    <w:multiLevelType w:val="hybridMultilevel"/>
    <w:lvl w:ilvl="0">
      <w:lvlJc w:val="left"/>
      <w:lvlText w:val="(%1)"/>
      <w:numFmt w:val="lowerLetter"/>
      <w:start w:val="5"/>
    </w:lvl>
  </w:abstractNum>
  <w:abstractNum w:abstractNumId="118">
    <w:nsid w:val="25973E32"/>
    <w:multiLevelType w:val="hybridMultilevel"/>
    <w:lvl w:ilvl="0">
      <w:lvlJc w:val="left"/>
      <w:lvlText w:val="(%1)"/>
      <w:numFmt w:val="lowerLetter"/>
      <w:start w:val="1"/>
    </w:lvl>
  </w:abstractNum>
  <w:abstractNum w:abstractNumId="119">
    <w:nsid w:val="EAD6F57"/>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20">
    <w:nsid w:val="6EC9D84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21">
    <w:nsid w:val="5C49EAEE"/>
    <w:multiLevelType w:val="hybridMultilevel"/>
    <w:lvl w:ilvl="0">
      <w:lvlJc w:val="left"/>
      <w:lvlText w:val="(%1)"/>
      <w:numFmt w:val="lowerLetter"/>
      <w:start w:val="3"/>
    </w:lvl>
  </w:abstractNum>
  <w:abstractNum w:abstractNumId="122">
    <w:nsid w:val="64AF49B"/>
    <w:multiLevelType w:val="hybridMultilevel"/>
    <w:lvl w:ilvl="0">
      <w:lvlJc w:val="left"/>
      <w:lvlText w:val="(%1)"/>
      <w:numFmt w:val="lowerLetter"/>
      <w:start w:val="1"/>
    </w:lvl>
  </w:abstractNum>
  <w:abstractNum w:abstractNumId="123">
    <w:nsid w:val="397C46BC"/>
    <w:multiLevelType w:val="hybridMultilevel"/>
    <w:lvl w:ilvl="0">
      <w:lvlJc w:val="left"/>
      <w:lvlText w:val="(%1)"/>
      <w:numFmt w:val="lowerLetter"/>
      <w:start w:val="2"/>
    </w:lvl>
  </w:abstractNum>
  <w:abstractNum w:abstractNumId="124">
    <w:nsid w:val="7E448DE9"/>
    <w:multiLevelType w:val="hybridMultilevel"/>
    <w:lvl w:ilvl="0">
      <w:lvlJc w:val="left"/>
      <w:lvlText w:val="(%1)"/>
      <w:numFmt w:val="lowerLetter"/>
      <w:start w:val="7"/>
    </w:lvl>
  </w:abstractNum>
  <w:abstractNum w:abstractNumId="125">
    <w:nsid w:val="5A9CC3E5"/>
    <w:multiLevelType w:val="hybridMultilevel"/>
    <w:lvl w:ilvl="0">
      <w:lvlJc w:val="left"/>
      <w:lvlText w:val="%1"/>
      <w:numFmt w:val="decimal"/>
      <w:start w:val="1"/>
    </w:lvl>
    <w:lvl w:ilvl="1">
      <w:lvlJc w:val="left"/>
      <w:lvlText w:val="(%2)"/>
      <w:numFmt w:val="lowerLetter"/>
      <w:start w:val="14"/>
    </w:lvl>
  </w:abstractNum>
  <w:abstractNum w:abstractNumId="126">
    <w:nsid w:val="1AFE3625"/>
    <w:multiLevelType w:val="hybridMultilevel"/>
    <w:lvl w:ilvl="0">
      <w:lvlJc w:val="left"/>
      <w:lvlText w:val="(%1)"/>
      <w:numFmt w:val="decimal"/>
      <w:start w:val="12"/>
    </w:lvl>
    <w:lvl w:ilvl="1">
      <w:lvlJc w:val="left"/>
      <w:lvlText w:val="(%2)"/>
      <w:numFmt w:val="lowerLetter"/>
      <w:start w:val="15"/>
    </w:lvl>
  </w:abstractNum>
  <w:abstractNum w:abstractNumId="127">
    <w:nsid w:val="3CA88ECF"/>
    <w:multiLevelType w:val="hybridMultilevel"/>
    <w:lvl w:ilvl="0">
      <w:lvlJc w:val="left"/>
      <w:lvlText w:val="(%1)"/>
      <w:numFmt w:val="lowerLetter"/>
      <w:start w:val="1"/>
    </w:lvl>
  </w:abstractNum>
  <w:abstractNum w:abstractNumId="128">
    <w:nsid w:val="6EBE4208"/>
    <w:multiLevelType w:val="hybridMultilevel"/>
    <w:lvl w:ilvl="0">
      <w:lvlJc w:val="left"/>
      <w:lvlText w:val="(%1)"/>
      <w:numFmt w:val="lowerLetter"/>
      <w:start w:val="3"/>
    </w:lvl>
  </w:abstractNum>
  <w:abstractNum w:abstractNumId="129">
    <w:nsid w:val="C058DF5"/>
    <w:multiLevelType w:val="hybridMultilevel"/>
    <w:lvl w:ilvl="0">
      <w:lvlJc w:val="left"/>
      <w:lvlText w:val="(%1)"/>
      <w:numFmt w:val="lowerLetter"/>
      <w:start w:val="1"/>
    </w:lvl>
  </w:abstractNum>
  <w:abstractNum w:abstractNumId="130">
    <w:nsid w:val="CBE5BE9"/>
    <w:multiLevelType w:val="hybridMultilevel"/>
    <w:lvl w:ilvl="0">
      <w:lvlJc w:val="left"/>
      <w:lvlText w:val="(%1)"/>
      <w:numFmt w:val="lowerLetter"/>
      <w:start w:val="1"/>
    </w:lvl>
  </w:abstractNum>
  <w:abstractNum w:abstractNumId="131">
    <w:nsid w:val="3102BBE2"/>
    <w:multiLevelType w:val="hybridMultilevel"/>
    <w:lvl w:ilvl="0">
      <w:lvlJc w:val="left"/>
      <w:lvlText w:val="(%1)"/>
      <w:numFmt w:val="lowerLetter"/>
      <w:start w:val="3"/>
    </w:lvl>
  </w:abstractNum>
  <w:abstractNum w:abstractNumId="132">
    <w:nsid w:val="26A02C5E"/>
    <w:multiLevelType w:val="hybridMultilevel"/>
    <w:lvl w:ilvl="0">
      <w:lvlJc w:val="left"/>
      <w:lvlText w:val="%1"/>
      <w:numFmt w:val="upperLetter"/>
      <w:start w:val="61"/>
    </w:lvl>
  </w:abstractNum>
  <w:abstractNum w:abstractNumId="133">
    <w:nsid w:val="541C8153"/>
    <w:multiLevelType w:val="hybridMultilevel"/>
    <w:lvl w:ilvl="0">
      <w:lvlJc w:val="left"/>
      <w:lvlText w:val="(%1)"/>
      <w:numFmt w:val="lowerLetter"/>
      <w:start w:val="1"/>
    </w:lvl>
  </w:abstractNum>
  <w:abstractNum w:abstractNumId="134">
    <w:nsid w:val="67906F60"/>
    <w:multiLevelType w:val="hybridMultilevel"/>
    <w:lvl w:ilvl="0">
      <w:lvlJc w:val="left"/>
      <w:lvlText w:val="(%1)"/>
      <w:numFmt w:val="lowerLetter"/>
      <w:start w:val="3"/>
    </w:lvl>
  </w:abstractNum>
  <w:abstractNum w:abstractNumId="135">
    <w:nsid w:val="10DB9DAA"/>
    <w:multiLevelType w:val="hybridMultilevel"/>
    <w:lvl w:ilvl="0">
      <w:lvlJc w:val="left"/>
      <w:lvlText w:val="(%1)"/>
      <w:numFmt w:val="lowerLetter"/>
      <w:start w:val="1"/>
    </w:lvl>
  </w:abstractNum>
  <w:abstractNum w:abstractNumId="136">
    <w:nsid w:val="697D2D2"/>
    <w:multiLevelType w:val="hybridMultilevel"/>
    <w:lvl w:ilvl="0">
      <w:lvlJc w:val="left"/>
      <w:lvlText w:val="(%1)"/>
      <w:numFmt w:val="lowerLetter"/>
      <w:start w:val="1"/>
    </w:lvl>
  </w:abstractNum>
  <w:abstractNum w:abstractNumId="137">
    <w:nsid w:val="6D68AB2"/>
    <w:multiLevelType w:val="hybridMultilevel"/>
    <w:lvl w:ilvl="0">
      <w:lvlJc w:val="left"/>
      <w:lvlText w:val="(%1)"/>
      <w:numFmt w:val="lowerLetter"/>
      <w:start w:val="2"/>
    </w:lvl>
  </w:abstractNum>
  <w:abstractNum w:abstractNumId="138">
    <w:nsid w:val="3A966CD0"/>
    <w:multiLevelType w:val="hybridMultilevel"/>
    <w:lvl w:ilvl="0">
      <w:lvlJc w:val="left"/>
      <w:lvlText w:val="(%1)"/>
      <w:numFmt w:val="lowerLetter"/>
      <w:start w:val="3"/>
    </w:lvl>
  </w:abstractNum>
  <w:abstractNum w:abstractNumId="139">
    <w:nsid w:val="63F37E85"/>
    <w:multiLevelType w:val="hybridMultilevel"/>
    <w:lvl w:ilvl="0">
      <w:lvlJc w:val="left"/>
      <w:lvlText w:val="(%1)"/>
      <w:numFmt w:val="upperLetter"/>
      <w:start w:val="35"/>
    </w:lvl>
  </w:abstractNum>
  <w:abstractNum w:abstractNumId="140">
    <w:nsid w:val="5895F5FA"/>
    <w:multiLevelType w:val="hybridMultilevel"/>
    <w:lvl w:ilvl="0">
      <w:lvlJc w:val="left"/>
      <w:lvlText w:val="(%1)"/>
      <w:numFmt w:val="lowerLetter"/>
      <w:start w:val="1"/>
    </w:lvl>
  </w:abstractNum>
  <w:abstractNum w:abstractNumId="141">
    <w:nsid w:val="38A5D054"/>
    <w:multiLevelType w:val="hybridMultilevel"/>
    <w:lvl w:ilvl="0">
      <w:lvlJc w:val="left"/>
      <w:lvlText w:val="(%1)"/>
      <w:numFmt w:val="lowerLetter"/>
      <w:start w:val="4"/>
    </w:lvl>
  </w:abstractNum>
  <w:abstractNum w:abstractNumId="142">
    <w:nsid w:val="F3F09D8"/>
    <w:multiLevelType w:val="hybridMultilevel"/>
    <w:lvl w:ilvl="0">
      <w:lvlJc w:val="left"/>
      <w:lvlText w:val="(%1)"/>
      <w:numFmt w:val="lowerLetter"/>
      <w:start w:val="1"/>
    </w:lvl>
  </w:abstractNum>
  <w:abstractNum w:abstractNumId="143">
    <w:nsid w:val="4B793735"/>
    <w:multiLevelType w:val="hybridMultilevel"/>
    <w:lvl w:ilvl="0">
      <w:lvlJc w:val="left"/>
      <w:lvlText w:val="(%1)"/>
      <w:numFmt w:val="lowerLetter"/>
      <w:start w:val="2"/>
    </w:lvl>
  </w:abstractNum>
  <w:abstractNum w:abstractNumId="144">
    <w:nsid w:val="4A10B4E8"/>
    <w:multiLevelType w:val="hybridMultilevel"/>
    <w:lvl w:ilvl="0">
      <w:lvlJc w:val="left"/>
      <w:lvlText w:val="%1"/>
      <w:numFmt w:val="decimal"/>
      <w:start w:val="1"/>
    </w:lvl>
    <w:lvl w:ilvl="1">
      <w:lvlJc w:val="left"/>
      <w:lvlText w:val="(%2)"/>
      <w:numFmt w:val="lowerLetter"/>
      <w:start w:val="1"/>
    </w:lvl>
  </w:abstractNum>
  <w:abstractNum w:abstractNumId="145">
    <w:nsid w:val="43D3BCD4"/>
    <w:multiLevelType w:val="hybridMultilevel"/>
    <w:lvl w:ilvl="0">
      <w:lvlJc w:val="left"/>
      <w:lvlText w:val="(%1)"/>
      <w:numFmt w:val="decimal"/>
      <w:start w:val="1"/>
    </w:lvl>
    <w:lvl w:ilvl="1">
      <w:lvlJc w:val="left"/>
      <w:lvlText w:val="%2"/>
      <w:numFmt w:val="lowerLetter"/>
      <w:start w:val="1"/>
    </w:lvl>
  </w:abstractNum>
  <w:abstractNum w:abstractNumId="146">
    <w:nsid w:val="4C2A7166"/>
    <w:multiLevelType w:val="hybridMultilevel"/>
    <w:lvl w:ilvl="0">
      <w:lvlJc w:val="left"/>
      <w:lvlText w:val="(%1)"/>
      <w:numFmt w:val="lowerLetter"/>
      <w:start w:val="2"/>
    </w:lvl>
  </w:abstractNum>
  <w:abstractNum w:abstractNumId="147">
    <w:nsid w:val="2E534A82"/>
    <w:multiLevelType w:val="hybridMultilevel"/>
    <w:lvl w:ilvl="0">
      <w:lvlJc w:val="left"/>
      <w:lvlText w:val="(%1)"/>
      <w:numFmt w:val="lowerLetter"/>
      <w:start w:val="1"/>
    </w:lvl>
  </w:abstractNum>
  <w:abstractNum w:abstractNumId="148">
    <w:nsid w:val="26F2D364"/>
    <w:multiLevelType w:val="hybridMultilevel"/>
    <w:lvl w:ilvl="0">
      <w:lvlJc w:val="left"/>
      <w:lvlText w:val="(%1)"/>
      <w:numFmt w:val="lowerLetter"/>
      <w:start w:val="1"/>
    </w:lvl>
  </w:abstractNum>
  <w:abstractNum w:abstractNumId="149">
    <w:nsid w:val="71C1AF98"/>
    <w:multiLevelType w:val="hybridMultilevel"/>
    <w:lvl w:ilvl="0">
      <w:lvlJc w:val="left"/>
      <w:lvlText w:val="(%1)"/>
      <w:numFmt w:val="lowerLetter"/>
      <w:start w:val="1"/>
    </w:lvl>
    <w:lvl w:ilvl="1">
      <w:lvlJc w:val="left"/>
      <w:lvlText w:val="(%2)"/>
      <w:numFmt w:val="lowerLetter"/>
      <w:start w:val="9"/>
    </w:lvl>
  </w:abstractNum>
  <w:abstractNum w:abstractNumId="150">
    <w:nsid w:val="3D00B9D9"/>
    <w:multiLevelType w:val="hybridMultilevel"/>
    <w:lvl w:ilvl="0">
      <w:lvlJc w:val="left"/>
      <w:lvlText w:val="%1"/>
      <w:numFmt w:val="lowerLetter"/>
      <w:start w:val="1"/>
    </w:lvl>
    <w:lvl w:ilvl="1">
      <w:lvlJc w:val="left"/>
      <w:lvlText w:val="(%2)"/>
      <w:numFmt w:val="lowerLetter"/>
      <w:start w:val="35"/>
    </w:lvl>
  </w:abstractNum>
  <w:abstractNum w:abstractNumId="151">
    <w:nsid w:val="15BCABA8"/>
    <w:multiLevelType w:val="hybridMultilevel"/>
    <w:lvl w:ilvl="0">
      <w:lvlJc w:val="left"/>
      <w:lvlText w:val="(%1)"/>
      <w:numFmt w:val="lowerLetter"/>
      <w:start w:val="2"/>
    </w:lvl>
    <w:lvl w:ilvl="1">
      <w:lvlJc w:val="left"/>
      <w:lvlText w:val="%2"/>
      <w:numFmt w:val="lowerLetter"/>
      <w:start w:val="1"/>
    </w:lvl>
  </w:abstractNum>
  <w:abstractNum w:abstractNumId="152">
    <w:nsid w:val="4E0B9A87"/>
    <w:multiLevelType w:val="hybridMultilevel"/>
    <w:lvl w:ilvl="0">
      <w:lvlJc w:val="left"/>
      <w:lvlText w:val="(%1)"/>
      <w:numFmt w:val="lowerLetter"/>
      <w:start w:val="1"/>
    </w:lvl>
    <w:lvl w:ilvl="1">
      <w:lvlJc w:val="left"/>
      <w:lvlText w:val="(%2)"/>
      <w:numFmt w:val="lowerRoman"/>
      <w:start w:val="1"/>
    </w:lvl>
  </w:abstractNum>
  <w:abstractNum w:abstractNumId="153">
    <w:nsid w:val="434BAE75"/>
    <w:multiLevelType w:val="hybridMultilevel"/>
    <w:lvl w:ilvl="0">
      <w:lvlJc w:val="left"/>
      <w:lvlText w:val="(%1)"/>
      <w:numFmt w:val="lowerLetter"/>
      <w:start w:val="1"/>
    </w:lvl>
  </w:abstractNum>
  <w:abstractNum w:abstractNumId="154">
    <w:nsid w:val="4F38F265"/>
    <w:multiLevelType w:val="hybridMultilevel"/>
    <w:lvl w:ilvl="0">
      <w:lvlJc w:val="left"/>
      <w:lvlText w:val="(%1)"/>
      <w:numFmt w:val="lowerLetter"/>
      <w:start w:val="1"/>
    </w:lvl>
    <w:lvl w:ilvl="1">
      <w:lvlJc w:val="left"/>
      <w:lvlText w:val="(%2)"/>
      <w:numFmt w:val="lowerLetter"/>
      <w:start w:val="9"/>
    </w:lvl>
  </w:abstractNum>
  <w:abstractNum w:abstractNumId="155">
    <w:nsid w:val="4C502870"/>
    <w:multiLevelType w:val="hybridMultilevel"/>
    <w:lvl w:ilvl="0">
      <w:lvlJc w:val="left"/>
      <w:lvlText w:val="(%1)"/>
      <w:numFmt w:val="lowerRoman"/>
      <w:start w:val="2"/>
    </w:lvl>
  </w:abstractNum>
  <w:abstractNum w:abstractNumId="156">
    <w:nsid w:val="1DE8725A"/>
    <w:multiLevelType w:val="hybridMultilevel"/>
    <w:lvl w:ilvl="0">
      <w:lvlJc w:val="left"/>
      <w:lvlText w:val="(%1)"/>
      <w:numFmt w:val="lowerLetter"/>
      <w:start w:val="3"/>
    </w:lvl>
  </w:abstractNum>
  <w:abstractNum w:abstractNumId="157">
    <w:nsid w:val="6A37288A"/>
    <w:multiLevelType w:val="hybridMultilevel"/>
    <w:lvl w:ilvl="0">
      <w:lvlJc w:val="left"/>
      <w:lvlText w:val="(%1)"/>
      <w:numFmt w:val="lowerLetter"/>
      <w:start w:val="1"/>
    </w:lvl>
  </w:abstractNum>
  <w:abstractNum w:abstractNumId="158">
    <w:nsid w:val="8F8B73F"/>
    <w:multiLevelType w:val="hybridMultilevel"/>
    <w:lvl w:ilvl="0">
      <w:lvlJc w:val="left"/>
      <w:lvlText w:val="(%1)"/>
      <w:numFmt w:val="lowerLetter"/>
      <w:start w:val="3"/>
    </w:lvl>
  </w:abstractNum>
  <w:abstractNum w:abstractNumId="159">
    <w:nsid w:val="CA6B462"/>
    <w:multiLevelType w:val="hybridMultilevel"/>
    <w:lvl w:ilvl="0">
      <w:lvlJc w:val="left"/>
      <w:lvlText w:val="(%1)"/>
      <w:numFmt w:val="lowerRoman"/>
      <w:start w:val="1"/>
    </w:lvl>
  </w:abstractNum>
  <w:abstractNum w:abstractNumId="160">
    <w:nsid w:val="763CB680"/>
    <w:multiLevelType w:val="hybridMultilevel"/>
    <w:lvl w:ilvl="0">
      <w:lvlJc w:val="left"/>
      <w:lvlText w:val="(%1)"/>
      <w:numFmt w:val="lowerLetter"/>
      <w:start w:val="1"/>
    </w:lvl>
  </w:abstractNum>
  <w:abstractNum w:abstractNumId="161">
    <w:nsid w:val="15B71329"/>
    <w:multiLevelType w:val="hybridMultilevel"/>
    <w:lvl w:ilvl="0">
      <w:lvlJc w:val="left"/>
      <w:lvlText w:val="(%1)"/>
      <w:numFmt w:val="lowerLetter"/>
      <w:start w:val="2"/>
    </w:lvl>
  </w:abstractNum>
  <w:abstractNum w:abstractNumId="162">
    <w:nsid w:val="3DA97044"/>
    <w:multiLevelType w:val="hybridMultilevel"/>
    <w:lvl w:ilvl="0">
      <w:lvlJc w:val="left"/>
      <w:lvlText w:val="(%1)"/>
      <w:numFmt w:val="lowerLetter"/>
      <w:start w:val="4"/>
    </w:lvl>
  </w:abstractNum>
  <w:abstractNum w:abstractNumId="163">
    <w:nsid w:val="1CDCE2DE"/>
    <w:multiLevelType w:val="hybridMultilevel"/>
    <w:lvl w:ilvl="0">
      <w:lvlJc w:val="left"/>
      <w:lvlText w:val="(%1)"/>
      <w:numFmt w:val="lowerLetter"/>
      <w:start w:val="1"/>
    </w:lvl>
    <w:lvl w:ilvl="1">
      <w:lvlJc w:val="left"/>
      <w:lvlText w:val="(%2)"/>
      <w:numFmt w:val="lowerRoman"/>
      <w:start w:val="1"/>
    </w:lvl>
  </w:abstractNum>
  <w:abstractNum w:abstractNumId="164">
    <w:nsid w:val="69D3947C"/>
    <w:multiLevelType w:val="hybridMultilevel"/>
    <w:lvl w:ilvl="0">
      <w:lvlJc w:val="left"/>
      <w:lvlText w:val="(%1)"/>
      <w:numFmt w:val="lowerLetter"/>
      <w:start w:val="3"/>
    </w:lvl>
    <w:lvl w:ilvl="1">
      <w:lvlJc w:val="left"/>
      <w:lvlText w:val="(%2)"/>
      <w:numFmt w:val="lowerRoman"/>
      <w:start w:val="1"/>
    </w:lvl>
  </w:abstractNum>
  <w:abstractNum w:abstractNumId="165">
    <w:nsid w:val="2539DFA5"/>
    <w:multiLevelType w:val="hybridMultilevel"/>
    <w:lvl w:ilvl="0">
      <w:lvlJc w:val="left"/>
      <w:lvlText w:val="(%1)"/>
      <w:numFmt w:val="lowerRoman"/>
      <w:start w:val="3"/>
    </w:lvl>
  </w:abstractNum>
  <w:abstractNum w:abstractNumId="166">
    <w:nsid w:val="2DB88089"/>
    <w:multiLevelType w:val="hybridMultilevel"/>
    <w:lvl w:ilvl="0">
      <w:lvlJc w:val="left"/>
      <w:lvlText w:val="(%1)"/>
      <w:numFmt w:val="lowerLetter"/>
      <w:start w:val="1"/>
    </w:lvl>
    <w:lvl w:ilvl="1">
      <w:lvlJc w:val="left"/>
      <w:lvlText w:val="(%2)"/>
      <w:numFmt w:val="lowerRoman"/>
      <w:start w:val="1"/>
    </w:lvl>
  </w:abstractNum>
  <w:abstractNum w:abstractNumId="167">
    <w:nsid w:val="706B674E"/>
    <w:multiLevelType w:val="hybridMultilevel"/>
    <w:lvl w:ilvl="0">
      <w:lvlJc w:val="left"/>
      <w:lvlText w:val="%1"/>
      <w:numFmt w:val="lowerLetter"/>
      <w:start w:val="1"/>
    </w:lvl>
    <w:lvl w:ilvl="1">
      <w:lvlJc w:val="left"/>
      <w:lvlText w:val="(%2)"/>
      <w:numFmt w:val="lowerRoman"/>
      <w:start w:val="3"/>
    </w:lvl>
  </w:abstractNum>
  <w:abstractNum w:abstractNumId="168">
    <w:nsid w:val="2C106A57"/>
    <w:multiLevelType w:val="hybridMultilevel"/>
    <w:lvl w:ilvl="0">
      <w:lvlJc w:val="left"/>
      <w:lvlText w:val="(%1)"/>
      <w:numFmt w:val="lowerLetter"/>
      <w:start w:val="2"/>
    </w:lvl>
    <w:lvl w:ilvl="1">
      <w:lvlJc w:val="left"/>
      <w:lvlText w:val="%2"/>
      <w:numFmt w:val="lowerRoman"/>
      <w:start w:val="1"/>
    </w:lvl>
  </w:abstractNum>
  <w:abstractNum w:abstractNumId="169">
    <w:nsid w:val="684EED59"/>
    <w:multiLevelType w:val="hybridMultilevel"/>
    <w:lvl w:ilvl="0">
      <w:lvlJc w:val="left"/>
      <w:lvlText w:val="(%1)"/>
      <w:numFmt w:val="lowerLetter"/>
      <w:start w:val="1"/>
    </w:lvl>
    <w:lvl w:ilvl="1">
      <w:lvlJc w:val="left"/>
      <w:lvlText w:val="(%2)"/>
      <w:numFmt w:val="lowerRoman"/>
      <w:start w:val="1"/>
    </w:lvl>
  </w:abstractNum>
  <w:abstractNum w:abstractNumId="170">
    <w:nsid w:val="545EE5D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71">
    <w:nsid w:val="4A66051"/>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172">
    <w:nsid w:val="20F4BDAD"/>
    <w:multiLevelType w:val="hybridMultilevel"/>
    <w:lvl w:ilvl="0">
      <w:lvlJc w:val="left"/>
      <w:lvlText w:val="%1"/>
      <w:numFmt w:val="upperLetter"/>
      <w:start w:val="1"/>
    </w:lvl>
    <w:lvl w:ilvl="1">
      <w:lvlJc w:val="left"/>
      <w:lvlText w:val="(%2)"/>
      <w:numFmt w:val="lowerLetter"/>
      <w:start w:val="6"/>
    </w:lvl>
  </w:abstractNum>
  <w:abstractNum w:abstractNumId="173">
    <w:nsid w:val="639DEFAC"/>
    <w:multiLevelType w:val="hybridMultilevel"/>
    <w:lvl w:ilvl="0">
      <w:lvlJc w:val="left"/>
      <w:lvlText w:val="(%1)"/>
      <w:numFmt w:val="upperLetter"/>
      <w:start w:val="1"/>
    </w:lvl>
    <w:lvl w:ilvl="1">
      <w:lvlJc w:val="left"/>
      <w:lvlText w:val="(%2)"/>
      <w:numFmt w:val="lowerLetter"/>
      <w:start w:val="7"/>
    </w:lvl>
  </w:abstractNum>
  <w:abstractNum w:abstractNumId="174">
    <w:nsid w:val="501F9786"/>
    <w:multiLevelType w:val="hybridMultilevel"/>
    <w:lvl w:ilvl="0">
      <w:lvlJc w:val="left"/>
      <w:lvlText w:val="(%1)"/>
      <w:numFmt w:val="lowerLetter"/>
      <w:start w:val="1"/>
    </w:lvl>
  </w:abstractNum>
  <w:abstractNum w:abstractNumId="175">
    <w:nsid w:val="6B057295"/>
    <w:multiLevelType w:val="hybridMultilevel"/>
    <w:lvl w:ilvl="0">
      <w:lvlJc w:val="left"/>
      <w:lvlText w:val="(%1)"/>
      <w:numFmt w:val="lowerLetter"/>
      <w:start w:val="2"/>
    </w:lvl>
  </w:abstractNum>
  <w:abstractNum w:abstractNumId="176">
    <w:nsid w:val="2771AC80"/>
    <w:multiLevelType w:val="hybridMultilevel"/>
    <w:lvl w:ilvl="0">
      <w:lvlJc w:val="left"/>
      <w:lvlText w:val="(%1)"/>
      <w:numFmt w:val="lowerLetter"/>
      <w:start w:val="1"/>
    </w:lvl>
    <w:lvl w:ilvl="1">
      <w:lvlJc w:val="left"/>
      <w:lvlText w:val="(%2)"/>
      <w:numFmt w:val="lowerRoman"/>
      <w:start w:val="1"/>
    </w:lvl>
  </w:abstractNum>
  <w:abstractNum w:abstractNumId="177">
    <w:nsid w:val="1C4A08EC"/>
    <w:multiLevelType w:val="hybridMultilevel"/>
    <w:lvl w:ilvl="0">
      <w:lvlJc w:val="left"/>
      <w:lvlText w:val="(%1)"/>
      <w:numFmt w:val="lowerLetter"/>
      <w:start w:val="3"/>
    </w:lvl>
  </w:abstractNum>
  <w:abstractNum w:abstractNumId="178">
    <w:nsid w:val="1958BD17"/>
    <w:multiLevelType w:val="hybridMultilevel"/>
    <w:lvl w:ilvl="0">
      <w:lvlJc w:val="left"/>
      <w:lvlText w:val="(%1)"/>
      <w:numFmt w:val="lowerLetter"/>
      <w:start w:val="1"/>
    </w:lvl>
  </w:abstractNum>
  <w:abstractNum w:abstractNumId="179">
    <w:nsid w:val="4E647FE4"/>
    <w:multiLevelType w:val="hybridMultilevel"/>
    <w:lvl w:ilvl="0">
      <w:lvlJc w:val="left"/>
      <w:lvlText w:val="(%1)"/>
      <w:numFmt w:val="lowerLetter"/>
      <w:start w:val="2"/>
    </w:lvl>
  </w:abstractNum>
  <w:abstractNum w:abstractNumId="180">
    <w:nsid w:val="E0BB885"/>
    <w:multiLevelType w:val="hybridMultilevel"/>
    <w:lvl w:ilvl="0">
      <w:lvlJc w:val="left"/>
      <w:lvlText w:val="(%1)"/>
      <w:numFmt w:val="lowerLetter"/>
      <w:start w:val="1"/>
    </w:lvl>
  </w:abstractNum>
  <w:abstractNum w:abstractNumId="181">
    <w:nsid w:val="565976F1"/>
    <w:multiLevelType w:val="hybridMultilevel"/>
    <w:lvl w:ilvl="0">
      <w:lvlJc w:val="left"/>
      <w:lvlText w:val="(%1)"/>
      <w:numFmt w:val="lowerLetter"/>
      <w:start w:val="1"/>
    </w:lvl>
  </w:abstractNum>
  <w:abstractNum w:abstractNumId="182">
    <w:nsid w:val="64212B8C"/>
    <w:multiLevelType w:val="hybridMultilevel"/>
    <w:lvl w:ilvl="0">
      <w:lvlJc w:val="left"/>
      <w:lvlText w:val="(%1)"/>
      <w:numFmt w:val="lowerLetter"/>
      <w:start w:val="1"/>
    </w:lvl>
  </w:abstractNum>
  <w:abstractNum w:abstractNumId="183">
    <w:nsid w:val="5C17530C"/>
    <w:multiLevelType w:val="hybridMultilevel"/>
    <w:lvl w:ilvl="0">
      <w:lvlJc w:val="left"/>
      <w:lvlText w:val="%1"/>
      <w:numFmt w:val="lowerLetter"/>
      <w:start w:val="1"/>
    </w:lvl>
    <w:lvl w:ilvl="1">
      <w:lvlJc w:val="left"/>
      <w:lvlText w:val="(%2)"/>
      <w:numFmt w:val="lowerLetter"/>
      <w:start w:val="1"/>
    </w:lvl>
  </w:abstractNum>
  <w:abstractNum w:abstractNumId="184">
    <w:nsid w:val="19A52566"/>
    <w:multiLevelType w:val="hybridMultilevel"/>
    <w:lvl w:ilvl="0">
      <w:lvlJc w:val="left"/>
      <w:lvlText w:val="(%1)"/>
      <w:numFmt w:val="lowerLetter"/>
      <w:start w:val="35"/>
    </w:lvl>
    <w:lvl w:ilvl="1">
      <w:lvlJc w:val="left"/>
      <w:lvlText w:val="%2"/>
      <w:numFmt w:val="lowerLetter"/>
      <w:start w:val="1"/>
    </w:lvl>
  </w:abstractNum>
  <w:abstractNum w:abstractNumId="185">
    <w:nsid w:val="335A1DF1"/>
    <w:multiLevelType w:val="hybridMultilevel"/>
    <w:lvl w:ilvl="0">
      <w:lvlJc w:val="left"/>
      <w:lvlText w:val="%1"/>
      <w:numFmt w:val="lowerLetter"/>
      <w:start w:val="1"/>
    </w:lvl>
    <w:lvl w:ilvl="1">
      <w:lvlJc w:val="left"/>
      <w:lvlText w:val="(%2)"/>
      <w:numFmt w:val="lowerLetter"/>
      <w:start w:val="1"/>
    </w:lvl>
  </w:abstractNum>
  <w:abstractNum w:abstractNumId="186">
    <w:nsid w:val="28677B7C"/>
    <w:multiLevelType w:val="hybridMultilevel"/>
    <w:lvl w:ilvl="0">
      <w:lvlJc w:val="left"/>
      <w:lvlText w:val="(%1)"/>
      <w:numFmt w:val="lowerLetter"/>
      <w:start w:val="9"/>
    </w:lvl>
    <w:lvl w:ilvl="1">
      <w:lvlJc w:val="left"/>
      <w:lvlText w:val="(%2)"/>
      <w:numFmt w:val="lowerLetter"/>
      <w:start w:val="2"/>
    </w:lvl>
  </w:abstractNum>
  <w:abstractNum w:abstractNumId="187">
    <w:nsid w:val="378D97C0"/>
    <w:multiLevelType w:val="hybridMultilevel"/>
    <w:lvl w:ilvl="0">
      <w:lvlJc w:val="left"/>
      <w:lvlText w:val="(%1)"/>
      <w:numFmt w:val="lowerLetter"/>
      <w:start w:val="4"/>
    </w:lvl>
    <w:lvl w:ilvl="1">
      <w:lvlJc w:val="left"/>
      <w:lvlText w:val="(%2)"/>
      <w:numFmt w:val="lowerRoman"/>
      <w:start w:val="1"/>
    </w:lvl>
  </w:abstractNum>
  <w:abstractNum w:abstractNumId="188">
    <w:nsid w:val="1D91467C"/>
    <w:multiLevelType w:val="hybridMultilevel"/>
    <w:lvl w:ilvl="0">
      <w:lvlJc w:val="left"/>
      <w:lvlText w:val="(%1)"/>
      <w:numFmt w:val="lowerLetter"/>
      <w:start w:val="1"/>
    </w:lvl>
  </w:abstractNum>
  <w:abstractNum w:abstractNumId="189">
    <w:nsid w:val="316032BB"/>
    <w:multiLevelType w:val="hybridMultilevel"/>
    <w:lvl w:ilvl="0">
      <w:lvlJc w:val="left"/>
      <w:lvlText w:val="(%1)"/>
      <w:numFmt w:val="lowerLetter"/>
      <w:start w:val="5"/>
    </w:lvl>
  </w:abstractNum>
  <w:abstractNum w:abstractNumId="190">
    <w:nsid w:val="44344C22"/>
    <w:multiLevelType w:val="hybridMultilevel"/>
    <w:lvl w:ilvl="0">
      <w:lvlJc w:val="left"/>
      <w:lvlText w:val="(%1)"/>
      <w:numFmt w:val="lowerLetter"/>
      <w:start w:val="1"/>
    </w:lvl>
  </w:abstractNum>
  <w:abstractNum w:abstractNumId="191">
    <w:nsid w:val="13CDFCFC"/>
    <w:multiLevelType w:val="hybridMultilevel"/>
    <w:lvl w:ilvl="0">
      <w:lvlJc w:val="left"/>
      <w:lvlText w:val="%1"/>
      <w:numFmt w:val="lowerLetter"/>
      <w:start w:val="1"/>
    </w:lvl>
    <w:lvl w:ilvl="1">
      <w:lvlJc w:val="left"/>
      <w:lvlText w:val="(%2)"/>
      <w:numFmt w:val="lowerLetter"/>
      <w:start w:val="3"/>
    </w:lvl>
  </w:abstractNum>
  <w:abstractNum w:abstractNumId="192">
    <w:nsid w:val="471745E4"/>
    <w:multiLevelType w:val="hybridMultilevel"/>
    <w:lvl w:ilvl="0">
      <w:lvlJc w:val="left"/>
      <w:lvlText w:val="(%1)"/>
      <w:numFmt w:val="lowerLetter"/>
      <w:start w:val="9"/>
    </w:lvl>
    <w:lvl w:ilvl="1">
      <w:lvlJc w:val="left"/>
      <w:lvlText w:val="%2"/>
      <w:numFmt w:val="lowerLetter"/>
      <w:start w:val="1"/>
    </w:lvl>
  </w:abstractNum>
  <w:abstractNum w:abstractNumId="193">
    <w:nsid w:val="1DDBC66"/>
    <w:multiLevelType w:val="hybridMultilevel"/>
    <w:lvl w:ilvl="0">
      <w:lvlJc w:val="left"/>
      <w:lvlText w:val="(%1)"/>
      <w:numFmt w:val="lowerLetter"/>
      <w:start w:val="1"/>
    </w:lvl>
  </w:abstractNum>
  <w:abstractNum w:abstractNumId="194">
    <w:nsid w:val="30AADFDA"/>
    <w:multiLevelType w:val="hybridMultilevel"/>
    <w:lvl w:ilvl="0">
      <w:lvlJc w:val="left"/>
      <w:lvlText w:val="(%1)"/>
      <w:numFmt w:val="lowerLetter"/>
      <w:start w:val="1"/>
    </w:lvl>
  </w:abstractNum>
  <w:abstractNum w:abstractNumId="195">
    <w:nsid w:val="30EADA61"/>
    <w:multiLevelType w:val="hybridMultilevel"/>
    <w:lvl w:ilvl="0">
      <w:lvlJc w:val="left"/>
      <w:lvlText w:val="(%1)"/>
      <w:numFmt w:val="lowerLetter"/>
      <w:start w:val="1"/>
    </w:lvl>
  </w:abstractNum>
  <w:abstractNum w:abstractNumId="196">
    <w:nsid w:val="27179C0B"/>
    <w:multiLevelType w:val="hybridMultilevel"/>
    <w:lvl w:ilvl="0">
      <w:lvlJc w:val="left"/>
      <w:lvlText w:val="(%1)"/>
      <w:numFmt w:val="lowerLetter"/>
      <w:start w:val="1"/>
    </w:lvl>
  </w:abstractNum>
  <w:abstractNum w:abstractNumId="197">
    <w:nsid w:val="5E636063"/>
    <w:multiLevelType w:val="hybridMultilevel"/>
    <w:lvl w:ilvl="0">
      <w:lvlJc w:val="left"/>
      <w:lvlText w:val="(%1)"/>
      <w:numFmt w:val="lowerLetter"/>
      <w:start w:val="2"/>
    </w:lvl>
  </w:abstractNum>
  <w:abstractNum w:abstractNumId="198">
    <w:nsid w:val="215641AF"/>
    <w:multiLevelType w:val="hybridMultilevel"/>
    <w:lvl w:ilvl="0">
      <w:lvlJc w:val="left"/>
      <w:lvlText w:val="(%1)"/>
      <w:numFmt w:val="lowerLetter"/>
      <w:start w:val="1"/>
    </w:lvl>
  </w:abstractNum>
  <w:abstractNum w:abstractNumId="199">
    <w:nsid w:val="53280662"/>
    <w:multiLevelType w:val="hybridMultilevel"/>
    <w:lvl w:ilvl="0">
      <w:lvlJc w:val="left"/>
      <w:lvlText w:val="%1"/>
      <w:numFmt w:val="upperLetter"/>
      <w:start w:val="1"/>
    </w:lvl>
    <w:lvl w:ilvl="1">
      <w:lvlJc w:val="left"/>
      <w:lvlText w:val="(%2)"/>
      <w:numFmt w:val="lowerLetter"/>
      <w:start w:val="1"/>
    </w:lvl>
  </w:abstractNum>
  <w:abstractNum w:abstractNumId="200">
    <w:nsid w:val="46B24DBC"/>
    <w:multiLevelType w:val="hybridMultilevel"/>
    <w:lvl w:ilvl="0">
      <w:lvlJc w:val="left"/>
      <w:lvlText w:val="(%1)"/>
      <w:numFmt w:val="upperLetter"/>
      <w:start w:val="2"/>
    </w:lvl>
    <w:lvl w:ilvl="1">
      <w:lvlJc w:val="left"/>
      <w:lvlText w:val="%2"/>
      <w:numFmt w:val="lowerLetter"/>
      <w:start w:val="1"/>
    </w:lvl>
  </w:abstractNum>
  <w:abstractNum w:abstractNumId="201">
    <w:nsid w:val="75B52783"/>
    <w:multiLevelType w:val="hybridMultilevel"/>
    <w:lvl w:ilvl="0">
      <w:lvlJc w:val="left"/>
      <w:lvlText w:val="(%1)"/>
      <w:numFmt w:val="lowerLetter"/>
      <w:start w:val="2"/>
    </w:lvl>
  </w:abstractNum>
  <w:abstractNum w:abstractNumId="202">
    <w:nsid w:val="57CE66B4"/>
    <w:multiLevelType w:val="hybridMultilevel"/>
    <w:lvl w:ilvl="0">
      <w:lvlJc w:val="left"/>
      <w:lvlText w:val="(%1)"/>
      <w:numFmt w:val="lowerRoman"/>
      <w:start w:val="1"/>
    </w:lvl>
  </w:abstractNum>
  <w:abstractNum w:abstractNumId="203">
    <w:nsid w:val="67A70B69"/>
    <w:multiLevelType w:val="hybridMultilevel"/>
    <w:lvl w:ilvl="0">
      <w:lvlJc w:val="left"/>
      <w:lvlText w:val="(%1)"/>
      <w:numFmt w:val="lowerRoman"/>
      <w:start w:val="3"/>
    </w:lvl>
    <w:lvl w:ilvl="1">
      <w:lvlJc w:val="left"/>
      <w:lvlText w:val="(%2)"/>
      <w:numFmt w:val="decimal"/>
      <w:start w:val="1"/>
    </w:lvl>
  </w:abstractNum>
  <w:abstractNum w:abstractNumId="204">
    <w:nsid w:val="5953172F"/>
    <w:multiLevelType w:val="hybridMultilevel"/>
    <w:lvl w:ilvl="0">
      <w:lvlJc w:val="left"/>
      <w:lvlText w:val="(%1)"/>
      <w:numFmt w:val="lowerLetter"/>
      <w:start w:val="1"/>
    </w:lvl>
    <w:lvl w:ilvl="1">
      <w:lvlJc w:val="left"/>
      <w:lvlText w:val="(%2)"/>
      <w:numFmt w:val="lowerLetter"/>
      <w:start w:val="4"/>
    </w:lvl>
  </w:abstractNum>
  <w:abstractNum w:abstractNumId="205">
    <w:nsid w:val="27EDFE3A"/>
    <w:multiLevelType w:val="hybridMultilevel"/>
    <w:lvl w:ilvl="0">
      <w:lvlJc w:val="left"/>
      <w:lvlText w:val="(%1)"/>
      <w:numFmt w:val="lowerLetter"/>
      <w:start w:val="5"/>
    </w:lvl>
  </w:abstractNum>
  <w:abstractNum w:abstractNumId="206">
    <w:nsid w:val="52AC7DFF"/>
    <w:multiLevelType w:val="hybridMultilevel"/>
    <w:lvl w:ilvl="0">
      <w:lvlJc w:val="left"/>
      <w:lvlText w:val="(%1)"/>
      <w:numFmt w:val="lowerLetter"/>
      <w:start w:val="6"/>
    </w:lvl>
  </w:abstractNum>
  <w:abstractNum w:abstractNumId="207">
    <w:nsid w:val="C4C3AF"/>
    <w:multiLevelType w:val="hybridMultilevel"/>
    <w:lvl w:ilvl="0">
      <w:lvlJc w:val="left"/>
      <w:lvlText w:val="(%1)"/>
      <w:numFmt w:val="lowerLetter"/>
      <w:start w:val="1"/>
    </w:lvl>
  </w:abstractNum>
  <w:abstractNum w:abstractNumId="208">
    <w:nsid w:val="44380727"/>
    <w:multiLevelType w:val="hybridMultilevel"/>
    <w:lvl w:ilvl="0">
      <w:lvlJc w:val="left"/>
      <w:lvlText w:val="%1"/>
      <w:numFmt w:val="lowerLetter"/>
      <w:start w:val="1"/>
    </w:lvl>
    <w:lvl w:ilvl="1">
      <w:lvlJc w:val="left"/>
      <w:lvlText w:val="(%2)"/>
      <w:numFmt w:val="lowerLetter"/>
      <w:start w:val="4"/>
    </w:lvl>
  </w:abstractNum>
  <w:abstractNum w:abstractNumId="209">
    <w:nsid w:val="6C053B16"/>
    <w:multiLevelType w:val="hybridMultilevel"/>
    <w:lvl w:ilvl="0">
      <w:lvlJc w:val="left"/>
      <w:lvlText w:val="(%1)"/>
      <w:numFmt w:val="lowerLetter"/>
      <w:start w:val="6"/>
    </w:lvl>
    <w:lvl w:ilvl="1">
      <w:lvlJc w:val="left"/>
      <w:lvlText w:val="(%2)"/>
      <w:numFmt w:val="lowerLetter"/>
      <w:start w:val="6"/>
    </w:lvl>
  </w:abstractNum>
  <w:abstractNum w:abstractNumId="210">
    <w:nsid w:val="4F294393"/>
    <w:multiLevelType w:val="hybridMultilevel"/>
    <w:lvl w:ilvl="0">
      <w:lvlJc w:val="left"/>
      <w:lvlText w:val="(%1)"/>
      <w:numFmt w:val="lowerRoman"/>
      <w:start w:val="2"/>
    </w:lvl>
  </w:abstractNum>
  <w:abstractNum w:abstractNumId="211">
    <w:nsid w:val="5243BFAC"/>
    <w:multiLevelType w:val="hybridMultilevel"/>
    <w:lvl w:ilvl="0">
      <w:lvlJc w:val="left"/>
      <w:lvlText w:val="(%1)"/>
      <w:numFmt w:val="lowerRoman"/>
      <w:start w:val="6"/>
    </w:lvl>
  </w:abstractNum>
  <w:abstractNum w:abstractNumId="212">
    <w:nsid w:val="425EB207"/>
    <w:multiLevelType w:val="hybridMultilevel"/>
    <w:lvl w:ilvl="0">
      <w:lvlJc w:val="left"/>
      <w:lvlText w:val="(%1)"/>
      <w:numFmt w:val="lowerLetter"/>
      <w:start w:val="3"/>
    </w:lvl>
  </w:abstractNum>
  <w:abstractNum w:abstractNumId="213">
    <w:nsid w:val="334A6F1F"/>
    <w:multiLevelType w:val="hybridMultilevel"/>
    <w:lvl w:ilvl="0">
      <w:lvlJc w:val="left"/>
      <w:lvlText w:val="(%1)"/>
      <w:numFmt w:val="lowerLetter"/>
      <w:start w:val="1"/>
    </w:lvl>
    <w:lvl w:ilvl="1">
      <w:lvlJc w:val="left"/>
      <w:lvlText w:val="(%2)"/>
      <w:numFmt w:val="lowerRoman"/>
      <w:start w:val="1"/>
    </w:lvl>
  </w:abstractNum>
  <w:abstractNum w:abstractNumId="214">
    <w:nsid w:val="2E5B12B8"/>
    <w:multiLevelType w:val="hybridMultilevel"/>
    <w:lvl w:ilvl="0">
      <w:lvlJc w:val="left"/>
      <w:lvlText w:val="(%1)"/>
      <w:numFmt w:val="lowerRoman"/>
      <w:start w:val="3"/>
    </w:lvl>
  </w:abstractNum>
  <w:abstractNum w:abstractNumId="215">
    <w:nsid w:val="5C03D76D"/>
    <w:multiLevelType w:val="hybridMultilevel"/>
    <w:lvl w:ilvl="0">
      <w:lvlJc w:val="left"/>
      <w:lvlText w:val="(%1)"/>
      <w:numFmt w:val="upperLetter"/>
      <w:start w:val="2"/>
    </w:lvl>
    <w:lvl w:ilvl="1">
      <w:lvlJc w:val="left"/>
      <w:lvlText w:val="(%2)"/>
      <w:numFmt w:val="lowerLetter"/>
      <w:start w:val="3"/>
    </w:lvl>
  </w:abstractNum>
  <w:abstractNum w:abstractNumId="216">
    <w:nsid w:val="66A48D11"/>
    <w:multiLevelType w:val="hybridMultilevel"/>
    <w:lvl w:ilvl="0">
      <w:lvlJc w:val="left"/>
      <w:lvlText w:val="(%1)"/>
      <w:numFmt w:val="lowerLetter"/>
      <w:start w:val="5"/>
    </w:lvl>
  </w:abstractNum>
  <w:abstractNum w:abstractNumId="217">
    <w:nsid w:val="56C28E34"/>
    <w:multiLevelType w:val="hybridMultilevel"/>
    <w:lvl w:ilvl="0">
      <w:lvlJc w:val="left"/>
      <w:lvlText w:val="(%1)"/>
      <w:numFmt w:val="lowerLetter"/>
      <w:start w:val="1"/>
    </w:lvl>
    <w:lvl w:ilvl="1">
      <w:lvlJc w:val="left"/>
      <w:lvlText w:val="(%2)"/>
      <w:numFmt w:val="lowerRoman"/>
      <w:start w:val="1"/>
    </w:lvl>
  </w:abstractNum>
  <w:abstractNum w:abstractNumId="218">
    <w:nsid w:val="13916F2D"/>
    <w:multiLevelType w:val="hybridMultilevel"/>
    <w:lvl w:ilvl="0">
      <w:lvlJc w:val="left"/>
      <w:lvlText w:val="(%1)"/>
      <w:numFmt w:val="lowerLetter"/>
      <w:start w:val="2"/>
    </w:lvl>
  </w:abstractNum>
  <w:abstractNum w:abstractNumId="219">
    <w:nsid w:val="435D38D"/>
    <w:multiLevelType w:val="hybridMultilevel"/>
    <w:lvl w:ilvl="0">
      <w:lvlJc w:val="left"/>
      <w:lvlText w:val="(%1)"/>
      <w:numFmt w:val="lowerLetter"/>
      <w:start w:val="4"/>
    </w:lvl>
    <w:lvl w:ilvl="1">
      <w:lvlJc w:val="left"/>
      <w:lvlText w:val="(%2)"/>
      <w:numFmt w:val="lowerLetter"/>
      <w:start w:val="9"/>
    </w:lvl>
  </w:abstractNum>
  <w:abstractNum w:abstractNumId="220">
    <w:nsid w:val="822C0EF"/>
    <w:multiLevelType w:val="hybridMultilevel"/>
    <w:lvl w:ilvl="0">
      <w:lvlJc w:val="left"/>
      <w:lvlText w:val="(%1)"/>
      <w:numFmt w:val="lowerRoman"/>
      <w:start w:val="2"/>
    </w:lvl>
  </w:abstractNum>
  <w:abstractNum w:abstractNumId="221">
    <w:nsid w:val="57C5BB4F"/>
    <w:multiLevelType w:val="hybridMultilevel"/>
    <w:lvl w:ilvl="0">
      <w:lvlJc w:val="left"/>
      <w:lvlText w:val="(%1)"/>
      <w:numFmt w:val="lowerRoman"/>
      <w:start w:val="3"/>
    </w:lvl>
  </w:abstractNum>
  <w:abstractNum w:abstractNumId="222">
    <w:nsid w:val="1803D089"/>
    <w:multiLevelType w:val="hybridMultilevel"/>
    <w:lvl w:ilvl="0">
      <w:lvlJc w:val="left"/>
      <w:lvlText w:val="(%1)"/>
      <w:numFmt w:val="lowerLetter"/>
      <w:start w:val="24"/>
    </w:lvl>
    <w:lvl w:ilvl="1">
      <w:lvlJc w:val="left"/>
      <w:lvlText w:val="(%2)"/>
      <w:numFmt w:val="lowerLetter"/>
      <w:start w:val="5"/>
    </w:lvl>
  </w:abstractNum>
  <w:abstractNum w:abstractNumId="223">
    <w:nsid w:val="4F3A06D4"/>
    <w:multiLevelType w:val="hybridMultilevel"/>
    <w:lvl w:ilvl="0">
      <w:lvlJc w:val="left"/>
      <w:lvlText w:val="(%1)"/>
      <w:numFmt w:val="lowerLetter"/>
      <w:start w:val="1"/>
    </w:lvl>
  </w:abstractNum>
  <w:abstractNum w:abstractNumId="224">
    <w:nsid w:val="59A377B6"/>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25">
    <w:nsid w:val="48AEB063"/>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3"/>
    </w:lvl>
  </w:abstractNum>
  <w:abstractNum w:abstractNumId="226">
    <w:nsid w:val="24E13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7">
    <w:nsid w:val="BB13C1"/>
    <w:multiLevelType w:val="hybridMultilevel"/>
    <w:lvl w:ilvl="0">
      <w:lvlJc w:val="left"/>
      <w:lvlText w:val="%1"/>
      <w:numFmt w:val="lowerLetter"/>
      <w:start w:val="1"/>
    </w:lvl>
    <w:lvl w:ilvl="1">
      <w:lvlJc w:val="left"/>
      <w:lvlText w:val="(%2)"/>
      <w:numFmt w:val="lowerLetter"/>
      <w:start w:val="61"/>
    </w:lvl>
  </w:abstractNum>
  <w:abstractNum w:abstractNumId="228">
    <w:nsid w:val="271210C7"/>
    <w:multiLevelType w:val="hybridMultilevel"/>
    <w:lvl w:ilvl="0">
      <w:lvlJc w:val="left"/>
      <w:lvlText w:val="(%1)"/>
      <w:numFmt w:val="lowerLetter"/>
      <w:start w:val="4"/>
    </w:lvl>
    <w:lvl w:ilvl="1">
      <w:lvlJc w:val="left"/>
      <w:lvlText w:val="%2"/>
      <w:numFmt w:val="lowerLetter"/>
      <w:start w:val="1"/>
    </w:lvl>
  </w:abstractNum>
  <w:abstractNum w:abstractNumId="229">
    <w:nsid w:val="217B22E4"/>
    <w:multiLevelType w:val="hybridMultilevel"/>
    <w:lvl w:ilvl="0">
      <w:lvlJc w:val="left"/>
      <w:lvlText w:val="(%1)"/>
      <w:numFmt w:val="lowerRoman"/>
      <w:start w:val="1"/>
    </w:lvl>
    <w:lvl w:ilvl="1">
      <w:lvlJc w:val="left"/>
      <w:lvlText w:val="(%2)"/>
      <w:numFmt w:val="decimal"/>
      <w:start w:val="1"/>
    </w:lvl>
  </w:abstractNum>
  <w:abstractNum w:abstractNumId="230">
    <w:nsid w:val="53E31A24"/>
    <w:multiLevelType w:val="hybridMultilevel"/>
    <w:lvl w:ilvl="0">
      <w:lvlJc w:val="left"/>
      <w:lvlText w:val="(%1)"/>
      <w:numFmt w:val="decimal"/>
      <w:start w:val="2"/>
    </w:lvl>
  </w:abstractNum>
  <w:abstractNum w:abstractNumId="231">
    <w:nsid w:val="6DC45E83"/>
    <w:multiLevelType w:val="hybridMultilevel"/>
    <w:lvl w:ilvl="0">
      <w:lvlJc w:val="left"/>
      <w:lvlText w:val="(%1)"/>
      <w:numFmt w:val="lowerLetter"/>
      <w:start w:val="1"/>
    </w:lvl>
  </w:abstractNum>
  <w:abstractNum w:abstractNumId="232">
    <w:nsid w:val="17304A67"/>
    <w:multiLevelType w:val="hybridMultilevel"/>
    <w:lvl w:ilvl="0">
      <w:lvlJc w:val="left"/>
      <w:lvlText w:val="(%1)"/>
      <w:numFmt w:val="lowerLetter"/>
      <w:start w:val="4"/>
    </w:lvl>
  </w:abstractNum>
  <w:abstractNum w:abstractNumId="233">
    <w:nsid w:val="2BB180D8"/>
    <w:multiLevelType w:val="hybridMultilevel"/>
    <w:lvl w:ilvl="0">
      <w:lvlJc w:val="left"/>
      <w:lvlText w:val="(%1)"/>
      <w:numFmt w:val="lowerLetter"/>
      <w:start w:val="1"/>
    </w:lvl>
    <w:lvl w:ilvl="1">
      <w:lvlJc w:val="left"/>
      <w:lvlText w:val="(%2)"/>
      <w:numFmt w:val="lowerRoman"/>
      <w:start w:val="1"/>
    </w:lvl>
  </w:abstractNum>
  <w:abstractNum w:abstractNumId="234">
    <w:nsid w:val="556B69ED"/>
    <w:multiLevelType w:val="hybridMultilevel"/>
    <w:lvl w:ilvl="0">
      <w:lvlJc w:val="left"/>
      <w:lvlText w:val="(%1)"/>
      <w:numFmt w:val="lowerLetter"/>
      <w:start w:val="2"/>
    </w:lvl>
  </w:abstractNum>
  <w:abstractNum w:abstractNumId="235">
    <w:nsid w:val="70836196"/>
    <w:multiLevelType w:val="hybridMultilevel"/>
    <w:lvl w:ilvl="0">
      <w:lvlJc w:val="left"/>
      <w:lvlText w:val="(%1)"/>
      <w:numFmt w:val="lowerLetter"/>
      <w:start w:val="3"/>
    </w:lvl>
  </w:abstractNum>
  <w:abstractNum w:abstractNumId="236">
    <w:nsid w:val="539F7F12"/>
    <w:multiLevelType w:val="hybridMultilevel"/>
    <w:lvl w:ilvl="0">
      <w:lvlJc w:val="left"/>
      <w:lvlText w:val="(%1)"/>
      <w:numFmt w:val="lowerLetter"/>
      <w:start w:val="4"/>
    </w:lvl>
    <w:lvl w:ilvl="1">
      <w:lvlJc w:val="left"/>
      <w:lvlText w:val="(%2)"/>
      <w:numFmt w:val="lowerRoman"/>
      <w:start w:val="1"/>
    </w:lvl>
  </w:abstractNum>
  <w:abstractNum w:abstractNumId="237">
    <w:nsid w:val="2817E7EC"/>
    <w:multiLevelType w:val="hybridMultilevel"/>
    <w:lvl w:ilvl="0">
      <w:lvlJc w:val="left"/>
      <w:lvlText w:val="(%1)"/>
      <w:numFmt w:val="lowerLetter"/>
      <w:start w:val="5"/>
    </w:lvl>
  </w:abstractNum>
  <w:abstractNum w:abstractNumId="238">
    <w:nsid w:val="71482545"/>
    <w:multiLevelType w:val="hybridMultilevel"/>
    <w:lvl w:ilvl="0">
      <w:lvlJc w:val="left"/>
      <w:lvlText w:val="●"/>
      <w:numFmt w:val="bullet"/>
      <w:start w:val="1"/>
    </w:lvl>
  </w:abstractNum>
  <w:abstractNum w:abstractNumId="239">
    <w:nsid w:val="17D78639"/>
    <w:multiLevelType w:val="hybridMultilevel"/>
    <w:lvl w:ilvl="0">
      <w:lvlJc w:val="left"/>
      <w:lvlText w:val="●"/>
      <w:numFmt w:val="bullet"/>
      <w:start w:val="1"/>
    </w:lvl>
    <w:lvl w:ilvl="1">
      <w:lvlJc w:val="left"/>
      <w:lvlText w:val="-"/>
      <w:numFmt w:val="bullet"/>
      <w:start w:val="1"/>
    </w:lvl>
  </w:abstractNum>
  <w:abstractNum w:abstractNumId="240">
    <w:nsid w:val="141D2302"/>
    <w:multiLevelType w:val="hybridMultilevel"/>
    <w:lvl w:ilvl="0">
      <w:lvlJc w:val="left"/>
      <w:lvlText w:val="●"/>
      <w:numFmt w:val="bullet"/>
      <w:start w:val="1"/>
    </w:lvl>
  </w:abstractNum>
  <w:abstractNum w:abstractNumId="241">
    <w:nsid w:val="407168D8"/>
    <w:multiLevelType w:val="hybridMultilevel"/>
    <w:lvl w:ilvl="0">
      <w:lvlJc w:val="left"/>
      <w:lvlText w:val="●"/>
      <w:numFmt w:val="bullet"/>
      <w:start w:val="1"/>
    </w:lvl>
    <w:lvl w:ilvl="1">
      <w:lvlJc w:val="left"/>
      <w:lvlText w:val="-"/>
      <w:numFmt w:val="bullet"/>
      <w:start w:val="1"/>
    </w:lvl>
  </w:abstractNum>
  <w:abstractNum w:abstractNumId="242">
    <w:nsid w:val="6A1B45E5"/>
    <w:multiLevelType w:val="hybridMultilevel"/>
    <w:lvl w:ilvl="0">
      <w:lvlJc w:val="left"/>
      <w:lvlText w:val="●"/>
      <w:numFmt w:val="bullet"/>
      <w:start w:val="1"/>
    </w:lvl>
    <w:lvl w:ilvl="1">
      <w:lvlJc w:val="left"/>
      <w:lvlText w:val="-"/>
      <w:numFmt w:val="bullet"/>
      <w:start w:val="1"/>
    </w:lvl>
  </w:abstractNum>
  <w:abstractNum w:abstractNumId="243">
    <w:nsid w:val="567BD50A"/>
    <w:multiLevelType w:val="hybridMultilevel"/>
    <w:lvl w:ilvl="0">
      <w:lvlJc w:val="left"/>
      <w:lvlText w:val="(%1)"/>
      <w:numFmt w:val="decimal"/>
      <w:start w:val="1"/>
    </w:lvl>
  </w:abstractNum>
  <w:abstractNum w:abstractNumId="244">
    <w:nsid w:val="73BBD7F8"/>
    <w:multiLevelType w:val="hybridMultilevel"/>
    <w:lvl w:ilvl="0">
      <w:lvlJc w:val="left"/>
      <w:lvlText w:val="●"/>
      <w:numFmt w:val="bullet"/>
      <w:start w:val="1"/>
    </w:lvl>
  </w:abstractNum>
  <w:abstractNum w:abstractNumId="245">
    <w:nsid w:val="1876589D"/>
    <w:multiLevelType w:val="hybridMultilevel"/>
    <w:lvl w:ilvl="0">
      <w:lvlJc w:val="left"/>
      <w:lvlText w:val="●"/>
      <w:numFmt w:val="bullet"/>
      <w:start w:val="1"/>
    </w:lvl>
  </w:abstractNum>
  <w:abstractNum w:abstractNumId="246">
    <w:nsid w:val="327FAC77"/>
    <w:multiLevelType w:val="hybridMultilevel"/>
    <w:lvl w:ilvl="0">
      <w:lvlJc w:val="left"/>
      <w:lvlText w:val="●"/>
      <w:numFmt w:val="bullet"/>
      <w:start w:val="1"/>
    </w:lvl>
  </w:abstractNum>
  <w:abstractNum w:abstractNumId="247">
    <w:nsid w:val="5A606509"/>
    <w:multiLevelType w:val="hybridMultilevel"/>
    <w:lvl w:ilvl="0">
      <w:lvlJc w:val="left"/>
      <w:lvlText w:val="(%1)"/>
      <w:numFmt w:val="lowerLetter"/>
      <w:start w:val="1"/>
    </w:lvl>
  </w:abstractNum>
  <w:abstractNum w:abstractNumId="248">
    <w:nsid w:val="6F38E6D1"/>
    <w:multiLevelType w:val="hybridMultilevel"/>
    <w:lvl w:ilvl="0">
      <w:lvlJc w:val="left"/>
      <w:lvlText w:val="(%1)"/>
      <w:numFmt w:val="lowerLetter"/>
      <w:start w:val="4"/>
    </w:lvl>
  </w:abstractNum>
  <w:abstractNum w:abstractNumId="249">
    <w:nsid w:val="46111BA5"/>
    <w:multiLevelType w:val="hybridMultilevel"/>
    <w:lvl w:ilvl="0">
      <w:lvlJc w:val="left"/>
      <w:lvlText w:val="(%1)"/>
      <w:numFmt w:val="lowerLetter"/>
      <w:start w:val="6"/>
    </w:lvl>
    <w:lvl w:ilvl="1">
      <w:lvlJc w:val="left"/>
      <w:lvlText w:val="-"/>
      <w:numFmt w:val="bullet"/>
      <w:start w:val="1"/>
    </w:lvl>
  </w:abstractNum>
  <w:abstractNum w:abstractNumId="250">
    <w:nsid w:val="5E963896"/>
    <w:multiLevelType w:val="hybridMultilevel"/>
    <w:lvl w:ilvl="0">
      <w:lvlJc w:val="left"/>
      <w:lvlText w:val="(%1)"/>
      <w:numFmt w:val="lowerLetter"/>
      <w:start w:val="1"/>
    </w:lvl>
  </w:abstractNum>
  <w:abstractNum w:abstractNumId="251">
    <w:nsid w:val="775BA7C1"/>
    <w:multiLevelType w:val="hybridMultilevel"/>
    <w:lvl w:ilvl="0">
      <w:lvlJc w:val="left"/>
      <w:lvlText w:val="(%1)"/>
      <w:numFmt w:val="lowerLetter"/>
      <w:start w:val="1"/>
    </w:lvl>
    <w:lvl w:ilvl="1">
      <w:lvlJc w:val="left"/>
      <w:lvlText w:val="-"/>
      <w:numFmt w:val="bullet"/>
      <w:start w:val="1"/>
    </w:lvl>
  </w:abstractNum>
  <w:abstractNum w:abstractNumId="252">
    <w:nsid w:val="1DD6D6F4"/>
    <w:multiLevelType w:val="hybridMultilevel"/>
    <w:lvl w:ilvl="0">
      <w:lvlJc w:val="left"/>
      <w:lvlText w:val="(%1)"/>
      <w:numFmt w:val="lowerLetter"/>
      <w:start w:val="7"/>
    </w:lvl>
    <w:lvl w:ilvl="1">
      <w:lvlJc w:val="left"/>
      <w:lvlText w:val="-"/>
      <w:numFmt w:val="bullet"/>
      <w:start w:val="1"/>
    </w:lvl>
  </w:abstractNum>
  <w:abstractNum w:abstractNumId="253">
    <w:nsid w:val="769A091F"/>
    <w:multiLevelType w:val="hybridMultilevel"/>
    <w:lvl w:ilvl="0">
      <w:lvlJc w:val="left"/>
      <w:lvlText w:val="(%1)"/>
      <w:numFmt w:val="lowerLetter"/>
      <w:start w:val="13"/>
    </w:lvl>
  </w:abstractNum>
  <w:abstractNum w:abstractNumId="254">
    <w:nsid w:val="4695AE95"/>
    <w:multiLevelType w:val="hybridMultilevel"/>
    <w:lvl w:ilvl="0">
      <w:lvlJc w:val="left"/>
      <w:lvlText w:val="(%1)"/>
      <w:numFmt w:val="lowerLetter"/>
      <w:start w:val="1"/>
    </w:lvl>
  </w:abstractNum>
  <w:abstractNum w:abstractNumId="255">
    <w:nsid w:val="777A4EAA"/>
    <w:multiLevelType w:val="hybridMultilevel"/>
    <w:lvl w:ilvl="0">
      <w:lvlJc w:val="left"/>
      <w:lvlText w:val="(%1)"/>
      <w:numFmt w:val="lowerLetter"/>
      <w:start w:val="4"/>
    </w:lvl>
    <w:lvl w:ilvl="1">
      <w:lvlJc w:val="left"/>
      <w:lvlText w:val="-"/>
      <w:numFmt w:val="bullet"/>
      <w:start w:val="1"/>
    </w:lvl>
  </w:abstractNum>
  <w:abstractNum w:abstractNumId="256">
    <w:nsid w:val="3F48B982"/>
    <w:multiLevelType w:val="hybridMultilevel"/>
    <w:lvl w:ilvl="0">
      <w:lvlJc w:val="left"/>
      <w:lvlText w:val="(%1)"/>
      <w:numFmt w:val="lowerLetter"/>
      <w:start w:val="5"/>
    </w:lvl>
  </w:abstractNum>
  <w:abstractNum w:abstractNumId="257">
    <w:nsid w:val="46BA8FCA"/>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6" Type="http://schemas.openxmlformats.org/officeDocument/2006/relationships/image" Target="media/image27.png"/><Relationship Id="rId39" Type="http://schemas.openxmlformats.org/officeDocument/2006/relationships/image" Target="media/image28.png"/><Relationship Id="rId41" Type="http://schemas.openxmlformats.org/officeDocument/2006/relationships/image" Target="media/image29.png"/><Relationship Id="rId44"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50" Type="http://schemas.openxmlformats.org/officeDocument/2006/relationships/image" Target="media/image33.png"/><Relationship Id="rId53"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jpeg"/><Relationship Id="rId298" Type="http://schemas.openxmlformats.org/officeDocument/2006/relationships/image" Target="media/image277.jpeg"/><Relationship Id="rId299" Type="http://schemas.openxmlformats.org/officeDocument/2006/relationships/image" Target="media/image278.jpe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3" Type="http://schemas.openxmlformats.org/officeDocument/2006/relationships/hyperlink" Target="http://www.sec.gov/Archives/edgar/data/1842279/000119312521347023/d270539dex21.htm" TargetMode="External"/><Relationship Id="rId35" Type="http://schemas.openxmlformats.org/officeDocument/2006/relationships/hyperlink" Target="http://www.sec.gov/Archives/edgar/data/1842279/000119312521073580/d118209dex43.htm" TargetMode="External"/><Relationship Id="rId37" Type="http://schemas.openxmlformats.org/officeDocument/2006/relationships/hyperlink" Target="http://www.sec.gov/Archives/edgar/data/1842279/000119312521096722/d167128dex41.htm" TargetMode="External"/><Relationship Id="rId38" Type="http://schemas.openxmlformats.org/officeDocument/2006/relationships/hyperlink" Target="http://www.sec.gov/Archives/edgar/data/1842279/000121390022024612/fs42022a3ex10-1_arclight2.htm" TargetMode="External"/><Relationship Id="rId40" Type="http://schemas.openxmlformats.org/officeDocument/2006/relationships/hyperlink" Target="http://www.sec.gov/Archives/edgar/data/1842279/000119312521096722/d167128dex104.htm" TargetMode="External"/><Relationship Id="rId42" Type="http://schemas.openxmlformats.org/officeDocument/2006/relationships/hyperlink" Target="http://www.sec.gov/Archives/edgar/data/1842279/000119312521347023/d270539dex102.htm" TargetMode="External"/><Relationship Id="rId43" Type="http://schemas.openxmlformats.org/officeDocument/2006/relationships/hyperlink" Target="http://www.sec.gov/Archives/edgar/data/1842279/000119312521347023/d270539dex101.htm" TargetMode="External"/><Relationship Id="rId45" Type="http://schemas.openxmlformats.org/officeDocument/2006/relationships/hyperlink" Target="http://www.sec.gov/Archives/edgar/data/1842279/000121390022025716/ea159809ex10-1_arclight2.htm" TargetMode="External"/><Relationship Id="rId48" Type="http://schemas.openxmlformats.org/officeDocument/2006/relationships/hyperlink" Target="http://www.sec.gov/Archives/edgar/data/1842279/000121390022015221/ea157420ex10-8_arclight2.htm" TargetMode="External"/><Relationship Id="rId49" Type="http://schemas.openxmlformats.org/officeDocument/2006/relationships/hyperlink" Target="http://www.sec.gov/Archives/edgar/data/1842279/000121390022015221/ea157420ex10-9_arclight2.htm" TargetMode="External"/><Relationship Id="rId51" Type="http://schemas.openxmlformats.org/officeDocument/2006/relationships/hyperlink" Target="http://www.sec.gov/Archives/edgar/data/1842279/000121390022015221/ea157420ex10-10_arclight2.htm" TargetMode="External"/><Relationship Id="rId52" Type="http://schemas.openxmlformats.org/officeDocument/2006/relationships/hyperlink" Target="http://www.sec.gov/Archives/edgar/data/1842279/000121390022015221/ea157420ex10-11_arclight2.htm" TargetMode="External"/><Relationship Id="rId54" Type="http://schemas.openxmlformats.org/officeDocument/2006/relationships/hyperlink" Target="http://www.sec.gov/Archives/edgar/data/1842279/000121390022015221/ea157420ex10-12_arclight2.htm" TargetMode="External"/><Relationship Id="rId55" Type="http://schemas.openxmlformats.org/officeDocument/2006/relationships/hyperlink" Target="http://www.sec.gov/Archives/edgar/data/1842279/000121390022015221/ea157420ex10-13_arclight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2022-07-27T16:09:47Z</dcterms:created>
  <dcterms:modified xsi:type="dcterms:W3CDTF">2022-07-27T16:09:47Z</dcterms:modified>
</cp:coreProperties>
</file>