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0"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Prospectus Supplement No. 2</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Filed pursuant to Rule 424(b)(3)</w:t>
      </w:r>
    </w:p>
    <w:p>
      <w:pPr>
        <w:spacing w:after="0" w:line="100" w:lineRule="exact"/>
        <w:rPr>
          <w:sz w:val="24"/>
          <w:szCs w:val="24"/>
          <w:color w:val="auto"/>
        </w:rPr>
      </w:pPr>
    </w:p>
    <w:p>
      <w:pPr>
        <w:sectPr>
          <w:pgSz w:w="11900" w:h="16838" w:orient="portrait"/>
          <w:cols w:equalWidth="0" w:num="2">
            <w:col w:w="8020" w:space="720"/>
            <w:col w:w="2500"/>
          </w:cols>
          <w:pgMar w:left="320" w:top="1440" w:right="33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(To Prospectus dated November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580390</wp:posOffset>
            </wp:positionV>
            <wp:extent cx="2005965"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05965" cy="4718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Registration Statement No. 333-266757</w:t>
      </w:r>
    </w:p>
    <w:p>
      <w:pPr>
        <w:spacing w:after="0" w:line="200" w:lineRule="exact"/>
        <w:rPr>
          <w:sz w:val="24"/>
          <w:szCs w:val="24"/>
          <w:color w:val="auto"/>
        </w:rPr>
      </w:pPr>
    </w:p>
    <w:p>
      <w:pPr>
        <w:sectPr>
          <w:pgSz w:w="11900" w:h="16838" w:orient="portrait"/>
          <w:cols w:equalWidth="0" w:num="2">
            <w:col w:w="7500" w:space="720"/>
            <w:col w:w="3020"/>
          </w:cols>
          <w:pgMar w:left="320" w:top="1440"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OPAL FUELS INC.</w:t>
      </w:r>
    </w:p>
    <w:p>
      <w:pPr>
        <w:spacing w:after="0" w:line="200" w:lineRule="exact"/>
        <w:rPr>
          <w:sz w:val="24"/>
          <w:szCs w:val="24"/>
          <w:color w:val="auto"/>
        </w:rPr>
      </w:pPr>
    </w:p>
    <w:p>
      <w:pPr>
        <w:spacing w:after="0" w:line="278" w:lineRule="exact"/>
        <w:rPr>
          <w:sz w:val="24"/>
          <w:szCs w:val="24"/>
          <w:color w:val="auto"/>
        </w:rPr>
      </w:pPr>
    </w:p>
    <w:p>
      <w:pPr>
        <w:jc w:val="both"/>
        <w:spacing w:after="0" w:line="224" w:lineRule="auto"/>
        <w:rPr>
          <w:sz w:val="20"/>
          <w:szCs w:val="20"/>
          <w:color w:val="auto"/>
        </w:rPr>
      </w:pPr>
      <w:r>
        <w:rPr>
          <w:rFonts w:ascii="Arial" w:cs="Arial" w:eastAsia="Arial" w:hAnsi="Arial"/>
          <w:sz w:val="18"/>
          <w:szCs w:val="18"/>
          <w:color w:val="auto"/>
        </w:rPr>
        <w:t>This prospectus supplement updates, amends and supplements the prospectus dated November 8, 2022 (the “Prospectus”), which forms a part of our Registration Statement on Form S-1 (Registration No. 333-266757). Capitalized terms used in this prospectus supplement and not otherwise defined herein have the meanings specified in the Prospectus.</w:t>
      </w:r>
    </w:p>
    <w:p>
      <w:pPr>
        <w:spacing w:after="0" w:line="203" w:lineRule="exact"/>
        <w:rPr>
          <w:sz w:val="24"/>
          <w:szCs w:val="24"/>
          <w:color w:val="auto"/>
        </w:rPr>
      </w:pPr>
    </w:p>
    <w:p>
      <w:pPr>
        <w:jc w:val="both"/>
        <w:spacing w:after="0" w:line="289" w:lineRule="auto"/>
        <w:rPr>
          <w:sz w:val="20"/>
          <w:szCs w:val="20"/>
          <w:color w:val="auto"/>
        </w:rPr>
      </w:pPr>
      <w:r>
        <w:rPr>
          <w:rFonts w:ascii="Arial" w:cs="Arial" w:eastAsia="Arial" w:hAnsi="Arial"/>
          <w:sz w:val="16"/>
          <w:szCs w:val="16"/>
          <w:color w:val="auto"/>
        </w:rPr>
        <w:t>This prospectus supplement is being filed to update, amend, and supplement the information included in the Prospectus with the information contained in our Current Report on Form 8-K filed with the U.S. Securities and Exchange Commission (the “SEC”) on November 18, 2022, which is set forth below.</w:t>
      </w: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This prospectus supplement is not complete without the Prospectus. This prospectus supplement should be read in conjunction with the Prospectus, which</w:t>
      </w:r>
    </w:p>
    <w:p>
      <w:pPr>
        <w:spacing w:after="0" w:line="21" w:lineRule="exact"/>
        <w:rPr>
          <w:sz w:val="24"/>
          <w:szCs w:val="24"/>
          <w:color w:val="auto"/>
        </w:rPr>
      </w:pPr>
    </w:p>
    <w:p>
      <w:pPr>
        <w:jc w:val="both"/>
        <w:spacing w:after="0" w:line="218" w:lineRule="auto"/>
        <w:rPr>
          <w:sz w:val="20"/>
          <w:szCs w:val="20"/>
          <w:color w:val="auto"/>
        </w:rPr>
      </w:pPr>
      <w:r>
        <w:rPr>
          <w:rFonts w:ascii="Arial" w:cs="Arial" w:eastAsia="Arial" w:hAnsi="Arial"/>
          <w:sz w:val="18"/>
          <w:szCs w:val="18"/>
          <w:color w:val="auto"/>
        </w:rPr>
        <w:t>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203" w:lineRule="exact"/>
        <w:rPr>
          <w:sz w:val="24"/>
          <w:szCs w:val="24"/>
          <w:color w:val="auto"/>
        </w:rPr>
      </w:pPr>
    </w:p>
    <w:p>
      <w:pPr>
        <w:jc w:val="both"/>
        <w:spacing w:after="0" w:line="224" w:lineRule="auto"/>
        <w:rPr>
          <w:sz w:val="20"/>
          <w:szCs w:val="20"/>
          <w:color w:val="auto"/>
        </w:rPr>
      </w:pPr>
      <w:r>
        <w:rPr>
          <w:rFonts w:ascii="Arial" w:cs="Arial" w:eastAsia="Arial" w:hAnsi="Arial"/>
          <w:sz w:val="18"/>
          <w:szCs w:val="18"/>
          <w:color w:val="auto"/>
        </w:rPr>
        <w:t>Our shares of Class A common stock are listed on the Nasdaq Capital Market (the “Nasdaq”) under the symbol “OPAL.” On November 17, 2022 the closing sale price of our Class A common stock was $8.00 per share. Our public warrants are listed on the Nasdaq under the symbol “OPALW.” On November 17, 2022, the closing sale price of our public warrants was $1.20 per warrant.</w:t>
      </w:r>
    </w:p>
    <w:p>
      <w:pPr>
        <w:spacing w:after="0" w:line="199" w:lineRule="exact"/>
        <w:rPr>
          <w:sz w:val="24"/>
          <w:szCs w:val="24"/>
          <w:color w:val="auto"/>
        </w:rPr>
      </w:pPr>
    </w:p>
    <w:p>
      <w:pPr>
        <w:jc w:val="both"/>
        <w:spacing w:after="0" w:line="237" w:lineRule="auto"/>
        <w:rPr>
          <w:sz w:val="20"/>
          <w:szCs w:val="20"/>
          <w:color w:val="auto"/>
        </w:rPr>
      </w:pPr>
      <w:r>
        <w:rPr>
          <w:rFonts w:ascii="Arial" w:cs="Arial" w:eastAsia="Arial" w:hAnsi="Arial"/>
          <w:sz w:val="18"/>
          <w:szCs w:val="18"/>
          <w:b w:val="1"/>
          <w:bCs w:val="1"/>
          <w:color w:val="auto"/>
        </w:rPr>
        <w:t>Investing in shares of our Class A common stock or warrants involves risks that are described in the “Risk Factors” section beginning on page 12 of the Prospectus.</w:t>
      </w:r>
    </w:p>
    <w:p>
      <w:pPr>
        <w:spacing w:after="0" w:line="189" w:lineRule="exact"/>
        <w:rPr>
          <w:sz w:val="24"/>
          <w:szCs w:val="24"/>
          <w:color w:val="auto"/>
        </w:rPr>
      </w:pPr>
    </w:p>
    <w:p>
      <w:pPr>
        <w:jc w:val="both"/>
        <w:spacing w:after="0" w:line="246" w:lineRule="auto"/>
        <w:rPr>
          <w:sz w:val="20"/>
          <w:szCs w:val="20"/>
          <w:color w:val="auto"/>
        </w:rPr>
      </w:pPr>
      <w:r>
        <w:rPr>
          <w:rFonts w:ascii="Arial" w:cs="Arial" w:eastAsia="Arial" w:hAnsi="Arial"/>
          <w:sz w:val="18"/>
          <w:szCs w:val="18"/>
          <w:color w:val="auto"/>
        </w:rPr>
        <w:t>Neither the SEC nor any state securities commission has approved or disapproved of the securities to be issued under the Prospectus or determined if the Prospectus or this prospectus supplement is truthful or complete. Any representation to the contrary is a criminal offense.</w:t>
      </w:r>
    </w:p>
    <w:p>
      <w:pPr>
        <w:spacing w:after="0" w:line="200" w:lineRule="exact"/>
        <w:rPr>
          <w:sz w:val="24"/>
          <w:szCs w:val="24"/>
          <w:color w:val="auto"/>
        </w:rPr>
      </w:pP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supplement is November 18, 2022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9019"/>
          </w:cols>
          <w:pgMar w:left="1440" w:top="1440" w:right="1440"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0"/>
          <w:szCs w:val="20"/>
          <w:color w:val="auto"/>
        </w:rPr>
      </w:pPr>
    </w:p>
    <w:p>
      <w:pPr>
        <w:jc w:val="center"/>
        <w:ind w:right="-5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8"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50"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__________________________________</w:t>
      </w:r>
    </w:p>
    <w:p>
      <w:pPr>
        <w:spacing w:after="0" w:line="112" w:lineRule="exact"/>
        <w:rPr>
          <w:sz w:val="20"/>
          <w:szCs w:val="20"/>
          <w:color w:val="auto"/>
        </w:rPr>
      </w:pPr>
    </w:p>
    <w:p>
      <w:pPr>
        <w:jc w:val="center"/>
        <w:ind w:right="-519"/>
        <w:spacing w:after="0"/>
        <w:rPr>
          <w:sz w:val="20"/>
          <w:szCs w:val="20"/>
          <w:color w:val="auto"/>
        </w:rPr>
      </w:pPr>
      <w:r>
        <w:rPr>
          <w:rFonts w:ascii="Arial" w:cs="Arial" w:eastAsia="Arial" w:hAnsi="Arial"/>
          <w:sz w:val="25"/>
          <w:szCs w:val="25"/>
          <w:b w:val="1"/>
          <w:bCs w:val="1"/>
          <w:color w:val="auto"/>
        </w:rPr>
        <w:t>FORM 8-K</w:t>
      </w:r>
    </w:p>
    <w:p>
      <w:pPr>
        <w:spacing w:after="0" w:line="4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6"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0"/>
          <w:szCs w:val="20"/>
          <w:color w:val="auto"/>
        </w:rPr>
      </w:pPr>
    </w:p>
    <w:p>
      <w:pPr>
        <w:spacing w:after="0" w:line="277"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18, 2022</w:t>
      </w:r>
    </w:p>
    <w:p>
      <w:pPr>
        <w:spacing w:after="0" w:line="30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6" w:lineRule="exact"/>
        <w:rPr>
          <w:sz w:val="20"/>
          <w:szCs w:val="20"/>
          <w:color w:val="auto"/>
        </w:rPr>
      </w:pPr>
    </w:p>
    <w:p>
      <w:pPr>
        <w:jc w:val="center"/>
        <w:ind w:right="-519"/>
        <w:spacing w:after="0"/>
        <w:rPr>
          <w:sz w:val="20"/>
          <w:szCs w:val="20"/>
          <w:color w:val="auto"/>
        </w:rPr>
      </w:pPr>
      <w:r>
        <w:rPr>
          <w:rFonts w:ascii="Arial" w:cs="Arial" w:eastAsia="Arial" w:hAnsi="Arial"/>
          <w:sz w:val="29"/>
          <w:szCs w:val="29"/>
          <w:b w:val="1"/>
          <w:bCs w:val="1"/>
          <w:color w:val="auto"/>
        </w:rPr>
        <w:t>OPAL Fuels Inc.</w:t>
      </w:r>
    </w:p>
    <w:p>
      <w:pPr>
        <w:spacing w:after="0" w:line="8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(Exact name of registrant as specified in its charter)</w:t>
      </w:r>
    </w:p>
    <w:p>
      <w:pPr>
        <w:spacing w:after="0" w:line="4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06" w:lineRule="exact"/>
        <w:rPr>
          <w:sz w:val="20"/>
          <w:szCs w:val="20"/>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1030"/>
              <w:spacing w:after="0"/>
              <w:rPr>
                <w:sz w:val="20"/>
                <w:szCs w:val="20"/>
                <w:color w:val="auto"/>
              </w:rPr>
            </w:pPr>
            <w:r>
              <w:rPr>
                <w:rFonts w:ascii="Arial" w:cs="Arial" w:eastAsia="Arial" w:hAnsi="Arial"/>
                <w:sz w:val="18"/>
                <w:szCs w:val="18"/>
                <w:b w:val="1"/>
                <w:bCs w:val="1"/>
                <w:color w:val="auto"/>
              </w:rPr>
              <w:t>001-40272</w:t>
            </w:r>
          </w:p>
        </w:tc>
        <w:tc>
          <w:tcPr>
            <w:tcW w:w="2980" w:type="dxa"/>
            <w:vAlign w:val="bottom"/>
          </w:tcPr>
          <w:p>
            <w:pPr>
              <w:jc w:val="right"/>
              <w:ind w:right="710"/>
              <w:spacing w:after="0"/>
              <w:rPr>
                <w:sz w:val="20"/>
                <w:szCs w:val="20"/>
                <w:color w:val="auto"/>
              </w:rPr>
            </w:pPr>
            <w:r>
              <w:rPr>
                <w:rFonts w:ascii="Arial" w:cs="Arial" w:eastAsia="Arial" w:hAnsi="Arial"/>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(State or other jurisdiction of</w:t>
            </w:r>
          </w:p>
        </w:tc>
        <w:tc>
          <w:tcPr>
            <w:tcW w:w="308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980" w:type="dxa"/>
            <w:vAlign w:val="bottom"/>
          </w:tcPr>
          <w:p>
            <w:pPr>
              <w:jc w:val="center"/>
              <w:ind w:left="4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4"/>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52"/>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0"/>
              </w:rPr>
              <w:t>One North Lexington Avenue</w:t>
            </w:r>
            <w:r>
              <w:rPr>
                <w:rFonts w:ascii="Arial" w:cs="Arial" w:eastAsia="Arial" w:hAnsi="Arial"/>
                <w:sz w:val="18"/>
                <w:szCs w:val="18"/>
                <w:b w:val="1"/>
                <w:bCs w:val="1"/>
                <w:color w:val="3051F2"/>
                <w:w w:val="90"/>
              </w:rPr>
              <w:t>,</w:t>
            </w:r>
            <w:r>
              <w:rPr>
                <w:rFonts w:ascii="Arial" w:cs="Arial" w:eastAsia="Arial" w:hAnsi="Arial"/>
                <w:sz w:val="18"/>
                <w:szCs w:val="18"/>
                <w:b w:val="1"/>
                <w:bCs w:val="1"/>
                <w:color w:val="auto"/>
                <w:w w:val="90"/>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4"/>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2"/>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Arial" w:cs="Arial" w:eastAsia="Arial" w:hAnsi="Arial"/>
                <w:sz w:val="18"/>
                <w:szCs w:val="18"/>
                <w:b w:val="1"/>
                <w:bCs w:val="1"/>
                <w:color w:val="auto"/>
              </w:rPr>
              <w:t>10601</w:t>
            </w:r>
          </w:p>
        </w:tc>
      </w:tr>
      <w:tr>
        <w:trPr>
          <w:trHeight w:val="283"/>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Arial" w:cs="Arial" w:eastAsia="Arial" w:hAnsi="Arial"/>
                <w:sz w:val="18"/>
                <w:szCs w:val="18"/>
                <w:color w:val="auto"/>
                <w:w w:val="94"/>
              </w:rPr>
              <w:t>(Zip Code)</w:t>
            </w:r>
          </w:p>
        </w:tc>
      </w:tr>
    </w:tbl>
    <w:p>
      <w:pPr>
        <w:spacing w:after="0" w:line="292"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705-4000</w:t>
      </w:r>
    </w:p>
    <w:p>
      <w:pPr>
        <w:spacing w:after="0" w:line="320"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 Applicable</w:t>
      </w:r>
    </w:p>
    <w:p>
      <w:pPr>
        <w:spacing w:after="0" w:line="81"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48"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2" w:lineRule="exact"/>
        <w:rPr>
          <w:sz w:val="20"/>
          <w:szCs w:val="20"/>
          <w:color w:val="auto"/>
        </w:rPr>
      </w:pPr>
    </w:p>
    <w:p>
      <w:pPr>
        <w:ind w:left="700" w:hanging="449"/>
        <w:spacing w:after="0"/>
        <w:tabs>
          <w:tab w:leader="none" w:pos="70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8"/>
          <w:szCs w:val="18"/>
          <w:color w:val="auto"/>
        </w:rPr>
        <w:t>Written communications pursuant to Rule 425 under the Securities Act (17 CFR 230.425)</w:t>
      </w:r>
    </w:p>
    <w:p>
      <w:pPr>
        <w:spacing w:after="0" w:line="161" w:lineRule="exact"/>
        <w:rPr>
          <w:sz w:val="20"/>
          <w:szCs w:val="20"/>
          <w:color w:val="auto"/>
        </w:rPr>
      </w:pPr>
    </w:p>
    <w:p>
      <w:pPr>
        <w:ind w:left="700" w:hanging="442"/>
        <w:spacing w:after="0"/>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720"/>
          </w:cols>
          <w:pgMar w:left="320" w:top="1143" w:right="859" w:bottom="1440" w:gutter="0" w:footer="0" w:header="0"/>
        </w:sectPr>
      </w:pP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3" w:lineRule="exact"/>
        <w:rPr>
          <w:sz w:val="20"/>
          <w:szCs w:val="20"/>
          <w:color w:val="auto"/>
        </w:rPr>
      </w:pPr>
    </w:p>
    <w:p>
      <w:pPr>
        <w:jc w:val="center"/>
        <w:ind w:left="120"/>
        <w:spacing w:after="0"/>
        <w:rPr>
          <w:sz w:val="20"/>
          <w:szCs w:val="20"/>
          <w:color w:val="auto"/>
        </w:rPr>
      </w:pPr>
      <w:r>
        <w:rPr>
          <w:rFonts w:ascii="Arial" w:cs="Arial" w:eastAsia="Arial" w:hAnsi="Arial"/>
          <w:sz w:val="18"/>
          <w:szCs w:val="18"/>
          <w:b w:val="1"/>
          <w:bCs w:val="1"/>
          <w:u w:val="single" w:color="auto"/>
          <w:color w:val="auto"/>
        </w:rPr>
        <w:t>Title of each class</w:t>
      </w:r>
    </w:p>
    <w:p>
      <w:pPr>
        <w:spacing w:after="0" w:line="67"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auto"/>
        </w:rPr>
        <w:t>Class A Common Stock, par value $.0001 per share</w:t>
      </w:r>
    </w:p>
    <w:p>
      <w:pPr>
        <w:spacing w:after="0" w:line="77"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Warrants, each whole warrant exercisable for one share of Class A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Trading Symbol(s)</w:t>
      </w:r>
    </w:p>
    <w:p>
      <w:pPr>
        <w:spacing w:after="0" w:line="9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OPAL</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OPALW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jc w:val="center"/>
        <w:ind w:right="120"/>
        <w:spacing w:after="0"/>
        <w:rPr>
          <w:sz w:val="20"/>
          <w:szCs w:val="20"/>
          <w:color w:val="auto"/>
        </w:rPr>
      </w:pPr>
      <w:r>
        <w:rPr>
          <w:rFonts w:ascii="Arial" w:cs="Arial" w:eastAsia="Arial" w:hAnsi="Arial"/>
          <w:sz w:val="15"/>
          <w:szCs w:val="15"/>
          <w:b w:val="1"/>
          <w:bCs w:val="1"/>
          <w:u w:val="single" w:color="auto"/>
          <w:color w:val="auto"/>
        </w:rPr>
        <w:t>Name of each exchange on which registered</w:t>
      </w:r>
    </w:p>
    <w:p>
      <w:pPr>
        <w:spacing w:after="0" w:line="10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The Nasdaq Stock Market LLC</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Nasdaq Stock Market LLC</w:t>
      </w:r>
    </w:p>
    <w:p>
      <w:pPr>
        <w:spacing w:after="0" w:line="346" w:lineRule="exact"/>
        <w:rPr>
          <w:sz w:val="20"/>
          <w:szCs w:val="20"/>
          <w:color w:val="auto"/>
        </w:rPr>
      </w:pPr>
    </w:p>
    <w:p>
      <w:pPr>
        <w:sectPr>
          <w:pgSz w:w="11900" w:h="16838" w:orient="portrait"/>
          <w:cols w:equalWidth="0" w:num="3">
            <w:col w:w="4640" w:space="120"/>
            <w:col w:w="1780" w:space="720"/>
            <w:col w:w="3460"/>
          </w:cols>
          <w:pgMar w:left="320" w:top="1143" w:right="85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0720"/>
          </w:cols>
          <w:pgMar w:left="320" w:top="1143" w:right="859" w:bottom="1440" w:gutter="0" w:footer="0" w:header="0"/>
          <w:type w:val="continuous"/>
        </w:sectPr>
      </w:pPr>
    </w:p>
    <w:bookmarkStart w:id="3" w:name="page4"/>
    <w:bookmarkEnd w:id="3"/>
    <w:p>
      <w:pPr>
        <w:spacing w:after="0" w:line="207" w:lineRule="exact"/>
        <w:tabs>
          <w:tab w:leader="none" w:pos="21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170"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ectPr>
          <w:pgSz w:w="11900" w:h="16838" w:orient="portrait"/>
          <w:cols w:equalWidth="0" w:num="1">
            <w:col w:w="11240"/>
          </w:cols>
          <w:pgMar w:left="320" w:top="115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8.01. Other Events.</w:t>
      </w:r>
    </w:p>
    <w:p>
      <w:pPr>
        <w:spacing w:after="0" w:line="270"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6"/>
          <w:szCs w:val="16"/>
          <w:color w:val="auto"/>
        </w:rPr>
        <w:t>On November 18, 2022, OPAL Fuels Inc., (“OPAL Fuels” or the “Company”), announced the commencement of an exchange offer (the “Offer”) and consent solicitation (the “Consent Solicitation”) relating to its outstanding (i) public warrants to purchase shares of Class A Common Stock of the Company, par value $0.0001 per share (the “Class A Common Stock”), which warrants trade on The Nasdaq Capital Market under the symbol “OPALW”(the “Public Warrants”), and (ii) private placement warrants to purchase shares of Class A Common Stock (the “Private Placement Warrants”) and together with the public warrants, the “Warrants”). The Company is offering to all holders of the warrants the opportunity to receive 0.250 shares of Class A Common Stock in exchange for each outstanding warrant tendered by the holder and exchanged pursuant to the Offer. Concurrently with the Offer, the Company is also soliciting consents from holders of the warrants to amend the warrant agreement that governs all of the warrants (the “Warrant Agreement”) to permit the Company to require that each warrant that is outstanding upon the closing of the Offer be exchanged for 0.225shares of Class A Common Stock, which is a ratio 10% less than the exchange ratio applicable to the Offer (such amendment, the “Warrant Amendment”).</w:t>
      </w:r>
    </w:p>
    <w:p>
      <w:pPr>
        <w:spacing w:after="0" w:line="198"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7"/>
          <w:szCs w:val="17"/>
          <w:color w:val="auto"/>
        </w:rPr>
        <w:t>The Offer and Consent Solicitation are being made pursuant to a prospectus/offer to exchange, dated November 18, 2022 (the “Prospectus/Offer to Exchange”), and Schedule TO, dated November 18, 2022 (the “Schedule TO”). The Offer and Consent Solicitation will expire at 11:59 p.m., Eastern Time, on December 16, 2022, or such later time and date to which the Company may extend. Pursuant to the terms of the Warrant Agreement, all except certain specified modifications or amendments require the vote or written consent of holders of at least 65% of each of the outstanding public warrants and the outstanding private placement warrants. Parties representing approximately 53.30% of the outstanding public warrants and approximately 100% of the outstanding private placement warrants have agreed to tender their public warrants and private placement warrants (as applicable) in the Offer and to consent to the Warrant Amendment in the Consent Solicitation, pursuant to a tender and support agreement. Accordingly, if holders of an additional approximately 11.70% of our outstanding public warrants consent to the Warrant Amendment in the Consent Solicitation, and the other conditions of the Offer are satisfied or waived, then the Warrant Amendment will be adopted.</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18, 2022, the Company issued a press release announcing the commencement of the Offer and Consent Solicitation. A copy of the press release is attached hereto as Exhibit 99.1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Has Been Filed with the SEC</w:t>
      </w:r>
    </w:p>
    <w:p>
      <w:pPr>
        <w:spacing w:after="0" w:line="270"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Copies of the Schedule TO and Prospectus/Offer to Exchange will be available free of charge at the website of the U.S. Securities and Exchange Commission (the “SEC”) at www.sec.gov. Requests for documents may also be directed to the D.F. King &amp; Co. at (888) 605-1958 (for warrant holders) or</w:t>
      </w:r>
    </w:p>
    <w:p>
      <w:pPr>
        <w:jc w:val="both"/>
        <w:ind w:firstLine="8"/>
        <w:spacing w:after="0" w:line="255" w:lineRule="auto"/>
        <w:tabs>
          <w:tab w:leader="none" w:pos="466" w:val="left"/>
        </w:tabs>
        <w:numPr>
          <w:ilvl w:val="0"/>
          <w:numId w:val="3"/>
        </w:numPr>
        <w:rPr>
          <w:rFonts w:ascii="Arial" w:cs="Arial" w:eastAsia="Arial" w:hAnsi="Arial"/>
          <w:sz w:val="18"/>
          <w:szCs w:val="18"/>
          <w:color w:val="auto"/>
        </w:rPr>
      </w:pPr>
      <w:r>
        <w:rPr>
          <w:rFonts w:ascii="Arial" w:cs="Arial" w:eastAsia="Arial" w:hAnsi="Arial"/>
          <w:sz w:val="18"/>
          <w:szCs w:val="18"/>
          <w:color w:val="auto"/>
        </w:rPr>
        <w:t>269-5550 (for banks and brokers) or via the following email address: opal@dfking.com. A registration statement on Form S-4 relating to the securities to be issued in the Offer has been filed with the SEC but has not yet become effective. Such securities may not be sold nor may offers to buy be accepted prior to the time the registration statement becomes effective.</w:t>
      </w:r>
    </w:p>
    <w:p>
      <w:pPr>
        <w:spacing w:after="0" w:line="2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announcement is for informational purposes only and shall not constitute an offer to purchase or a solicitation of an offer to sell the warrants or an offer to sell or a solicitation of an offer to buy any shares of Class A Common Stock in any state in which such offer, solicitation, or sale would be unlawful before registration or qualification under the laws of any such state. The Offer and Consent Solicitation are being made only through the Schedule TO and Prospectus/Offer to Exchange, and the complete terms and conditions of the Offer and Consent Solicitation are set forth in the Schedule TO and Prospectus/Offer to Exchange.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Cautionary Statement Regarding Forward-Looking Statements</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OPAL Fuels’ (the “Company”)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w:t>
      </w:r>
    </w:p>
    <w:p>
      <w:pPr>
        <w:sectPr>
          <w:pgSz w:w="11900" w:h="16838" w:orient="portrait"/>
          <w:cols w:equalWidth="0" w:num="1">
            <w:col w:w="11240"/>
          </w:cols>
          <w:pgMar w:left="320" w:top="1336" w:right="339" w:bottom="1440" w:gutter="0" w:footer="0" w:header="0"/>
        </w:sectPr>
      </w:pPr>
    </w:p>
    <w:bookmarkStart w:id="5" w:name="page6"/>
    <w:bookmarkEnd w:id="5"/>
    <w:p>
      <w:pPr>
        <w:jc w:val="both"/>
        <w:spacing w:after="0" w:line="251" w:lineRule="auto"/>
        <w:rPr>
          <w:sz w:val="20"/>
          <w:szCs w:val="20"/>
          <w:color w:val="auto"/>
        </w:rPr>
      </w:pPr>
      <w:r>
        <w:rPr>
          <w:rFonts w:ascii="Arial" w:cs="Arial" w:eastAsia="Arial" w:hAnsi="Arial"/>
          <w:sz w:val="17"/>
          <w:szCs w:val="17"/>
          <w:color w:val="auto"/>
        </w:rPr>
        <w:t>implied by such forward 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“Cautionary Statement Regarding Forward-Looking Statements” in the Company’s quarterly report on Form 10-Qfiled with the Securities and Exchange Commission (“SEC”) on November 14, 2022, and other filings it makes with the SEC.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Exhibit Number</w:t>
            </w:r>
          </w:p>
        </w:tc>
        <w:tc>
          <w:tcPr>
            <w:tcW w:w="20" w:type="dxa"/>
            <w:vAlign w:val="bottom"/>
          </w:tcPr>
          <w:p>
            <w:pPr>
              <w:spacing w:after="0"/>
              <w:rPr>
                <w:sz w:val="20"/>
                <w:szCs w:val="20"/>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40"/>
        </w:trPr>
        <w:tc>
          <w:tcPr>
            <w:tcW w:w="2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860" w:type="dxa"/>
            <w:vAlign w:val="bottom"/>
            <w:tcBorders>
              <w:bottom w:val="single" w:sz="8" w:color="auto"/>
            </w:tcBorders>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r>
      <w:tr>
        <w:trPr>
          <w:trHeight w:val="453"/>
        </w:trPr>
        <w:tc>
          <w:tcPr>
            <w:tcW w:w="2240" w:type="dxa"/>
            <w:vAlign w:val="bottom"/>
          </w:tcPr>
          <w:p>
            <w:pPr>
              <w:ind w:left="20"/>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80" w:type="dxa"/>
            <w:vAlign w:val="bottom"/>
            <w:gridSpan w:val="2"/>
          </w:tcPr>
          <w:p>
            <w:pPr>
              <w:spacing w:after="0"/>
              <w:rPr>
                <w:rFonts w:ascii="Arial" w:cs="Arial" w:eastAsia="Arial" w:hAnsi="Arial"/>
                <w:sz w:val="18"/>
                <w:szCs w:val="18"/>
                <w:color w:val="0000FF"/>
              </w:rPr>
            </w:pPr>
            <w:hyperlink r:id="rId9">
              <w:r>
                <w:rPr>
                  <w:rFonts w:ascii="Arial" w:cs="Arial" w:eastAsia="Arial" w:hAnsi="Arial"/>
                  <w:sz w:val="18"/>
                  <w:szCs w:val="18"/>
                  <w:color w:val="0000FF"/>
                </w:rPr>
                <w:t>Press release issued by OPAL Fuels Inc., dated November 18, 2022</w:t>
              </w:r>
            </w:hyperlink>
          </w:p>
        </w:tc>
      </w:tr>
      <w:tr>
        <w:trPr>
          <w:trHeight w:val="20"/>
        </w:trPr>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60" w:type="dxa"/>
            <w:vAlign w:val="bottom"/>
            <w:shd w:val="clear" w:color="auto" w:fill="0000FF"/>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bl>
    <w:p>
      <w:pPr>
        <w:sectPr>
          <w:pgSz w:w="11900" w:h="16838" w:orient="portrait"/>
          <w:cols w:equalWidth="0" w:num="1">
            <w:col w:w="11240"/>
          </w:cols>
          <w:pgMar w:left="320" w:top="108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Date: November 18, 2022</w:t>
      </w:r>
    </w:p>
    <w:p>
      <w:pPr>
        <w:spacing w:after="0" w:line="61" w:lineRule="exact"/>
        <w:rPr>
          <w:sz w:val="20"/>
          <w:szCs w:val="20"/>
          <w:color w:val="auto"/>
        </w:rPr>
      </w:pPr>
    </w:p>
    <w:p>
      <w:pPr>
        <w:ind w:left="5820"/>
        <w:spacing w:after="0"/>
        <w:rPr>
          <w:sz w:val="20"/>
          <w:szCs w:val="20"/>
          <w:color w:val="auto"/>
        </w:rPr>
      </w:pPr>
      <w:r>
        <w:rPr>
          <w:rFonts w:ascii="Arial" w:cs="Arial" w:eastAsia="Arial" w:hAnsi="Arial"/>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Ann Anthony</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Ann Anthony</w:t>
            </w:r>
          </w:p>
        </w:tc>
        <w:tc>
          <w:tcPr>
            <w:tcW w:w="0" w:type="dxa"/>
            <w:vAlign w:val="bottom"/>
          </w:tcPr>
          <w:p>
            <w:pPr>
              <w:spacing w:after="0"/>
              <w:rPr>
                <w:sz w:val="1"/>
                <w:szCs w:val="1"/>
                <w:color w:val="auto"/>
              </w:rPr>
            </w:pP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36" w:right="339" w:bottom="1440" w:gutter="0" w:footer="0" w:header="0"/>
        </w:sectPr>
      </w:pPr>
    </w:p>
    <w:bookmarkStart w:id="7" w:name="page8"/>
    <w:bookmarkEnd w:id="7"/>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hyperlink" Target="https://www.sec.gov/Archives/edgar/data/1842279/000184227922000047/opal-warrantexchangexannou.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2022-11-18T15:11:20Z</dcterms:created>
  <dcterms:modified xsi:type="dcterms:W3CDTF">2022-11-18T15:11:20Z</dcterms:modified>
</cp:coreProperties>
</file>