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424(b)(3)</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333-268455</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PROSPECTUS/OFFER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2757170</wp:posOffset>
            </wp:positionH>
            <wp:positionV relativeFrom="paragraph">
              <wp:posOffset>133985</wp:posOffset>
            </wp:positionV>
            <wp:extent cx="1597660" cy="375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7660" cy="375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OPAL FUELS INC.</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Offer to Exchange Warrants to Acquire Shares of Class A Common Stock</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Shares of Class A Common Stock</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Solicitation</w:t>
      </w:r>
    </w:p>
    <w:p>
      <w:pPr>
        <w:spacing w:after="0" w:line="177" w:lineRule="exact"/>
        <w:rPr>
          <w:sz w:val="24"/>
          <w:szCs w:val="24"/>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OFFER PERIOD (AS DEFINED BELOW) AND WITHDRAWAL RIGHTS WILL EXPIRE AT 11:59 P.M., EASTERN TIME, ON DECEMBER 16, 2022, OR SUCH LATER TIME AND DATE TO WHICH WE MAY EXTEND.</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the Offer and Consent Solicitation</w:t>
      </w:r>
    </w:p>
    <w:p>
      <w:pPr>
        <w:spacing w:after="0" w:line="194" w:lineRule="exact"/>
        <w:rPr>
          <w:sz w:val="24"/>
          <w:szCs w:val="24"/>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color w:val="auto"/>
        </w:rPr>
        <w:t>Until the Expiration Date (as defined below), we are offering to the holders of our outstanding warrants (collectively, the “</w:t>
      </w:r>
      <w:r>
        <w:rPr>
          <w:rFonts w:ascii="Times New Roman" w:cs="Times New Roman" w:eastAsia="Times New Roman" w:hAnsi="Times New Roman"/>
          <w:sz w:val="16"/>
          <w:szCs w:val="16"/>
          <w:i w:val="1"/>
          <w:iCs w:val="1"/>
          <w:color w:val="auto"/>
        </w:rPr>
        <w:t>warrants</w:t>
      </w:r>
      <w:r>
        <w:rPr>
          <w:rFonts w:ascii="Times New Roman" w:cs="Times New Roman" w:eastAsia="Times New Roman" w:hAnsi="Times New Roman"/>
          <w:sz w:val="16"/>
          <w:szCs w:val="16"/>
          <w:color w:val="auto"/>
        </w:rPr>
        <w:t>”) to purchase shares of Class A common stock, par value $0.0001 per share (“</w:t>
      </w:r>
      <w:r>
        <w:rPr>
          <w:rFonts w:ascii="Times New Roman" w:cs="Times New Roman" w:eastAsia="Times New Roman" w:hAnsi="Times New Roman"/>
          <w:sz w:val="16"/>
          <w:szCs w:val="16"/>
          <w:i w:val="1"/>
          <w:iCs w:val="1"/>
          <w:color w:val="auto"/>
        </w:rPr>
        <w:t>Class A common stock</w:t>
      </w:r>
      <w:r>
        <w:rPr>
          <w:rFonts w:ascii="Times New Roman" w:cs="Times New Roman" w:eastAsia="Times New Roman" w:hAnsi="Times New Roman"/>
          <w:sz w:val="16"/>
          <w:szCs w:val="16"/>
          <w:color w:val="auto"/>
        </w:rPr>
        <w:t>”), of OPAL Fuels Inc., a Delaware corporation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the opportunity to receive 0.250 shares of Class A common stock in exchange for each of our outstanding warrants tendered by the holder and exchanged pursuant to the offer (the “</w:t>
      </w:r>
      <w:r>
        <w:rPr>
          <w:rFonts w:ascii="Times New Roman" w:cs="Times New Roman" w:eastAsia="Times New Roman" w:hAnsi="Times New Roman"/>
          <w:sz w:val="16"/>
          <w:szCs w:val="16"/>
          <w:i w:val="1"/>
          <w:iCs w:val="1"/>
          <w:color w:val="auto"/>
        </w:rPr>
        <w:t>Offer</w:t>
      </w:r>
      <w:r>
        <w:rPr>
          <w:rFonts w:ascii="Times New Roman" w:cs="Times New Roman" w:eastAsia="Times New Roman" w:hAnsi="Times New Roman"/>
          <w:sz w:val="16"/>
          <w:szCs w:val="16"/>
          <w:color w:val="auto"/>
        </w:rPr>
        <w:t>”).</w:t>
      </w:r>
    </w:p>
    <w:p>
      <w:pPr>
        <w:spacing w:after="0" w:line="156" w:lineRule="exact"/>
        <w:rPr>
          <w:sz w:val="24"/>
          <w:szCs w:val="24"/>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Offer is being made to all holders of our warrants, including the public warrants and the private placement warrants (each as defined below). The warrants are governed by the warrant agreement, dated as of March 22, 2021 (the “</w:t>
      </w:r>
      <w:r>
        <w:rPr>
          <w:rFonts w:ascii="Times New Roman" w:cs="Times New Roman" w:eastAsia="Times New Roman" w:hAnsi="Times New Roman"/>
          <w:sz w:val="16"/>
          <w:szCs w:val="16"/>
          <w:i w:val="1"/>
          <w:iCs w:val="1"/>
          <w:color w:val="auto"/>
        </w:rPr>
        <w:t>Warrant Agreement</w:t>
      </w:r>
      <w:r>
        <w:rPr>
          <w:rFonts w:ascii="Times New Roman" w:cs="Times New Roman" w:eastAsia="Times New Roman" w:hAnsi="Times New Roman"/>
          <w:sz w:val="16"/>
          <w:szCs w:val="16"/>
          <w:color w:val="auto"/>
        </w:rPr>
        <w:t>”), by and between the Company (as successor to ArcLight Clean Transition Corp. II, our predecessor and a Cayman Islands exempted company (“</w:t>
      </w:r>
      <w:r>
        <w:rPr>
          <w:rFonts w:ascii="Times New Roman" w:cs="Times New Roman" w:eastAsia="Times New Roman" w:hAnsi="Times New Roman"/>
          <w:sz w:val="16"/>
          <w:szCs w:val="16"/>
          <w:i w:val="1"/>
          <w:iCs w:val="1"/>
          <w:color w:val="auto"/>
        </w:rPr>
        <w:t>Arclight</w:t>
      </w:r>
      <w:r>
        <w:rPr>
          <w:rFonts w:ascii="Times New Roman" w:cs="Times New Roman" w:eastAsia="Times New Roman" w:hAnsi="Times New Roman"/>
          <w:sz w:val="16"/>
          <w:szCs w:val="16"/>
          <w:color w:val="auto"/>
        </w:rPr>
        <w:t>”)) and Continental Stock Transfer &amp; Trust Company, as warrant agent. Our Class A common stock and public warrants are listed on The Nasdaq Capital Market (the “</w:t>
      </w:r>
      <w:r>
        <w:rPr>
          <w:rFonts w:ascii="Times New Roman" w:cs="Times New Roman" w:eastAsia="Times New Roman" w:hAnsi="Times New Roman"/>
          <w:sz w:val="16"/>
          <w:szCs w:val="16"/>
          <w:i w:val="1"/>
          <w:iCs w:val="1"/>
          <w:color w:val="auto"/>
        </w:rPr>
        <w:t>Nasdaq</w:t>
      </w:r>
      <w:r>
        <w:rPr>
          <w:rFonts w:ascii="Times New Roman" w:cs="Times New Roman" w:eastAsia="Times New Roman" w:hAnsi="Times New Roman"/>
          <w:sz w:val="16"/>
          <w:szCs w:val="16"/>
          <w:color w:val="auto"/>
        </w:rPr>
        <w:t>”) under the symbols “OPAL” and “OPALW,” respectively. As of November 16, 2022, a total of 15,446,494 warrants were outstanding, consisting of 6,223,233 public warrants and 9,223,261 private placement warrants. Pursuant to the Offer, we are offering up to an aggregate of 3,861,623 shares of our Class A common stock in exchange for the public warrants and private placement warrants.</w:t>
      </w:r>
    </w:p>
    <w:p>
      <w:pPr>
        <w:spacing w:after="0" w:line="164" w:lineRule="exact"/>
        <w:rPr>
          <w:sz w:val="24"/>
          <w:szCs w:val="24"/>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Each warrant holder whose warrants are exchanged pursuant to the Offer will receive 0.250 shares of our Class A common stock for each warrant tendered by such holder and exchanged. No fractional shares of Class A common stock will be issued pursuant to the Offer. In lieu of issuing fractional shares, any holder of warrants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Class A common stock on the Nasdaq on the last trading day of the Offer Period, less any applicable withholding taxes. Our obligation to complete the Offer is not conditioned on the receipt of a minimum number of tendered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370205</wp:posOffset>
            </wp:positionV>
            <wp:extent cx="714946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 w:name="page2"/>
    <w:bookmarkEnd w:id="1"/>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Concurrently with the Offer, we are also soliciting consents (the “</w:t>
      </w:r>
      <w:r>
        <w:rPr>
          <w:rFonts w:ascii="Times New Roman" w:cs="Times New Roman" w:eastAsia="Times New Roman" w:hAnsi="Times New Roman"/>
          <w:sz w:val="16"/>
          <w:szCs w:val="16"/>
          <w:i w:val="1"/>
          <w:iCs w:val="1"/>
          <w:color w:val="auto"/>
        </w:rPr>
        <w:t>Consent Solicitation</w:t>
      </w:r>
      <w:r>
        <w:rPr>
          <w:rFonts w:ascii="Times New Roman" w:cs="Times New Roman" w:eastAsia="Times New Roman" w:hAnsi="Times New Roman"/>
          <w:sz w:val="16"/>
          <w:szCs w:val="16"/>
          <w:color w:val="auto"/>
        </w:rPr>
        <w:t>”) from holders of the warrants to amend the Warrant Agreement (such amendment, the “</w:t>
      </w:r>
      <w:r>
        <w:rPr>
          <w:rFonts w:ascii="Times New Roman" w:cs="Times New Roman" w:eastAsia="Times New Roman" w:hAnsi="Times New Roman"/>
          <w:sz w:val="16"/>
          <w:szCs w:val="16"/>
          <w:i w:val="1"/>
          <w:iCs w:val="1"/>
          <w:color w:val="auto"/>
        </w:rPr>
        <w:t>Warrant Amendment</w:t>
      </w:r>
      <w:r>
        <w:rPr>
          <w:rFonts w:ascii="Times New Roman" w:cs="Times New Roman" w:eastAsia="Times New Roman" w:hAnsi="Times New Roman"/>
          <w:sz w:val="16"/>
          <w:szCs w:val="16"/>
          <w:color w:val="auto"/>
        </w:rPr>
        <w:t>”), which amendment will govern all of the warrants, to permit the Company to require that each warrant that is outstanding upon the closing of the Offer be exchanged for 0.225 shares of Class A common stock, which is a ratio 10% less than the exchange ratio applicable to the Offer. Pursuant to the terms of the Warrant Agreement, all except certain specified modifications or amendments require the vote or written consent of holders of at least 65% of each of (i) the outstanding public warrants and (ii) the outstanding private placement warrants.</w:t>
      </w:r>
    </w:p>
    <w:p>
      <w:pPr>
        <w:spacing w:after="0" w:line="163"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Parties representing approximately 53.3% of our outstanding public warrants and approximately 100% of our outstanding private placement warrants have agreed to tender their public warrants and private placement warrants (as applicable) in the Offer and to consent to the Warrant Amendment in the Consent Solicitation pursuant to a tender and support agreement (the “</w:t>
      </w:r>
      <w:r>
        <w:rPr>
          <w:rFonts w:ascii="Times New Roman" w:cs="Times New Roman" w:eastAsia="Times New Roman" w:hAnsi="Times New Roman"/>
          <w:sz w:val="16"/>
          <w:szCs w:val="16"/>
          <w:i w:val="1"/>
          <w:iCs w:val="1"/>
          <w:color w:val="auto"/>
        </w:rPr>
        <w:t>Tender and Support Agreement</w:t>
      </w:r>
      <w:r>
        <w:rPr>
          <w:rFonts w:ascii="Times New Roman" w:cs="Times New Roman" w:eastAsia="Times New Roman" w:hAnsi="Times New Roman"/>
          <w:sz w:val="16"/>
          <w:szCs w:val="16"/>
          <w:color w:val="auto"/>
        </w:rPr>
        <w:t>”). Accordingly, if holders of an additional approximately 11.7% of our outstanding public warrants consent to the Warrant Amendment in the Consent Solicitation, and the other conditions described herein are satisfied or waived, then the Warrant Amendment will be adopted. For additional detail regarding the Tender and Support Agreement, see “</w:t>
      </w:r>
      <w:r>
        <w:rPr>
          <w:rFonts w:ascii="Times New Roman" w:cs="Times New Roman" w:eastAsia="Times New Roman" w:hAnsi="Times New Roman"/>
          <w:sz w:val="16"/>
          <w:szCs w:val="16"/>
          <w:i w:val="1"/>
          <w:iCs w:val="1"/>
          <w:color w:val="auto"/>
        </w:rPr>
        <w:t>Market Information, Dividends, and Related Stockholder Matters—Transactions and Agreements Concerning Our Securities—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Tender and Support Agreement</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You may not consent to the Warrant Amendment without tendering your warrants in the Offer, and you may not tender such warrants without consenting to the Warrant Amendment. The consent to the Warrant Amendment is a part of the Letter of Transmittal and Consent (as defined below) relating to the warrants, and, therefore, by tendering your warrants for exchange you will be delivering to us your consent. You may revoke your consent at any time prior to the Expiration Date by withdrawing the warrants you have tendered in the Offer.</w:t>
      </w:r>
    </w:p>
    <w:p>
      <w:pPr>
        <w:spacing w:after="0" w:line="15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Offer and Consent Solicitation is made solely upon the terms and conditions in this prospectus/offer to exchange (this “</w:t>
      </w:r>
      <w:r>
        <w:rPr>
          <w:rFonts w:ascii="Times New Roman" w:cs="Times New Roman" w:eastAsia="Times New Roman" w:hAnsi="Times New Roman"/>
          <w:sz w:val="16"/>
          <w:szCs w:val="16"/>
          <w:i w:val="1"/>
          <w:iCs w:val="1"/>
          <w:color w:val="auto"/>
        </w:rPr>
        <w:t>Prospectus/Offer to Exchange</w:t>
      </w:r>
      <w:r>
        <w:rPr>
          <w:rFonts w:ascii="Times New Roman" w:cs="Times New Roman" w:eastAsia="Times New Roman" w:hAnsi="Times New Roman"/>
          <w:sz w:val="16"/>
          <w:szCs w:val="16"/>
          <w:color w:val="auto"/>
        </w:rPr>
        <w:t>”) and in the related letter of transmittal and consent (as it may be supplemented and amended from time to time, the “</w:t>
      </w:r>
      <w:r>
        <w:rPr>
          <w:rFonts w:ascii="Times New Roman" w:cs="Times New Roman" w:eastAsia="Times New Roman" w:hAnsi="Times New Roman"/>
          <w:sz w:val="16"/>
          <w:szCs w:val="16"/>
          <w:i w:val="1"/>
          <w:iCs w:val="1"/>
          <w:color w:val="auto"/>
        </w:rPr>
        <w:t>Letter of Transmittal and Consent</w:t>
      </w:r>
      <w:r>
        <w:rPr>
          <w:rFonts w:ascii="Times New Roman" w:cs="Times New Roman" w:eastAsia="Times New Roman" w:hAnsi="Times New Roman"/>
          <w:sz w:val="16"/>
          <w:szCs w:val="16"/>
          <w:color w:val="auto"/>
        </w:rPr>
        <w:t>”). The Offer and Consent Solicitation will be open until 11:59 p.m., Eastern Time, on December 16, 2022, or such later time and date to which we may extend the Offer and Consent Solicitation (the period during which the Offer and Consent Solicitation is open, giving effect to any withdrawal or extension, is referred to as the “</w:t>
      </w:r>
      <w:r>
        <w:rPr>
          <w:rFonts w:ascii="Times New Roman" w:cs="Times New Roman" w:eastAsia="Times New Roman" w:hAnsi="Times New Roman"/>
          <w:sz w:val="16"/>
          <w:szCs w:val="16"/>
          <w:i w:val="1"/>
          <w:iCs w:val="1"/>
          <w:color w:val="auto"/>
        </w:rPr>
        <w:t>Offer Period</w:t>
      </w:r>
      <w:r>
        <w:rPr>
          <w:rFonts w:ascii="Times New Roman" w:cs="Times New Roman" w:eastAsia="Times New Roman" w:hAnsi="Times New Roman"/>
          <w:sz w:val="16"/>
          <w:szCs w:val="16"/>
          <w:color w:val="auto"/>
        </w:rPr>
        <w:t>,” and the date and time at which the Offer Period ends is referred to as the “</w:t>
      </w:r>
      <w:r>
        <w:rPr>
          <w:rFonts w:ascii="Times New Roman" w:cs="Times New Roman" w:eastAsia="Times New Roman" w:hAnsi="Times New Roman"/>
          <w:sz w:val="16"/>
          <w:szCs w:val="16"/>
          <w:i w:val="1"/>
          <w:iCs w:val="1"/>
          <w:color w:val="auto"/>
        </w:rPr>
        <w:t>Expiration Date</w:t>
      </w:r>
      <w:r>
        <w:rPr>
          <w:rFonts w:ascii="Times New Roman" w:cs="Times New Roman" w:eastAsia="Times New Roman" w:hAnsi="Times New Roman"/>
          <w:sz w:val="16"/>
          <w:szCs w:val="16"/>
          <w:color w:val="auto"/>
        </w:rPr>
        <w:t>”). The Offer and Consent Solicitation is not made to those holders who reside in states or other jurisdictions where an offer, solicitation, or sale would be unlawful.</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to the Offer and Consent Solicitation are not satisfied or waived prior to the Expiration Date.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Promptly upon any such withdrawal, we will return the tendered warrants to the holders (and the related consent to the Warrant Amendment will be revoked).</w:t>
      </w:r>
    </w:p>
    <w:p>
      <w:pPr>
        <w:spacing w:after="0" w:line="177"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 approved, by following the instructions in this Prospectus/Offer to Exchange. In addition, tendered warrants that are not accepted by us for exchange by December 16, 2022 may thereafter be withdrawn by you until such time as the warrants are accepted by us for exchange. If you withdraw the tender of your warrants, your related consent to the Warrant Amendment will be withdrawn as a result.</w:t>
      </w:r>
    </w:p>
    <w:p>
      <w:pPr>
        <w:spacing w:after="0" w:line="15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Warrants not exchanged for shares of our Class A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exchange of all outstanding warrants to shares of Class A common stock as provided in the Warrant Amendment. Our public warrants are currently listed on the Nasdaq under the symbol “OPALW”; however, our public warrants may be delisted if, following the completion of the Offer and Consent Solicitation, the extent of public distribution or the aggregate market value of outstanding warrants has become so reduced as to make further listing inadvisable or unavailable.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369570</wp:posOffset>
            </wp:positionV>
            <wp:extent cx="714946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 w:name="page3"/>
    <w:bookmarkEnd w:id="2"/>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Offer and Consent Solicitation is conditioned upon the effectiveness of a registration statement on Form S-4 that we filed with the U.S. Securities and Exchange Commission (the “</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regarding the shares of Class A common stock issuable upon exchange of the warrants pursuant to the Offer. This Prospectus/Offer to Exchange forms a part of the registration statement.</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board of directors has approved the Offer and Consent Solicitation. However, neither we nor any of our management, our board of directors, or the information agent, the exchange agent, or the dealer manager for the Offer and Consent Solicitation is making any recommendation as to whether holders of warrants should tender warrants for exchange in the Offer and consent to the Warrant Amendment in the Consent Solicitation. Each holder of a warrant must make its own decision as to whether to exchange some or all of its warrants and consent to the Warrant Amendment.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questions concerning the terms of the Offer and Consent Solicitation should be directed to the dealer manager:</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All questions concerning exchange procedures and requests for additional copies of this Prospectus/Offer to Exchange, the Letter of Transmittal and Consent, or the Notice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Guaranteed Delivery should be directed to the information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D.F. King &amp; Co.,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7"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will amend our offering materials, including this Prospectus/Offer to Exchange, to the extent required by applicable securities laws to disclose any material changes to information previously published, sent, or given to warrant holders.</w:t>
      </w:r>
    </w:p>
    <w:p>
      <w:pPr>
        <w:spacing w:after="0" w:line="14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The securities offered by this Prospectus/Offer to Exchange involve risks. Before participating in the Offer and consenting to the Warrant Amendment, you are urged to read carefully the section entitled “Risk Factors” beginning on page 8 of this Prospectus/Offer to Exchange.</w:t>
      </w:r>
    </w:p>
    <w:p>
      <w:pPr>
        <w:spacing w:after="0" w:line="143"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Neither the SEC nor any state securities commission or any other regulatory body has approved or disapproved of these securities or determined if this Prospectus/Offer to Exchange is truthful or complete. Any representation to the contrary is a criminal offense.</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Through the Offer, we are soliciting your consent to the Warrant Amendment. By tendering your warrants, you will be delivering your consent to the proposed Warrant Amendment, which consent will be effective upon our acceptance of such warrants for exchange.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dealer manager for the Offer and Consent Solicitation is: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This Prospectus/Offer to Exchange is dated 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389890</wp:posOffset>
            </wp:positionV>
            <wp:extent cx="714946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20" w:type="dxa"/>
            <w:vAlign w:val="bottom"/>
          </w:tcPr>
          <w:p>
            <w:pPr>
              <w:spacing w:after="0"/>
              <w:rPr>
                <w:sz w:val="18"/>
                <w:szCs w:val="18"/>
                <w:color w:val="auto"/>
              </w:rPr>
            </w:pPr>
          </w:p>
        </w:tc>
      </w:tr>
      <w:tr>
        <w:trPr>
          <w:trHeight w:val="381"/>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ABOUT THIS PROSPECTUS/OFFER TO EXCHANGE</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ii</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SELECTED DEFINITIONS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ii</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CAUTIONARY NOTE REGARDING FORWARD LOOKING STATEMENTS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vii</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SUMMARY</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RISK FACTORS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8</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THE OFFER AND CONSENT SOLICITATION</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50</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BUSINESS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60</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UNAUDITED PRO FORMA CONDENSED COMBINED FINANCIAL STATEMENTS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77</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81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MANAGEMENT</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100</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EXECUTIVE COMPENSATION</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105</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MARKET INFORMATION, DIVIDENDS, AND RELATED STOCKHOLDER MATTERS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109</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MATERIAL U.S. FEDERAL INCOME TAX CONSEQUENCES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113</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DESCRIPTION OF SECURITIES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119</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CERTAIN RELATIONSHIPS AND RELATED PERSON TRANSACTIONS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133</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BENEFICIAL OWNERSHIP OF SECURITIES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139</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LEGAL MATTERS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141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EXPERTS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141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141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INDEX TO FINANCIAL STATEMENTS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3400" w:type="dxa"/>
            <w:vAlign w:val="bottom"/>
            <w:tcBorders>
              <w:bottom w:val="single" w:sz="8" w:color="0000EE"/>
            </w:tcBorders>
            <w:gridSpan w:val="14"/>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w w:val="97"/>
              </w:rPr>
              <w:t>ANNEX A - FORM OF WARRANT AMENDMENT</w:t>
            </w:r>
          </w:p>
        </w:tc>
        <w:tc>
          <w:tcPr>
            <w:tcW w:w="6840" w:type="dxa"/>
            <w:vAlign w:val="bottom"/>
            <w:tcBorders>
              <w:bottom w:val="single" w:sz="8" w:color="CCEEFF"/>
            </w:tcBorders>
            <w:gridSpan w:val="8"/>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A-1</w:t>
            </w:r>
          </w:p>
        </w:tc>
      </w:tr>
    </w:tbl>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PROSPECTUS/OFFER TO EXCHANGE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This Prospectus/Offer to Exchange is a part of the registration statement that we filed on Form S-4 with the SEC. You should read this Prospectus/Offer to Exchange, including the detailed information regarding the Company and our Class A common stock and warrants and the financial statements and the notes included herein, as well as any applicable prospectus supplement.</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have not authorized anyone to provide you with information different from that contained in this Prospectus/Offer to Exchange. We and the dealer manager take no responsibility for, and can provide no assurance as to the reliability of, any other information that others may give you. You should not assume that the information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Prospectus/Offer to Exchange to be an offer or solicitation relating to the securities offered hereby if the person making the offer or solicitation is not qualified to do so, or if it is unlawful for you to receive such an offer or solicitation.</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are making the Offer to all warrant holders except those holders who reside in states or other jurisdictions where an offer, solicitation, or sale would be unlawful (or would require further action in order to comply with applicable securities laws).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This document contains references to trademarks and service marks belonging to other entities. Solely for convenience, trademarks and trade names referred to in this Prospectus/Offer to Exchange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SELECTED DEFINITIONS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When used in this Prospectus/Offer to Exchange, unless the context otherwise requires:</w:t>
      </w:r>
    </w:p>
    <w:p>
      <w:pPr>
        <w:spacing w:after="0" w:line="192"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“ArcLight” refers to ArcLight Clean Transaction Corp. II, a blank check company incorporated as a Cayman Islands exempt company, and our previous name prior to the closing of the Business Combination.</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“Ares” refers to ARCC Beacon LLC, a Delaware limited liability company.</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“Business Combination” refers to the transaction contemplated by the BCA.</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“Bylaws” refers to the bylaws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“Charter” refers to the certificate of incorporation of OPAL.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5" w:name="page6"/>
    <w:bookmarkEnd w:id="5"/>
    <w:p>
      <w:pPr>
        <w:ind w:left="280"/>
        <w:spacing w:after="0"/>
        <w:rPr>
          <w:sz w:val="20"/>
          <w:szCs w:val="20"/>
          <w:color w:val="auto"/>
        </w:rPr>
      </w:pPr>
      <w:r>
        <w:rPr>
          <w:rFonts w:ascii="Times New Roman" w:cs="Times New Roman" w:eastAsia="Times New Roman" w:hAnsi="Times New Roman"/>
          <w:sz w:val="16"/>
          <w:szCs w:val="16"/>
          <w:i w:val="1"/>
          <w:iCs w:val="1"/>
          <w:color w:val="auto"/>
        </w:rPr>
        <w:t>“Class A common stock” refers to the shares of Class A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B common stock” refers to the shares of Class B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C common stock” refers to the shares of Class C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D common stock” refers to the shares of Class D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A Units” refers to the Class A Units as defined in the Second A&amp;R LLC Agreement.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B Units” refers to the Class B Units as defined in the Second A&amp;R LLC Agreement.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“Common Stock” refers to the collective shares of Class A common stock, Class B common stock, Class C common stock and Class D common stock.</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“Company”, “we”, “our”, “us” or similar terms refers to OPAL Fuels Inc. individually or on a consolidated basis, as the context may require.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“Exchange Act” refers to the Securities Exchange Act of 1934, as amended.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“Fortistar” refers to Fortistar LLC, a Delaware limited liability company.</w:t>
      </w:r>
    </w:p>
    <w:p>
      <w:pPr>
        <w:spacing w:after="0" w:line="194"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(as defined below).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“Hillman” refers to Hillman RNG Investments, LLC, a Delaware limited liability company.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“Investment Company Act” refers to the Investment Company Act of 1940, as amended.</w:t>
      </w:r>
    </w:p>
    <w:p>
      <w:pPr>
        <w:spacing w:after="0" w:line="194"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5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“IPO” refers to ArcLight’s initial public offering of its Class A ordinary shares and ArcLight Public Warrants pursuant to the IPO Registration Statement and completed on March 25, 2021.</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“IPO Registration Statement” refers to ArcLight’s registration statement on Form S-1, filed with the SEC (File No. 333-252730), on March 22, 2021.</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“Meteora” refers to Meteora Capital Partners and its affiliates.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6" w:name="page7"/>
    <w:bookmarkEnd w:id="6"/>
    <w:p>
      <w:pPr>
        <w:ind w:left="280"/>
        <w:spacing w:after="0"/>
        <w:rPr>
          <w:sz w:val="20"/>
          <w:szCs w:val="20"/>
          <w:color w:val="auto"/>
        </w:rPr>
      </w:pPr>
      <w:r>
        <w:rPr>
          <w:rFonts w:ascii="Times New Roman" w:cs="Times New Roman" w:eastAsia="Times New Roman" w:hAnsi="Times New Roman"/>
          <w:sz w:val="16"/>
          <w:szCs w:val="16"/>
          <w:i w:val="1"/>
          <w:iCs w:val="1"/>
          <w:color w:val="auto"/>
        </w:rPr>
        <w:t>“Nasdaq” refers to the Nasdaq Capital Market.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“NextEra” refers to Mendocino Capital, LLC, a Delaware limited liability company.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“OPAL” and “OPAL Fuels” refers to OPAL Fuels Inc., a Delaware corporation.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“our Board” refers to our board of directors.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“OPAL Holdco” refers to OPAL Holdco LLC, a Delaware limited liability.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“OPAL Preferred Stock” refers to our shares of preferred stock, par value $0.0001 per share.</w:t>
      </w:r>
    </w:p>
    <w:p>
      <w:pPr>
        <w:spacing w:after="0" w:line="194" w:lineRule="exact"/>
        <w:rPr>
          <w:sz w:val="20"/>
          <w:szCs w:val="20"/>
          <w:color w:val="auto"/>
        </w:rPr>
      </w:pPr>
    </w:p>
    <w:p>
      <w:pPr>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“Private Placement Warrants” refers to the 9,223,261 redeemable warrants that were exchanged for the ArcLight Private Placement Warrants in connection with the closing of the Business Combination, entitling the holder thereof to purchase Class A common stock.</w:t>
      </w:r>
    </w:p>
    <w:p>
      <w:pPr>
        <w:spacing w:after="0" w:line="141" w:lineRule="exact"/>
        <w:rPr>
          <w:sz w:val="20"/>
          <w:szCs w:val="20"/>
          <w:color w:val="auto"/>
        </w:rPr>
      </w:pPr>
    </w:p>
    <w:p>
      <w:pPr>
        <w:ind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“Public Warrants” refers to the 6,223,233 redeemable warrants exchanged for the ArcLight Public Warrants in connection with the closing of the Business Combination, entitling the holder thereof to purchase Class A common stock.</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“Warrants” refers collectively to the Private Placement Warrants together with the Public Warrants.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“Opco” refers to OPAL Fuels LLC, a Delaware limited liability company.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“Opco Common Equityholders” refers to OPAL Holdco and Hillman.</w:t>
      </w:r>
    </w:p>
    <w:p>
      <w:pPr>
        <w:spacing w:after="0" w:line="194" w:lineRule="exact"/>
        <w:rPr>
          <w:sz w:val="20"/>
          <w:szCs w:val="20"/>
          <w:color w:val="auto"/>
        </w:rPr>
      </w:pPr>
    </w:p>
    <w:p>
      <w:pPr>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“Opco Common Units” refers to the Class B Units resulting from the re-classification of the collective Opco common units existing immediately prior to the closing of the Business Combination.</w:t>
      </w:r>
    </w:p>
    <w:p>
      <w:pPr>
        <w:spacing w:after="0" w:line="141" w:lineRule="exact"/>
        <w:rPr>
          <w:sz w:val="20"/>
          <w:szCs w:val="20"/>
          <w:color w:val="auto"/>
        </w:rPr>
      </w:pPr>
    </w:p>
    <w:p>
      <w:pPr>
        <w:ind w:left="280" w:right="4500"/>
        <w:spacing w:after="0" w:line="493" w:lineRule="auto"/>
        <w:rPr>
          <w:sz w:val="20"/>
          <w:szCs w:val="20"/>
          <w:color w:val="auto"/>
        </w:rPr>
      </w:pPr>
      <w:r>
        <w:rPr>
          <w:rFonts w:ascii="Times New Roman" w:cs="Times New Roman" w:eastAsia="Times New Roman" w:hAnsi="Times New Roman"/>
          <w:sz w:val="16"/>
          <w:szCs w:val="16"/>
          <w:i w:val="1"/>
          <w:iCs w:val="1"/>
          <w:color w:val="auto"/>
        </w:rPr>
        <w:t>“Series A Preferred Units” refers to the 1,000,000 Series A preferred units of Opco held by NextEra. “Series A-1 Preferred Units” refers to the 300,000 Series A-1 preferred units of Opco held by Hillman. “Organizational Documents” refers to the Charter and the Bylaws;</w:t>
      </w:r>
    </w:p>
    <w:p>
      <w:pPr>
        <w:ind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41" w:lineRule="exact"/>
        <w:rPr>
          <w:sz w:val="20"/>
          <w:szCs w:val="20"/>
          <w:color w:val="auto"/>
        </w:rPr>
      </w:pPr>
    </w:p>
    <w:p>
      <w:pPr>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“PIPE Investment” refers to the PIPE Investors that purchased a total of 11,080,600 shares of Class A common stock in connection with the closing of the Business Combination at a cash purchase price of $10.00 per share pursuant to the Subscription Agreements.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“PIPE Investors” refers, collectively, to the institutional and accredited investors that entered into Subscription Agreements with ArcLight.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“Sarbanes-Oxley Act” refers to the Sarbanes-Oxley Act of 2002.</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“SEC” refers to the U.S. Securities and Exchange Commission.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“Second A&amp;R LLC Agreement” refers to the Second Amended and Restated Limited Liability Company Agreement of Opco.</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“Securities Act” refers to the Securities Act of 1933, as amended.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“Sponsor” refers to ArcLight CTC Holdings II, L.P., a Delaware limited partnership.</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7" w:name="page8"/>
    <w:bookmarkEnd w:id="7"/>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41"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i w:val="1"/>
          <w:iCs w:val="1"/>
          <w:color w:val="auto"/>
        </w:rPr>
        <w:t>“Tax Receivable Agreement” refers to the Tax Receivable Agreement, dated July 21, 2022, by and among OPAL Fuels Inc, Opal Holdco LLC and the Tax Receivable Agreement Parties named therein as included in Exhibit 10.6 to the Current Report on Form 8-K, filed with the SEC on July 29, 2021, as the same may be amended, modified, supplemented or waived from time to time in accordance with its terms.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addition, the following is a glossary of key industry terms used herein:</w:t>
      </w:r>
    </w:p>
    <w:p>
      <w:pPr>
        <w:spacing w:after="0" w:line="192"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“Advanced Clean Trucks Regulation” refers to the rules adopted by the California Air Resources Board on June 25, 2020 requiring the sale of zero-emission heavy-duty trucks.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“ADG” refers to anaerobic digester gas.</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“BOD” refers to biochemical oxygen demand.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“Btu” refers to British thermal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“CARB” refers to the California Air Resources Board.</w:t>
      </w:r>
    </w:p>
    <w:p>
      <w:pPr>
        <w:spacing w:after="0" w:line="172"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i w:val="1"/>
          <w:iCs w:val="1"/>
          <w:color w:val="auto"/>
        </w:rPr>
        <w:t>“CO</w:t>
      </w:r>
      <w:r>
        <w:rPr>
          <w:rFonts w:ascii="MS PGothic" w:cs="MS PGothic" w:eastAsia="MS PGothic" w:hAnsi="MS PGothic"/>
          <w:sz w:val="16"/>
          <w:szCs w:val="16"/>
          <w:i w:val="1"/>
          <w:iCs w:val="1"/>
          <w:color w:val="auto"/>
        </w:rPr>
        <w:t>₂</w:t>
      </w:r>
      <w:r>
        <w:rPr>
          <w:rFonts w:ascii="Times New Roman" w:cs="Times New Roman" w:eastAsia="Times New Roman" w:hAnsi="Times New Roman"/>
          <w:sz w:val="16"/>
          <w:szCs w:val="16"/>
          <w:i w:val="1"/>
          <w:iCs w:val="1"/>
          <w:color w:val="auto"/>
        </w:rPr>
        <w:t>” refers to carbon dioxide.</w:t>
      </w:r>
    </w:p>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“CNG” refers to compressed natural gas.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“CI” refers to carbon intensity.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“D3” refers to cellulosic biofuel with a 60% GHG reduction requirement.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“EHS” refers to environment, health and safety.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“EISA” refers to Energy Independence and Security Act of 2007.</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“EPA” refers to the U.S. Environmental Protection Agency.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“EPACT 2005” refers to the Energy Policy Act of 2005.</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“FERC” refers to the U.S. Federal Energy Regulatory Commission.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“GHG” refers to greenhouse gases.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“ISOs” refers to Independent System Operators.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“LCFS” refers to Low Carbon Fuel Standard or similar types of federal and state programs.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“LFG” refers to landfill gas.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8" w:name="page9"/>
    <w:bookmarkEnd w:id="8"/>
    <w:p>
      <w:pPr>
        <w:jc w:val="both"/>
        <w:ind w:firstLine="283"/>
        <w:spacing w:after="0" w:line="262" w:lineRule="auto"/>
        <w:rPr>
          <w:sz w:val="20"/>
          <w:szCs w:val="20"/>
          <w:color w:val="auto"/>
        </w:rPr>
      </w:pPr>
      <w:r>
        <w:rPr>
          <w:rFonts w:ascii="Times New Roman" w:cs="Times New Roman" w:eastAsia="Times New Roman" w:hAnsi="Times New Roman"/>
          <w:sz w:val="16"/>
          <w:szCs w:val="16"/>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“Obligated Parties” means refiners or importers of gasoline or diesel fuel under the RFS program.</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“QFs” refers to qualifying small power production facilities under the Federal Power Act and the Public Utility Regulatory Policies Act of 1978, as amended.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“RECs” refers to Renewable Energy Credits.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“Renewable Power” refers to electricity generated from renewable sources.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“RFS” refers to the EPA’s Renewable Fuel Standard.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“RINs” refers to Renewable Identification Numbers.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“RNG” refers to renewable natural gas.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“RPS” refers to Renewable Portfolio Standards.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“RTOs” refers to Regional Transmission Organizations.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“RVOs” refers to renewable volume obligations.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“September 2020 Executive Order” refers to Executive Order N-79-20 issued by the Governor of the State of California in September 2020.</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CAUTIONARY NOTE REGARDING FORWARD LOOKING STATEMENTS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Certain statements made in this Prospectus/Offer to Exchange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64" w:lineRule="exact"/>
        <w:rPr>
          <w:sz w:val="20"/>
          <w:szCs w:val="20"/>
          <w:color w:val="auto"/>
        </w:rPr>
      </w:pPr>
    </w:p>
    <w:p>
      <w:pPr>
        <w:ind w:left="560" w:right="20" w:hanging="282"/>
        <w:spacing w:after="0" w:line="275"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retaining or recruiting, our principal officers, key employees or directors;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intense competition and competitive pressures from other companies in the industry in which we operate;</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costs of, or delays in obtaining, key components or labor for the construction and completion of LFG and livestock waste projects that generate electricity and renewable natural gas (“</w:t>
      </w:r>
      <w:r>
        <w:rPr>
          <w:rFonts w:ascii="Times New Roman" w:cs="Times New Roman" w:eastAsia="Times New Roman" w:hAnsi="Times New Roman"/>
          <w:sz w:val="16"/>
          <w:szCs w:val="16"/>
          <w:i w:val="1"/>
          <w:iCs w:val="1"/>
          <w:color w:val="auto"/>
        </w:rPr>
        <w:t>RNG</w:t>
      </w:r>
      <w:r>
        <w:rPr>
          <w:rFonts w:ascii="Times New Roman" w:cs="Times New Roman" w:eastAsia="Times New Roman" w:hAnsi="Times New Roman"/>
          <w:sz w:val="16"/>
          <w:szCs w:val="16"/>
          <w:color w:val="auto"/>
        </w:rPr>
        <w:t>”) and compressed natural gas (“</w:t>
      </w:r>
      <w:r>
        <w:rPr>
          <w:rFonts w:ascii="Times New Roman" w:cs="Times New Roman" w:eastAsia="Times New Roman" w:hAnsi="Times New Roman"/>
          <w:sz w:val="16"/>
          <w:szCs w:val="16"/>
          <w:i w:val="1"/>
          <w:iCs w:val="1"/>
          <w:color w:val="auto"/>
        </w:rPr>
        <w:t>CNG</w:t>
      </w:r>
      <w:r>
        <w:rPr>
          <w:rFonts w:ascii="Times New Roman" w:cs="Times New Roman" w:eastAsia="Times New Roman" w:hAnsi="Times New Roman"/>
          <w:sz w:val="16"/>
          <w:szCs w:val="16"/>
          <w:color w:val="auto"/>
        </w:rPr>
        <w:t>”) and hydrogen dispensing stations;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relating to our business, operations and financial performance, including market conditions and global and economic factors beyond our control;</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related to the global COVID-19 pandemic;</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reduction or elimination of government economic incentives to the renewable energy market;</w:t>
      </w:r>
    </w:p>
    <w:p>
      <w:pPr>
        <w:spacing w:after="0" w:line="194"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LCFS credits and other incentives;</w:t>
      </w:r>
    </w:p>
    <w:p>
      <w:pPr>
        <w:spacing w:after="0" w:line="16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identify, acquire, develop and operate renewable projects and Fueling Stations;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issue equity or equity-linked securities or obtain debt financing;</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renewable energy not being sustained;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impacts of climate change, changing weather patterns and conditions and natural disasters;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legal, tax and regulatory changes; and</w:t>
      </w:r>
    </w:p>
    <w:p>
      <w:pPr>
        <w:spacing w:after="0" w:line="19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detailed under the section entitled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405130</wp:posOffset>
            </wp:positionV>
            <wp:extent cx="7154545" cy="4949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4545" cy="4949190"/>
                    </a:xfrm>
                    <a:prstGeom prst="rect">
                      <a:avLst/>
                    </a:prstGeom>
                    <a:noFill/>
                  </pic:spPr>
                </pic:pic>
              </a:graphicData>
            </a:graphic>
          </wp:anchor>
        </w:drawing>
        <w:t>SUMMARY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Offer and Consent Solicitation</w:t>
      </w:r>
    </w:p>
    <w:p>
      <w:pPr>
        <w:spacing w:after="0" w:line="194" w:lineRule="exact"/>
        <w:rPr>
          <w:sz w:val="20"/>
          <w:szCs w:val="20"/>
          <w:color w:val="auto"/>
        </w:rPr>
      </w:pPr>
    </w:p>
    <w:p>
      <w:pPr>
        <w:jc w:val="both"/>
        <w:ind w:left="120" w:right="120" w:firstLine="567"/>
        <w:spacing w:after="0" w:line="254" w:lineRule="auto"/>
        <w:rPr>
          <w:sz w:val="20"/>
          <w:szCs w:val="20"/>
          <w:color w:val="auto"/>
        </w:rPr>
      </w:pPr>
      <w:r>
        <w:rPr>
          <w:rFonts w:ascii="Times New Roman" w:cs="Times New Roman" w:eastAsia="Times New Roman" w:hAnsi="Times New Roman"/>
          <w:sz w:val="16"/>
          <w:szCs w:val="16"/>
          <w:i w:val="1"/>
          <w:iCs w:val="1"/>
          <w:color w:val="auto"/>
        </w:rPr>
        <w:t>This summary provides a brief overview of the key aspects of the Offer and Consent Solicitation. Because it is only a summary, it does not contain all of the detailed information contained elsewhere in this Prospectus/Offer to Exchange or included as exhibits to the registration statement that contains this Prospectus/Offer to Exchange. Accordingly, you are urged to carefully review this Prospectus/Offer to Exchange in its entirety (including all documents filed as exhibits to the registration statement that contains this Prospectus/Offer to Exchange, which exhibits may be obtained by following the procedures set forth herein in the section entitled “Where You Can Find More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Summary of the Offer and Consent Solicitation</w:t>
            </w:r>
          </w:p>
        </w:tc>
        <w:tc>
          <w:tcPr>
            <w:tcW w:w="110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378"/>
        </w:trPr>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The Company</w:t>
            </w: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OPAL Fuels Inc.</w:t>
            </w:r>
          </w:p>
        </w:tc>
      </w:tr>
      <w:tr>
        <w:trPr>
          <w:trHeight w:val="361"/>
        </w:trPr>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Warrants that Qualify for the Offer</w:t>
            </w: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As of November 16, 2022, we had outstanding an aggregate of 15,446,494 warrants, consisting of 6,223,233</w:t>
            </w:r>
          </w:p>
        </w:tc>
      </w:tr>
      <w:tr>
        <w:trPr>
          <w:trHeight w:val="189"/>
        </w:trPr>
        <w:tc>
          <w:tcPr>
            <w:tcW w:w="364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public warrants and 9,223,261 private placement warrants, each exercisable for one share of our Class A</w:t>
            </w:r>
          </w:p>
        </w:tc>
      </w:tr>
      <w:tr>
        <w:trPr>
          <w:trHeight w:val="189"/>
        </w:trPr>
        <w:tc>
          <w:tcPr>
            <w:tcW w:w="364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99"/>
              </w:rPr>
              <w:t>common stock at a price of $11.50 per share, subject to adjustments pursuant to the Warrant Agreement. Pursuant</w:t>
            </w:r>
          </w:p>
        </w:tc>
      </w:tr>
      <w:tr>
        <w:trPr>
          <w:trHeight w:val="189"/>
        </w:trPr>
        <w:tc>
          <w:tcPr>
            <w:tcW w:w="364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 the Offer, we are offering up to an aggregate of 3,861,623 shares of our Class A common stock in exchange</w:t>
            </w:r>
          </w:p>
        </w:tc>
      </w:tr>
      <w:tr>
        <w:trPr>
          <w:trHeight w:val="206"/>
        </w:trPr>
        <w:tc>
          <w:tcPr>
            <w:tcW w:w="364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for all of our outstanding warrants.</w:t>
            </w:r>
          </w:p>
        </w:tc>
      </w:tr>
      <w:tr>
        <w:trPr>
          <w:trHeight w:val="378"/>
        </w:trPr>
        <w:tc>
          <w:tcPr>
            <w:tcW w:w="3640" w:type="dxa"/>
            <w:vAlign w:val="bottom"/>
          </w:tcPr>
          <w:p>
            <w:pPr>
              <w:spacing w:after="0"/>
              <w:rPr>
                <w:sz w:val="24"/>
                <w:szCs w:val="24"/>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Under the Warrant Agreement, we may call the public warrants for redemption at our option:</w:t>
            </w:r>
          </w:p>
        </w:tc>
      </w:tr>
      <w:tr>
        <w:trPr>
          <w:trHeight w:val="378"/>
        </w:trPr>
        <w:tc>
          <w:tcPr>
            <w:tcW w:w="3640" w:type="dxa"/>
            <w:vAlign w:val="bottom"/>
          </w:tcPr>
          <w:p>
            <w:pPr>
              <w:spacing w:after="0"/>
              <w:rPr>
                <w:sz w:val="24"/>
                <w:szCs w:val="24"/>
                <w:color w:val="auto"/>
              </w:rPr>
            </w:pPr>
          </w:p>
        </w:tc>
        <w:tc>
          <w:tcPr>
            <w:tcW w:w="76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in whole and not in part;</w:t>
            </w:r>
          </w:p>
        </w:tc>
      </w:tr>
      <w:tr>
        <w:trPr>
          <w:trHeight w:val="361"/>
        </w:trPr>
        <w:tc>
          <w:tcPr>
            <w:tcW w:w="3640" w:type="dxa"/>
            <w:vAlign w:val="bottom"/>
          </w:tcPr>
          <w:p>
            <w:pPr>
              <w:spacing w:after="0"/>
              <w:rPr>
                <w:sz w:val="24"/>
                <w:szCs w:val="24"/>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upon a minimum of 30 days’ prior written notice of redemption (the “</w:t>
            </w:r>
            <w:r>
              <w:rPr>
                <w:rFonts w:ascii="Times New Roman" w:cs="Times New Roman" w:eastAsia="Times New Roman" w:hAnsi="Times New Roman"/>
                <w:sz w:val="16"/>
                <w:szCs w:val="16"/>
                <w:i w:val="1"/>
                <w:iCs w:val="1"/>
                <w:color w:val="auto"/>
              </w:rPr>
              <w:t>30-day redemption period</w:t>
            </w:r>
            <w:r>
              <w:rPr>
                <w:rFonts w:ascii="Times New Roman" w:cs="Times New Roman" w:eastAsia="Times New Roman" w:hAnsi="Times New Roman"/>
                <w:sz w:val="16"/>
                <w:szCs w:val="16"/>
                <w:color w:val="auto"/>
              </w:rPr>
              <w:t>”)</w:t>
            </w:r>
          </w:p>
        </w:tc>
      </w:tr>
      <w:tr>
        <w:trPr>
          <w:trHeight w:val="206"/>
        </w:trPr>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each warrant holder;</w:t>
            </w:r>
          </w:p>
        </w:tc>
      </w:tr>
      <w:tr>
        <w:trPr>
          <w:trHeight w:val="361"/>
        </w:trPr>
        <w:tc>
          <w:tcPr>
            <w:tcW w:w="3640" w:type="dxa"/>
            <w:vAlign w:val="bottom"/>
          </w:tcPr>
          <w:p>
            <w:pPr>
              <w:spacing w:after="0"/>
              <w:rPr>
                <w:sz w:val="24"/>
                <w:szCs w:val="24"/>
                <w:color w:val="auto"/>
              </w:rPr>
            </w:pPr>
          </w:p>
        </w:tc>
        <w:tc>
          <w:tcPr>
            <w:tcW w:w="76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at a price of $0.01 per warrant if, and only if, the last reported sales price of our Class A common</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equals or exceeds $18.00 per  share  (as  adjusted  for  stock  splits,  stock  dividends,</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reorganizations, recapitalizations, and the like) for any 20 trading days within a 30-trading day</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period ending on the third trading day prior to the date on which we send notice of the redemption</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warrant holders; provided that there is an effective registration statement covering the shares of</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common stock issuable upon exercise of the warrants, and a current prospectus relating</w:t>
            </w:r>
          </w:p>
        </w:tc>
      </w:tr>
      <w:tr>
        <w:trPr>
          <w:trHeight w:val="206"/>
        </w:trPr>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thereto, available throughout the 30-day redemption period; and</w:t>
            </w:r>
          </w:p>
        </w:tc>
      </w:tr>
      <w:tr>
        <w:trPr>
          <w:trHeight w:val="361"/>
        </w:trPr>
        <w:tc>
          <w:tcPr>
            <w:tcW w:w="3640" w:type="dxa"/>
            <w:vAlign w:val="bottom"/>
          </w:tcPr>
          <w:p>
            <w:pPr>
              <w:spacing w:after="0"/>
              <w:rPr>
                <w:sz w:val="24"/>
                <w:szCs w:val="24"/>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 a price of $0.10 per warrant if, and only if, the last reported sales price of our Class A common</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equals or exceeds $10.00 per share (as adjusted for stock splits, stock dividends,</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reorganizations, recapitalizations, and the like) for any 20 trading days within the 30-trading day</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period ending on the third trading day prior to the date on which we send notice of the redemption</w:t>
            </w:r>
          </w:p>
        </w:tc>
      </w:tr>
      <w:tr>
        <w:trPr>
          <w:trHeight w:val="206"/>
        </w:trPr>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warrant holders.</w:t>
            </w:r>
          </w:p>
        </w:tc>
      </w:tr>
      <w:tr>
        <w:trPr>
          <w:trHeight w:val="96"/>
        </w:trPr>
        <w:tc>
          <w:tcPr>
            <w:tcW w:w="36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520" w:type="dxa"/>
            <w:vAlign w:val="bottom"/>
            <w:tcBorders>
              <w:bottom w:val="single" w:sz="8" w:color="auto"/>
            </w:tcBorders>
          </w:tcPr>
          <w:p>
            <w:pPr>
              <w:spacing w:after="0"/>
              <w:rPr>
                <w:sz w:val="8"/>
                <w:szCs w:val="8"/>
                <w:color w:val="auto"/>
              </w:rPr>
            </w:pPr>
          </w:p>
        </w:tc>
      </w:tr>
      <w:tr>
        <w:trPr>
          <w:trHeight w:val="383"/>
        </w:trPr>
        <w:tc>
          <w:tcPr>
            <w:tcW w:w="3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1</w:t>
            </w:r>
          </w:p>
        </w:tc>
      </w:tr>
    </w:tbl>
    <w:p>
      <w:pPr>
        <w:sectPr>
          <w:pgSz w:w="11900" w:h="16838" w:orient="portrait"/>
          <w:cols w:equalWidth="0" w:num="1">
            <w:col w:w="11260"/>
          </w:cols>
          <w:pgMar w:left="320" w:top="735"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3280" w:type="dxa"/>
            <w:vAlign w:val="bottom"/>
            <w:tcBorders>
              <w:top w:val="single" w:sz="8" w:color="auto"/>
              <w:left w:val="single" w:sz="8" w:color="auto"/>
            </w:tcBorders>
          </w:tcPr>
          <w:p>
            <w:pPr>
              <w:spacing w:after="0"/>
              <w:rPr>
                <w:sz w:val="24"/>
                <w:szCs w:val="24"/>
                <w:color w:val="auto"/>
              </w:rPr>
            </w:pPr>
          </w:p>
        </w:tc>
        <w:tc>
          <w:tcPr>
            <w:tcW w:w="798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private placement warrants will not be redeemable by us (except as described below under “</w:t>
            </w:r>
            <w:r>
              <w:rPr>
                <w:rFonts w:ascii="Times New Roman" w:cs="Times New Roman" w:eastAsia="Times New Roman" w:hAnsi="Times New Roman"/>
                <w:sz w:val="16"/>
                <w:szCs w:val="16"/>
                <w:i w:val="1"/>
                <w:iCs w:val="1"/>
                <w:color w:val="auto"/>
              </w:rPr>
              <w:t>Description of</w:t>
            </w:r>
          </w:p>
        </w:tc>
      </w:tr>
      <w:tr>
        <w:trPr>
          <w:trHeight w:val="191"/>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i w:val="1"/>
                <w:iCs w:val="1"/>
                <w:color w:val="auto"/>
              </w:rPr>
              <w:t xml:space="preserve">Securities—Redemption of Public Warrants When the Price Per Share of Class A Common Stock Equals </w:t>
            </w:r>
            <w:r>
              <w:rPr>
                <w:rFonts w:ascii="Times New Roman" w:cs="Times New Roman" w:eastAsia="Times New Roman" w:hAnsi="Times New Roman"/>
                <w:sz w:val="16"/>
                <w:szCs w:val="16"/>
                <w:color w:val="auto"/>
              </w:rPr>
              <w:t>or</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Exceeds $10.00”) so long as they are held by ArcLight CTC Holdings II, L.P., a Delaware limited partnership</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“Sponsor”), members of the Sponsor, or their permitted transferees. The Sponsor or its permitted transferees</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have the option to exercise the private placement warrants on a cashless basis. If the private placement warrants</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are held by holders other than the Sponsor or its permitted transferees, the private placement warrants will be</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redeemable by us in all redemption scenarios and exercisable by the holders on the same basis as the public</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warrants. If holders of the private placement warrants elect to exercise them on a cashless basis, they would pay</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exercise price by surrendering his, her or its warrants for that number of shares of our Class A common stock</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equal to the quotient obtained by dividing (x) the product of the number of shares of our Class A common stock</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underlying the warrants, multiplied by the excess of the sponsor exercise fair market value (defined below) over</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exercise price of the warrants by (y) the sponsor exercise fair market value.</w:t>
            </w:r>
          </w:p>
        </w:tc>
      </w:tr>
      <w:tr>
        <w:trPr>
          <w:trHeight w:val="361"/>
        </w:trPr>
        <w:tc>
          <w:tcPr>
            <w:tcW w:w="32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i w:val="1"/>
                <w:iCs w:val="1"/>
                <w:color w:val="auto"/>
              </w:rPr>
              <w:t>sponsor exercise fair market value</w:t>
            </w:r>
            <w:r>
              <w:rPr>
                <w:rFonts w:ascii="Times New Roman" w:cs="Times New Roman" w:eastAsia="Times New Roman" w:hAnsi="Times New Roman"/>
                <w:sz w:val="16"/>
                <w:szCs w:val="16"/>
                <w:color w:val="auto"/>
              </w:rPr>
              <w:t>” will mean the average last reported sale price of the shares of our Class</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A common stock for the ten trading days ending on the third trading day prior to the date on which the notice of</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warrant exercise is sent to Continental Stock Transfer &amp; Trust Company.</w:t>
            </w:r>
          </w:p>
        </w:tc>
      </w:tr>
      <w:tr>
        <w:trPr>
          <w:trHeight w:val="378"/>
        </w:trPr>
        <w:tc>
          <w:tcPr>
            <w:tcW w:w="32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warrants expire on July 21, 2027, subject to certain terms and conditions.</w:t>
            </w:r>
          </w:p>
        </w:tc>
      </w:tr>
      <w:tr>
        <w:trPr>
          <w:trHeight w:val="359"/>
        </w:trPr>
        <w:tc>
          <w:tcPr>
            <w:tcW w:w="3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Market Price of Our Common Stock</w:t>
            </w: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Our Class A common stock and public warrants are listed on the Nasdaq under the symbols “OPAL” and</w:t>
            </w:r>
          </w:p>
        </w:tc>
      </w:tr>
      <w:tr>
        <w:trPr>
          <w:trHeight w:val="208"/>
        </w:trPr>
        <w:tc>
          <w:tcPr>
            <w:tcW w:w="32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“OPALW,” respectively. See “</w:t>
            </w:r>
            <w:r>
              <w:rPr>
                <w:rFonts w:ascii="Times New Roman" w:cs="Times New Roman" w:eastAsia="Times New Roman" w:hAnsi="Times New Roman"/>
                <w:sz w:val="16"/>
                <w:szCs w:val="16"/>
                <w:i w:val="1"/>
                <w:iCs w:val="1"/>
                <w:color w:val="auto"/>
              </w:rPr>
              <w:t>Market Information, Dividends, and Related Stockholder Matters</w:t>
            </w:r>
            <w:r>
              <w:rPr>
                <w:rFonts w:ascii="Times New Roman" w:cs="Times New Roman" w:eastAsia="Times New Roman" w:hAnsi="Times New Roman"/>
                <w:sz w:val="16"/>
                <w:szCs w:val="16"/>
                <w:color w:val="auto"/>
              </w:rPr>
              <w:t>.”</w:t>
            </w:r>
          </w:p>
        </w:tc>
      </w:tr>
      <w:tr>
        <w:trPr>
          <w:trHeight w:val="361"/>
        </w:trPr>
        <w:tc>
          <w:tcPr>
            <w:tcW w:w="3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The Offer</w:t>
            </w: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Each warrant holder who tenders warrants for exchange pursuant to the Offer will receive 0.250 shares of our</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Class A common stock for each warrant so exchanged. No fractional shares of Class A common stock will be</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issued pursuant to the Offer. In lieu of issuing fractional shares, any holder of warrants who otherwise would</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have been entitled to receive fractional shares pursuant to the Offer will, after aggregating all such fractional</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shares of such holder, be paid cash (without interest) in an amount equal to such fractional part of a share</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multiplied by the last sale price of our Class A common stock on the Nasdaq on the last trading day of the Offer</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Period, less any applicable withholding taxes. Our obligation to complete the Offer is not conditioned on the</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receipt of a minimum number of tendered warrants.</w:t>
            </w:r>
          </w:p>
        </w:tc>
      </w:tr>
      <w:tr>
        <w:trPr>
          <w:trHeight w:val="361"/>
        </w:trPr>
        <w:tc>
          <w:tcPr>
            <w:tcW w:w="32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Holders of the warrants tendered for exchange will not have to pay any of the exercise price for the tendered</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warrants in order to receive shares of Class A common stock in the exchange.</w:t>
            </w:r>
          </w:p>
        </w:tc>
      </w:tr>
      <w:tr>
        <w:trPr>
          <w:trHeight w:val="96"/>
        </w:trPr>
        <w:tc>
          <w:tcPr>
            <w:tcW w:w="3280" w:type="dxa"/>
            <w:vAlign w:val="bottom"/>
            <w:tcBorders>
              <w:left w:val="single" w:sz="8" w:color="auto"/>
              <w:bottom w:val="single" w:sz="8" w:color="auto"/>
            </w:tcBorders>
          </w:tcPr>
          <w:p>
            <w:pPr>
              <w:spacing w:after="0"/>
              <w:rPr>
                <w:sz w:val="8"/>
                <w:szCs w:val="8"/>
                <w:color w:val="auto"/>
              </w:rPr>
            </w:pPr>
          </w:p>
        </w:tc>
        <w:tc>
          <w:tcPr>
            <w:tcW w:w="7980" w:type="dxa"/>
            <w:vAlign w:val="bottom"/>
            <w:tcBorders>
              <w:bottom w:val="single" w:sz="8" w:color="auto"/>
              <w:right w:val="single" w:sz="8" w:color="auto"/>
            </w:tcBorders>
          </w:tcPr>
          <w:p>
            <w:pPr>
              <w:spacing w:after="0"/>
              <w:rPr>
                <w:sz w:val="8"/>
                <w:szCs w:val="8"/>
                <w:color w:val="auto"/>
              </w:rPr>
            </w:pPr>
          </w:p>
        </w:tc>
      </w:tr>
      <w:tr>
        <w:trPr>
          <w:trHeight w:val="383"/>
        </w:trPr>
        <w:tc>
          <w:tcPr>
            <w:tcW w:w="32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6"/>
                <w:szCs w:val="16"/>
                <w:color w:val="auto"/>
              </w:rPr>
              <w:t>2</w:t>
            </w:r>
          </w:p>
        </w:tc>
      </w:tr>
    </w:tbl>
    <w:p>
      <w:pPr>
        <w:sectPr>
          <w:pgSz w:w="11900" w:h="16838" w:orient="portrait"/>
          <w:cols w:equalWidth="0" w:num="1">
            <w:col w:w="11260"/>
          </w:cols>
          <w:pgMar w:left="320" w:top="618"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620" w:type="dxa"/>
            <w:vAlign w:val="bottom"/>
            <w:tcBorders>
              <w:top w:val="single" w:sz="8" w:color="auto"/>
              <w:left w:val="single" w:sz="8" w:color="auto"/>
            </w:tcBorders>
          </w:tcPr>
          <w:p>
            <w:pPr>
              <w:spacing w:after="0"/>
              <w:rPr>
                <w:sz w:val="24"/>
                <w:szCs w:val="24"/>
                <w:color w:val="auto"/>
              </w:rPr>
            </w:pPr>
          </w:p>
        </w:tc>
        <w:tc>
          <w:tcPr>
            <w:tcW w:w="764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shares of Class A common stock issued in exchange for the tendered warrants will be unrestricted and freely</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transferable, as long as the holder is not an affiliate of ours and was not an affiliate of ours within the three</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months prior to the proposed transfer of such shares.</w:t>
            </w:r>
          </w:p>
        </w:tc>
      </w:tr>
      <w:tr>
        <w:trPr>
          <w:trHeight w:val="361"/>
        </w:trPr>
        <w:tc>
          <w:tcPr>
            <w:tcW w:w="362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Offer is being made to all warrant holders except those holders who reside in states or other jurisdictions</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where an offer, solicitation, or sale would be unlawful (or would require further action in order to comply with</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applicable securities laws).</w:t>
            </w:r>
          </w:p>
        </w:tc>
      </w:tr>
      <w:tr>
        <w:trPr>
          <w:trHeight w:val="361"/>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The Consent Solicitation</w:t>
            </w: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In order to tender warrants in the Offer and Consent Solicitation, holders are required to consent (by executing</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Letter of Transmittal and Consent or requesting that their broker or nominee consent on their behalf) to an</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amendment to the Warrant Agreement governing the warrants as set forth in the Warrant Amendment attached</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hereto as Annex A. If approved, the Warrant Amendment would permit the Company to require that all warrants</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that are outstanding upon the closing of the Offer be exchanged for shares of Class A common stock at a ratio of</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0.225 shares of Class A common stock per warrant (a ratio which is 10% less than the exchange ratio applicable</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 the Offer). Upon such exchange, no warrants will remain outstanding.</w:t>
            </w:r>
          </w:p>
        </w:tc>
      </w:tr>
      <w:tr>
        <w:trPr>
          <w:trHeight w:val="361"/>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Purposed of the Offer and Consent Solicitation</w:t>
            </w: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purpose of the Offer and Consent Solicitation is to attempt to simplify our capital structure and reduce the</w:t>
            </w:r>
          </w:p>
        </w:tc>
      </w:tr>
      <w:tr>
        <w:trPr>
          <w:trHeight w:val="187"/>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potential dilutive impact of the warrants, thereby providing us with more flexibility for financing our operations</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in the future.  See “</w:t>
            </w:r>
            <w:r>
              <w:rPr>
                <w:rFonts w:ascii="Times New Roman" w:cs="Times New Roman" w:eastAsia="Times New Roman" w:hAnsi="Times New Roman"/>
                <w:sz w:val="16"/>
                <w:szCs w:val="16"/>
                <w:i w:val="1"/>
                <w:iCs w:val="1"/>
                <w:color w:val="auto"/>
              </w:rPr>
              <w:t>The Offer and Consent Solicitation—Background and Purpose of the Offer and Consent</w:t>
            </w:r>
          </w:p>
        </w:tc>
      </w:tr>
      <w:tr>
        <w:trPr>
          <w:trHeight w:val="208"/>
        </w:trPr>
        <w:tc>
          <w:tcPr>
            <w:tcW w:w="362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Solicitation</w:t>
            </w:r>
            <w:r>
              <w:rPr>
                <w:rFonts w:ascii="Times New Roman" w:cs="Times New Roman" w:eastAsia="Times New Roman" w:hAnsi="Times New Roman"/>
                <w:sz w:val="16"/>
                <w:szCs w:val="16"/>
                <w:color w:val="auto"/>
              </w:rPr>
              <w:t>.”</w:t>
            </w:r>
          </w:p>
        </w:tc>
      </w:tr>
      <w:tr>
        <w:trPr>
          <w:trHeight w:val="361"/>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Offer Period</w:t>
            </w: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The Offer and Consent Solicitation will expire on the Expiration Date, which is 11:59 p.m., Eastern Time, on</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December 16, 2022, or such later time and date to which we may extend. All warrants tendered for exchange</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pursuant to the Offer and Consent Solicitation, and all required related paperwork, must be received by the</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exchange agent by the Expiration Date, as described in this Prospectus/Offer to Exchange.</w:t>
            </w:r>
          </w:p>
        </w:tc>
      </w:tr>
      <w:tr>
        <w:trPr>
          <w:trHeight w:val="361"/>
        </w:trPr>
        <w:tc>
          <w:tcPr>
            <w:tcW w:w="362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If the Offer Period is extended, we will make a public announcement of such extension by no later than 9:00</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w w:val="99"/>
              </w:rPr>
              <w:t>a.m., Eastern Time, on the next business day following the Expiration Date as in effect immediately prior to such</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extension.</w:t>
            </w:r>
          </w:p>
        </w:tc>
      </w:tr>
      <w:tr>
        <w:trPr>
          <w:trHeight w:val="361"/>
        </w:trPr>
        <w:tc>
          <w:tcPr>
            <w:tcW w:w="362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of the Offer and Consent Solicitation</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are not satisfied or waived prior to the Expiration Date. Promptly upon any such withdrawal, we will return the</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tendered warrants (and the related consent to the Warrant Amendment will be revoked). We will announce our</w:t>
            </w:r>
          </w:p>
        </w:tc>
      </w:tr>
      <w:tr>
        <w:trPr>
          <w:trHeight w:val="187"/>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decision to withdraw the Offer and Consent Solicitation by disseminating notice by public announcement or</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otherwise as permitted by applicable law. See “</w:t>
            </w:r>
            <w:r>
              <w:rPr>
                <w:rFonts w:ascii="Times New Roman" w:cs="Times New Roman" w:eastAsia="Times New Roman" w:hAnsi="Times New Roman"/>
                <w:sz w:val="16"/>
                <w:szCs w:val="16"/>
                <w:i w:val="1"/>
                <w:iCs w:val="1"/>
                <w:color w:val="auto"/>
              </w:rPr>
              <w:t>The Offer and Consent Solicitation—General Terms—Offer</w:t>
            </w:r>
          </w:p>
        </w:tc>
      </w:tr>
      <w:tr>
        <w:trPr>
          <w:trHeight w:val="208"/>
        </w:trPr>
        <w:tc>
          <w:tcPr>
            <w:tcW w:w="362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Period</w:t>
            </w:r>
            <w:r>
              <w:rPr>
                <w:rFonts w:ascii="Times New Roman" w:cs="Times New Roman" w:eastAsia="Times New Roman" w:hAnsi="Times New Roman"/>
                <w:sz w:val="16"/>
                <w:szCs w:val="16"/>
                <w:color w:val="auto"/>
              </w:rPr>
              <w:t>.”</w:t>
            </w:r>
          </w:p>
        </w:tc>
      </w:tr>
      <w:tr>
        <w:trPr>
          <w:trHeight w:val="96"/>
        </w:trPr>
        <w:tc>
          <w:tcPr>
            <w:tcW w:w="3620" w:type="dxa"/>
            <w:vAlign w:val="bottom"/>
            <w:tcBorders>
              <w:left w:val="single" w:sz="8" w:color="auto"/>
              <w:bottom w:val="single" w:sz="8" w:color="auto"/>
            </w:tcBorders>
          </w:tcPr>
          <w:p>
            <w:pPr>
              <w:spacing w:after="0"/>
              <w:rPr>
                <w:sz w:val="8"/>
                <w:szCs w:val="8"/>
                <w:color w:val="auto"/>
              </w:rPr>
            </w:pPr>
          </w:p>
        </w:tc>
        <w:tc>
          <w:tcPr>
            <w:tcW w:w="7640" w:type="dxa"/>
            <w:vAlign w:val="bottom"/>
            <w:tcBorders>
              <w:bottom w:val="single" w:sz="8" w:color="auto"/>
              <w:right w:val="single" w:sz="8" w:color="auto"/>
            </w:tcBorders>
          </w:tcPr>
          <w:p>
            <w:pPr>
              <w:spacing w:after="0"/>
              <w:rPr>
                <w:sz w:val="8"/>
                <w:szCs w:val="8"/>
                <w:color w:val="auto"/>
              </w:rPr>
            </w:pPr>
          </w:p>
        </w:tc>
      </w:tr>
      <w:tr>
        <w:trPr>
          <w:trHeight w:val="383"/>
        </w:trPr>
        <w:tc>
          <w:tcPr>
            <w:tcW w:w="36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6"/>
                <w:szCs w:val="16"/>
                <w:color w:val="auto"/>
              </w:rPr>
              <w:t>3</w:t>
            </w:r>
          </w:p>
        </w:tc>
      </w:tr>
    </w:tbl>
    <w:p>
      <w:pPr>
        <w:sectPr>
          <w:pgSz w:w="11900" w:h="16838" w:orient="portrait"/>
          <w:cols w:equalWidth="0" w:num="1">
            <w:col w:w="11260"/>
          </w:cols>
          <w:pgMar w:left="320" w:top="618" w:right="319" w:bottom="1440" w:gutter="0" w:footer="0" w:header="0"/>
        </w:sectPr>
      </w:pPr>
    </w:p>
    <w:bookmarkStart w:id="13" w:name="page14"/>
    <w:bookmarkEnd w:id="13"/>
    <w:p>
      <w:pPr>
        <w:ind w:left="120" w:right="540"/>
        <w:spacing w:after="0" w:line="278" w:lineRule="auto"/>
        <w:rPr>
          <w:sz w:val="20"/>
          <w:szCs w:val="20"/>
          <w:color w:val="auto"/>
        </w:rPr>
      </w:pPr>
      <w:r>
        <w:rPr>
          <w:rFonts w:ascii="Times New Roman" w:cs="Times New Roman" w:eastAsia="Times New Roman" w:hAnsi="Times New Roman"/>
          <w:sz w:val="16"/>
          <w:szCs w:val="16"/>
          <w:b w:val="1"/>
          <w:bCs w:val="1"/>
          <w:color w:val="auto"/>
        </w:rPr>
        <w:t>Amendments to the Offer and Consent Solicitation</w:t>
      </w:r>
    </w:p>
    <w:p>
      <w:pPr>
        <w:spacing w:after="0" w:line="20" w:lineRule="exact"/>
        <w:rPr>
          <w:sz w:val="20"/>
          <w:szCs w:val="20"/>
          <w:color w:val="auto"/>
        </w:rPr>
      </w:pPr>
      <w:r>
        <w:rPr>
          <w:sz w:val="20"/>
          <w:szCs w:val="20"/>
          <w:color w:val="auto"/>
        </w:rPr>
        <w:br w:type="column"/>
      </w:r>
    </w:p>
    <w:p>
      <w:pPr>
        <w:jc w:val="both"/>
        <w:ind w:right="120"/>
        <w:spacing w:after="0" w:line="250" w:lineRule="auto"/>
        <w:rPr>
          <w:sz w:val="20"/>
          <w:szCs w:val="20"/>
          <w:color w:val="auto"/>
        </w:rPr>
      </w:pPr>
      <w:r>
        <w:rPr>
          <w:rFonts w:ascii="Times New Roman" w:cs="Times New Roman" w:eastAsia="Times New Roman" w:hAnsi="Times New Roman"/>
          <w:sz w:val="16"/>
          <w:szCs w:val="16"/>
          <w:color w:val="auto"/>
        </w:rPr>
        <w:t>We reserve the right at any time or from time to time to amend the Offer and Consent Solicitation, including by increasing or (if the conditions to the Offer are not satisfied) decreasing the exchange ratio of Class A common stock issued for every warrant exchanged or by changing the terms of the Warrant Amendment. 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U.S. Securities Exchange Act of 1934, as amended (the “</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See “</w:t>
      </w:r>
      <w:r>
        <w:rPr>
          <w:rFonts w:ascii="Times New Roman" w:cs="Times New Roman" w:eastAsia="Times New Roman" w:hAnsi="Times New Roman"/>
          <w:sz w:val="16"/>
          <w:szCs w:val="16"/>
          <w:i w:val="1"/>
          <w:iCs w:val="1"/>
          <w:color w:val="auto"/>
        </w:rPr>
        <w:t>The Offer and Consent Solicitation—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General Terms—Amendments to the Offer and Consent Solicitation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-1036320</wp:posOffset>
            </wp:positionV>
            <wp:extent cx="7154545" cy="4469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4545" cy="446913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260" w:space="720"/>
            <w:col w:w="7280"/>
          </w:cols>
          <w:pgMar w:left="320" w:top="735" w:right="319" w:bottom="1440" w:gutter="0" w:footer="0" w:header="0"/>
        </w:sectPr>
      </w:pPr>
    </w:p>
    <w:tbl>
      <w:tblPr>
        <w:tblLayout w:type="fixed"/>
        <w:tblInd w:w="0" w:type="dxa"/>
        <w:tblCellMar>
          <w:top w:w="0" w:type="dxa"/>
          <w:left w:w="0" w:type="dxa"/>
          <w:bottom w:w="0" w:type="dxa"/>
          <w:right w:w="0" w:type="dxa"/>
        </w:tblCellMar>
      </w:tblPr>
      <w:tr>
        <w:trPr>
          <w:trHeight w:val="19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Conditions to the Offer and Consent Solicitation</w:t>
            </w: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Offer is subject to customary conditions, including the effectiveness of the registration statement of which</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this Prospectus/Offer to Exchange forms a part and the absence of any action or proceeding, statute, rule,</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regulation, or order that would challenge or restrict the making or completion of the Offer. The Offer is not</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conditioned upon the receipt of a minimum number of tendered warrants. However, the Consent Solicitation is</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conditioned upon receiving the consent of holders of at least 65% of each of (i) the outstanding public warrants</w:t>
            </w:r>
          </w:p>
        </w:tc>
      </w:tr>
      <w:tr>
        <w:trPr>
          <w:trHeight w:val="187"/>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(ii) the outstanding private placement warrants (which is the minimum threshold required to amend the</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 Agreement). We may waive some of the conditions to the Offer. See “</w:t>
            </w:r>
            <w:r>
              <w:rPr>
                <w:rFonts w:ascii="Times New Roman" w:cs="Times New Roman" w:eastAsia="Times New Roman" w:hAnsi="Times New Roman"/>
                <w:sz w:val="16"/>
                <w:szCs w:val="16"/>
                <w:i w:val="1"/>
                <w:iCs w:val="1"/>
                <w:color w:val="auto"/>
              </w:rPr>
              <w:t>The Offer and Consent</w:t>
            </w:r>
          </w:p>
        </w:tc>
      </w:tr>
      <w:tr>
        <w:trPr>
          <w:trHeight w:val="208"/>
        </w:trPr>
        <w:tc>
          <w:tcPr>
            <w:tcW w:w="366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Solicitation—General Terms—Conditions to the Offer and Consent Solicitation</w:t>
            </w:r>
            <w:r>
              <w:rPr>
                <w:rFonts w:ascii="Times New Roman" w:cs="Times New Roman" w:eastAsia="Times New Roman" w:hAnsi="Times New Roman"/>
                <w:sz w:val="16"/>
                <w:szCs w:val="16"/>
                <w:color w:val="auto"/>
              </w:rPr>
              <w:t>.”</w:t>
            </w:r>
          </w:p>
        </w:tc>
      </w:tr>
      <w:tr>
        <w:trPr>
          <w:trHeight w:val="361"/>
        </w:trPr>
        <w:tc>
          <w:tcPr>
            <w:tcW w:w="3660" w:type="dxa"/>
            <w:vAlign w:val="bottom"/>
          </w:tcPr>
          <w:p>
            <w:pPr>
              <w:spacing w:after="0"/>
              <w:rPr>
                <w:sz w:val="24"/>
                <w:szCs w:val="24"/>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We will not complete the Offer and Consent Solicitation unless and until the registration statement described</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above is effective. If the registration statement is not effective at the Expiration Date, we may, in our discretion,</w:t>
            </w:r>
          </w:p>
        </w:tc>
      </w:tr>
      <w:tr>
        <w:trPr>
          <w:trHeight w:val="206"/>
        </w:trPr>
        <w:tc>
          <w:tcPr>
            <w:tcW w:w="3660" w:type="dxa"/>
            <w:vAlign w:val="bottom"/>
          </w:tcPr>
          <w:p>
            <w:pPr>
              <w:spacing w:after="0"/>
              <w:rPr>
                <w:sz w:val="17"/>
                <w:szCs w:val="17"/>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extend, suspend, or cancel the Offer and Consent Solicitation, and will inform warrant holders of such event.</w:t>
            </w:r>
          </w:p>
        </w:tc>
      </w:tr>
      <w:tr>
        <w:trPr>
          <w:trHeight w:val="36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Withdrawal Rights</w:t>
            </w: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If you tender your warrants for exchange and change your mind, you may withdraw your tendered warrants (and</w:t>
            </w:r>
          </w:p>
        </w:tc>
      </w:tr>
      <w:tr>
        <w:trPr>
          <w:trHeight w:val="187"/>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thereby automatically revoke the related consent to the Warrant Amendment) at any time prior to the Expiration</w:t>
            </w:r>
          </w:p>
        </w:tc>
      </w:tr>
      <w:tr>
        <w:trPr>
          <w:trHeight w:val="191"/>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Date, as described in greater detail in the section titled “</w:t>
            </w:r>
            <w:r>
              <w:rPr>
                <w:rFonts w:ascii="Times New Roman" w:cs="Times New Roman" w:eastAsia="Times New Roman" w:hAnsi="Times New Roman"/>
                <w:sz w:val="16"/>
                <w:szCs w:val="16"/>
                <w:i w:val="1"/>
                <w:iCs w:val="1"/>
                <w:color w:val="auto"/>
                <w:w w:val="99"/>
              </w:rPr>
              <w:t>The Offer and Consent Solicitation—Withdrawal Rights</w:t>
            </w:r>
            <w:r>
              <w:rPr>
                <w:rFonts w:ascii="Times New Roman" w:cs="Times New Roman" w:eastAsia="Times New Roman" w:hAnsi="Times New Roman"/>
                <w:sz w:val="16"/>
                <w:szCs w:val="16"/>
                <w:color w:val="auto"/>
                <w:w w:val="99"/>
              </w:rPr>
              <w:t>.”</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If the Offer Period is extended, you may withdraw your tendered warrants (and thereby automatically revoke the</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related consent to the Warrant Amendment) at any time until the extended Expiration Date. In addition, tendered</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warrants that are not accepted by us for exchange by December 16, 2022 may thereafter be withdrawn by you</w:t>
            </w:r>
          </w:p>
        </w:tc>
      </w:tr>
      <w:tr>
        <w:trPr>
          <w:trHeight w:val="206"/>
        </w:trPr>
        <w:tc>
          <w:tcPr>
            <w:tcW w:w="366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until such time as the warrants are accepted by us for exchange.</w:t>
            </w:r>
          </w:p>
        </w:tc>
      </w:tr>
      <w:tr>
        <w:trPr>
          <w:trHeight w:val="36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Federal and State Regulatory Approvals</w:t>
            </w: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than compliance with the applicable federal and state securities laws, no federal or state regulatory</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requirements must be complied with and no federal or state regulatory approvals must be obtained in connection</w:t>
            </w:r>
          </w:p>
        </w:tc>
      </w:tr>
      <w:tr>
        <w:trPr>
          <w:trHeight w:val="206"/>
        </w:trPr>
        <w:tc>
          <w:tcPr>
            <w:tcW w:w="366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with the Offer and Consent Solicitation.</w:t>
            </w:r>
          </w:p>
        </w:tc>
      </w:tr>
      <w:tr>
        <w:trPr>
          <w:trHeight w:val="36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Absence of Appraisal or Dissenters’ Rights</w:t>
            </w: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Holders of our warrants do not have any appraisal or dissenters’ rights under applicable law in connection with</w:t>
            </w:r>
          </w:p>
        </w:tc>
      </w:tr>
      <w:tr>
        <w:trPr>
          <w:trHeight w:val="206"/>
        </w:trPr>
        <w:tc>
          <w:tcPr>
            <w:tcW w:w="366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Offer and Consent Solicitation.</w:t>
            </w:r>
          </w:p>
        </w:tc>
      </w:tr>
      <w:tr>
        <w:trPr>
          <w:trHeight w:val="96"/>
        </w:trPr>
        <w:tc>
          <w:tcPr>
            <w:tcW w:w="3660" w:type="dxa"/>
            <w:vAlign w:val="bottom"/>
            <w:tcBorders>
              <w:bottom w:val="single" w:sz="8" w:color="auto"/>
            </w:tcBorders>
          </w:tcPr>
          <w:p>
            <w:pPr>
              <w:spacing w:after="0"/>
              <w:rPr>
                <w:sz w:val="8"/>
                <w:szCs w:val="8"/>
                <w:color w:val="auto"/>
              </w:rPr>
            </w:pPr>
          </w:p>
        </w:tc>
        <w:tc>
          <w:tcPr>
            <w:tcW w:w="7600" w:type="dxa"/>
            <w:vAlign w:val="bottom"/>
            <w:tcBorders>
              <w:bottom w:val="single" w:sz="8" w:color="auto"/>
            </w:tcBorders>
          </w:tcPr>
          <w:p>
            <w:pPr>
              <w:spacing w:after="0"/>
              <w:rPr>
                <w:sz w:val="8"/>
                <w:szCs w:val="8"/>
                <w:color w:val="auto"/>
              </w:rPr>
            </w:pPr>
          </w:p>
        </w:tc>
      </w:tr>
      <w:tr>
        <w:trPr>
          <w:trHeight w:val="383"/>
        </w:trPr>
        <w:tc>
          <w:tcPr>
            <w:tcW w:w="36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color w:val="auto"/>
              </w:rPr>
              <w:t>4</w:t>
            </w:r>
          </w:p>
        </w:tc>
      </w:tr>
    </w:tbl>
    <w:p>
      <w:pPr>
        <w:sectPr>
          <w:pgSz w:w="11900" w:h="16838" w:orient="portrait"/>
          <w:cols w:equalWidth="0" w:num="1">
            <w:col w:w="11260"/>
          </w:cols>
          <w:pgMar w:left="320" w:top="735" w:right="319" w:bottom="1440" w:gutter="0" w:footer="0" w:header="0"/>
          <w:type w:val="continuous"/>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35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U.S. Federal Income Tax Consequences of the</w:t>
            </w:r>
          </w:p>
        </w:tc>
        <w:tc>
          <w:tcPr>
            <w:tcW w:w="768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 those holders of our warrants participating in the Offer and for any holders of our warrants subsequently</w:t>
            </w:r>
          </w:p>
        </w:tc>
      </w:tr>
      <w:tr>
        <w:trPr>
          <w:trHeight w:val="191"/>
        </w:trPr>
        <w:tc>
          <w:tcPr>
            <w:tcW w:w="35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Offer</w:t>
            </w: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exchanged for Class A common stock pursuant to the terms of the Warrant Amendment, we intend to treat the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9"/>
              </w:rPr>
              <w:t>exchange of warrants for our Class A common stock as a “recapitalization” within the meaning of Section 368(a)</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(1)(E) of the U.S. Internal Revenue Code of 1986, as amended (the “Code”). Under such treatment, (i) you</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9"/>
              </w:rPr>
              <w:t>should not recognize any gain or loss on the exchange of warrants for shares of Class A common stock (except to</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the extent of any cash payment received in lieu of a fractional share in connection with the Offer or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subsequent exchange), (ii) your aggregate tax basis in our Class A common stock received in the exchange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should equal your aggregate tax basis in your warrants surrendered in the exchange (except to the extent of any</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9"/>
              </w:rPr>
              <w:t>tax basis allocated to a fractional share for which a cash payment is received in connection with the Offer or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subsequent exchange), and (iii) your holding period for our Class A common stock received in the exchange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should include your holding period for the surrendered warrants. However, because there is a lack of direct legal</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authority regarding the U.S. federal income tax consequences of the exchange of our warrants for our Class A</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common stock, there can be no assurance in this regard and alternative characterizations are possible by the U.S.</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Internal Revenue Service (the “IRS”) or a court, including ones that would require U.S. Holders (as defined</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under “Material U.S. Federal Income Tax Consequences”) to recognize taxable income.</w:t>
            </w:r>
          </w:p>
        </w:tc>
      </w:tr>
      <w:tr>
        <w:trPr>
          <w:trHeight w:val="361"/>
        </w:trPr>
        <w:tc>
          <w:tcPr>
            <w:tcW w:w="35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If the Warrant Amendment is approved, we intend to treat all warrants not exchanged for Class A common stock</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 the Offer as having been exchanged for “new” warrants pursuant to the Warrant Amendment and to treat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deemed exchange as a “recapitalization” within the meaning of Section 368(a)(1)(E) of the Code. Under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treatment, (i) you should not recognize any gain or loss on the deemed exchange of warrants for “new” warrants,</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(ii) your aggregate tax basis in the “new” warrants deemed to be received in the exchange should equal your</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aggregate tax basis in your existing warrants deemed surrendered in the exchange, and (iii) your holding period</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 the “new” warrants deemed to be received in the exchange should include your holding period for the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warrants deemed surrendered. Because there is a lack of direct legal authority regarding the U.S. federal income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tax consequences of a deemed exchange of warrants for “new” warrants pursuant to the Warrant Amendment,</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there can be no assurance in this regard and alternative characterizations by the IRS or a court are possible,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including ones that would require U.S. Holders to recognize taxable income. See “Material U.S. Federal Income</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Tax Consequences.”</w:t>
            </w:r>
          </w:p>
        </w:tc>
      </w:tr>
      <w:tr>
        <w:trPr>
          <w:trHeight w:val="361"/>
        </w:trPr>
        <w:tc>
          <w:tcPr>
            <w:tcW w:w="35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 Recommendation</w:t>
            </w: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Neither we nor any of our board of directors, our management, the dealer manager, the exchange agent, the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information agent, or any other person makes any recommendation on whether you should tender or refrain from</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tendering all or any portion of your warrants or consent to the Warrant Amendment, and no one has been</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authorized by any of them to make such a recommendation.</w:t>
            </w:r>
          </w:p>
        </w:tc>
      </w:tr>
      <w:tr>
        <w:trPr>
          <w:trHeight w:val="361"/>
        </w:trPr>
        <w:tc>
          <w:tcPr>
            <w:tcW w:w="35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Rick Factors</w:t>
            </w: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 risks related to the Offer and Consent Solicitation, please read the section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beginning on</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page 8 of this Prospectus/Offer to Exchange.</w:t>
            </w:r>
          </w:p>
        </w:tc>
      </w:tr>
      <w:tr>
        <w:trPr>
          <w:trHeight w:val="308"/>
        </w:trPr>
        <w:tc>
          <w:tcPr>
            <w:tcW w:w="3580" w:type="dxa"/>
            <w:vAlign w:val="bottom"/>
            <w:tcBorders>
              <w:left w:val="single" w:sz="8" w:color="auto"/>
              <w:bottom w:val="single" w:sz="8" w:color="auto"/>
            </w:tcBorders>
          </w:tcPr>
          <w:p>
            <w:pPr>
              <w:spacing w:after="0"/>
              <w:rPr>
                <w:sz w:val="24"/>
                <w:szCs w:val="24"/>
                <w:color w:val="auto"/>
              </w:rPr>
            </w:pPr>
          </w:p>
        </w:tc>
        <w:tc>
          <w:tcPr>
            <w:tcW w:w="7680" w:type="dxa"/>
            <w:vAlign w:val="bottom"/>
            <w:tcBorders>
              <w:bottom w:val="single" w:sz="8" w:color="auto"/>
              <w:right w:val="single" w:sz="8" w:color="auto"/>
            </w:tcBorders>
          </w:tcPr>
          <w:p>
            <w:pPr>
              <w:spacing w:after="0"/>
              <w:rPr>
                <w:sz w:val="24"/>
                <w:szCs w:val="24"/>
                <w:color w:val="auto"/>
              </w:rPr>
            </w:pPr>
          </w:p>
        </w:tc>
      </w:tr>
      <w:tr>
        <w:trPr>
          <w:trHeight w:val="383"/>
        </w:trPr>
        <w:tc>
          <w:tcPr>
            <w:tcW w:w="35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color w:val="auto"/>
              </w:rPr>
              <w:t>5</w:t>
            </w:r>
          </w:p>
        </w:tc>
      </w:tr>
    </w:tbl>
    <w:p>
      <w:pPr>
        <w:sectPr>
          <w:pgSz w:w="11900" w:h="16838" w:orient="portrait"/>
          <w:cols w:equalWidth="0" w:num="1">
            <w:col w:w="11260"/>
          </w:cols>
          <w:pgMar w:left="320" w:top="61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color w:val="auto"/>
        </w:rPr>
        <w:t>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depositary and exchange agent for the Offer and Consent Solicitation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-172085</wp:posOffset>
            </wp:positionV>
            <wp:extent cx="7154545" cy="5189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4545" cy="5189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140"/>
          </w:cols>
          <w:pgMar w:left="440" w:top="735" w:right="439" w:bottom="1440" w:gutter="0" w:footer="0" w:header="0"/>
        </w:sectPr>
      </w:pP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color w:val="auto"/>
        </w:rPr>
        <w:t>Continental Stock Transfer &amp; Trust Company</w:t>
      </w:r>
    </w:p>
    <w:p>
      <w:pPr>
        <w:spacing w:after="0" w:line="3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1 State Street, 30th Floor</w:t>
      </w:r>
    </w:p>
    <w:p>
      <w:pPr>
        <w:spacing w:after="0" w:line="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New York, New York 10004</w:t>
      </w:r>
    </w:p>
    <w:p>
      <w:pPr>
        <w:sectPr>
          <w:pgSz w:w="11900" w:h="16838" w:orient="portrait"/>
          <w:cols w:equalWidth="0" w:num="1">
            <w:col w:w="11020"/>
          </w:cols>
          <w:pgMar w:left="440" w:top="735" w:right="4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Dealer Manager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dealer manager for the Offer and Consent Solicitation is:</w:t>
      </w:r>
    </w:p>
    <w:p>
      <w:pPr>
        <w:spacing w:after="0" w:line="200" w:lineRule="exact"/>
        <w:rPr>
          <w:sz w:val="20"/>
          <w:szCs w:val="20"/>
          <w:color w:val="auto"/>
        </w:rPr>
      </w:pPr>
    </w:p>
    <w:p>
      <w:pPr>
        <w:sectPr>
          <w:pgSz w:w="11900" w:h="16838" w:orient="portrait"/>
          <w:cols w:equalWidth="0" w:num="2">
            <w:col w:w="3160" w:space="720"/>
            <w:col w:w="7140"/>
          </w:cols>
          <w:pgMar w:left="440" w:top="735" w:right="439" w:bottom="1440" w:gutter="0" w:footer="0" w:header="0"/>
          <w:type w:val="continuous"/>
        </w:sectPr>
      </w:pP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2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175" w:lineRule="exact"/>
        <w:rPr>
          <w:sz w:val="20"/>
          <w:szCs w:val="20"/>
          <w:color w:val="auto"/>
        </w:rPr>
      </w:pPr>
    </w:p>
    <w:p>
      <w:pPr>
        <w:ind w:left="3880"/>
        <w:spacing w:after="0" w:line="278" w:lineRule="auto"/>
        <w:rPr>
          <w:sz w:val="20"/>
          <w:szCs w:val="20"/>
          <w:color w:val="auto"/>
        </w:rPr>
      </w:pPr>
      <w:r>
        <w:rPr>
          <w:rFonts w:ascii="Times New Roman" w:cs="Times New Roman" w:eastAsia="Times New Roman" w:hAnsi="Times New Roman"/>
          <w:sz w:val="16"/>
          <w:szCs w:val="16"/>
          <w:color w:val="auto"/>
        </w:rPr>
        <w:t>We have other business relationships with the dealer manager, as described in “</w:t>
      </w:r>
      <w:r>
        <w:rPr>
          <w:rFonts w:ascii="Times New Roman" w:cs="Times New Roman" w:eastAsia="Times New Roman" w:hAnsi="Times New Roman"/>
          <w:sz w:val="16"/>
          <w:szCs w:val="16"/>
          <w:i w:val="1"/>
          <w:iCs w:val="1"/>
          <w:color w:val="auto"/>
        </w:rPr>
        <w:t>The Offer and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Solicitation—Dealer Manager</w:t>
      </w:r>
      <w:r>
        <w:rPr>
          <w:rFonts w:ascii="Times New Roman" w:cs="Times New Roman" w:eastAsia="Times New Roman" w:hAnsi="Times New Roman"/>
          <w:sz w:val="16"/>
          <w:szCs w:val="16"/>
          <w:color w:val="auto"/>
        </w:rPr>
        <w:t>.”</w:t>
      </w:r>
    </w:p>
    <w:p>
      <w:pPr>
        <w:sectPr>
          <w:pgSz w:w="11900" w:h="16838" w:orient="portrait"/>
          <w:cols w:equalWidth="0" w:num="1">
            <w:col w:w="11020"/>
          </w:cols>
          <w:pgMar w:left="440" w:top="735" w:right="4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We recommend that our warrant holders review the registration statement on Form S-4, of which this Prospectus/Offer to Exchange forms a part, including the exhibits that we have filed with the SEC in connection with the Offer and Consent Solicitation and our other materials that we have filed with the SEC, before making a decision on whether to tender for exchange in the Offer and consent to the Warrant Amendment. All reports and other documents we have filed with the SEC can be accessed electronically on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sectPr>
          <w:pgSz w:w="11900" w:h="16838" w:orient="portrait"/>
          <w:cols w:equalWidth="0" w:num="2">
            <w:col w:w="3160" w:space="720"/>
            <w:col w:w="7140"/>
          </w:cols>
          <w:pgMar w:left="440" w:top="735" w:right="439" w:bottom="1440" w:gutter="0" w:footer="0" w:header="0"/>
          <w:type w:val="continuous"/>
        </w:sectPr>
      </w:pPr>
    </w:p>
    <w:p>
      <w:pPr>
        <w:jc w:val="both"/>
        <w:ind w:left="3880"/>
        <w:spacing w:after="0" w:line="256" w:lineRule="auto"/>
        <w:rPr>
          <w:sz w:val="20"/>
          <w:szCs w:val="20"/>
          <w:color w:val="auto"/>
        </w:rPr>
      </w:pPr>
      <w:r>
        <w:rPr>
          <w:rFonts w:ascii="Times New Roman" w:cs="Times New Roman" w:eastAsia="Times New Roman" w:hAnsi="Times New Roman"/>
          <w:sz w:val="16"/>
          <w:szCs w:val="16"/>
          <w:color w:val="auto"/>
        </w:rPr>
        <w:t>You should direct (1) questions about the terms of the Offer and Consent Solicitation to the dealer manager at its addresses and telephone number listed above and (2) questions about the exchange procedures and requests for additional copies of this Prospectus/Offer to Exchange, the Letter of Transmittal and Consent, or Notice of Guaranteed Delivery to the information agent at the below address and phone number:</w:t>
      </w:r>
    </w:p>
    <w:p>
      <w:pPr>
        <w:spacing w:after="0" w:line="160"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D.F. King &amp; Co., Inc.</w:t>
      </w:r>
    </w:p>
    <w:p>
      <w:pPr>
        <w:spacing w:after="0" w:line="22"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Email: opal@dfking.com</w:t>
      </w:r>
    </w:p>
    <w:p>
      <w:pPr>
        <w:sectPr>
          <w:pgSz w:w="11900" w:h="16838" w:orient="portrait"/>
          <w:cols w:equalWidth="0" w:num="1">
            <w:col w:w="11020"/>
          </w:cols>
          <w:pgMar w:left="440" w:top="735" w:right="4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and Smaller Reporting Company</w:t>
      </w:r>
    </w:p>
    <w:p>
      <w:pPr>
        <w:spacing w:after="0" w:line="194" w:lineRule="exact"/>
        <w:rPr>
          <w:sz w:val="20"/>
          <w:szCs w:val="20"/>
          <w:color w:val="auto"/>
        </w:rPr>
      </w:pPr>
    </w:p>
    <w:p>
      <w:pPr>
        <w:jc w:val="both"/>
        <w:ind w:firstLine="284"/>
        <w:spacing w:after="0" w:line="262" w:lineRule="auto"/>
        <w:rPr>
          <w:sz w:val="20"/>
          <w:szCs w:val="20"/>
          <w:color w:val="auto"/>
        </w:rPr>
      </w:pPr>
      <w:r>
        <w:rPr>
          <w:rFonts w:ascii="Times New Roman" w:cs="Times New Roman" w:eastAsia="Times New Roman" w:hAnsi="Times New Roman"/>
          <w:sz w:val="16"/>
          <w:szCs w:val="16"/>
          <w:color w:val="auto"/>
        </w:rPr>
        <w:t>We qualify as an “emerging growth company” as defined in the Jumpstart Our Business Startups Act of 2012 (the “</w:t>
      </w:r>
      <w:r>
        <w:rPr>
          <w:rFonts w:ascii="Times New Roman" w:cs="Times New Roman" w:eastAsia="Times New Roman" w:hAnsi="Times New Roman"/>
          <w:sz w:val="16"/>
          <w:szCs w:val="16"/>
          <w:i w:val="1"/>
          <w:iCs w:val="1"/>
          <w:color w:val="auto"/>
        </w:rPr>
        <w:t>JOBS Act</w:t>
      </w:r>
      <w:r>
        <w:rPr>
          <w:rFonts w:ascii="Times New Roman" w:cs="Times New Roman" w:eastAsia="Times New Roman" w:hAnsi="Times New Roman"/>
          <w:sz w:val="16"/>
          <w:szCs w:val="16"/>
          <w:color w:val="auto"/>
        </w:rPr>
        <w: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54" w:lineRule="exact"/>
        <w:rPr>
          <w:sz w:val="20"/>
          <w:szCs w:val="20"/>
          <w:color w:val="auto"/>
        </w:rPr>
      </w:pPr>
    </w:p>
    <w:p>
      <w:pPr>
        <w:ind w:left="560" w:right="20" w:hanging="284"/>
        <w:spacing w:after="0" w:line="278"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permitted to present only two years of audited financial statements and selected financial data and only two years of related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w:t>
      </w:r>
      <w:r>
        <w:rPr>
          <w:rFonts w:ascii="Times New Roman" w:cs="Times New Roman" w:eastAsia="Times New Roman" w:hAnsi="Times New Roman"/>
          <w:sz w:val="16"/>
          <w:szCs w:val="16"/>
          <w:color w:val="auto"/>
        </w:rPr>
        <w:t>” in our periodic reports and registration statements, subject to certain exceptions;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714946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020"/>
          </w:cols>
          <w:pgMar w:left="440" w:top="735" w:right="439" w:bottom="1440" w:gutter="0" w:footer="0" w:header="0"/>
          <w:type w:val="continuous"/>
        </w:sectPr>
      </w:pPr>
    </w:p>
    <w:bookmarkStart w:id="16" w:name="page17"/>
    <w:bookmarkEnd w:id="16"/>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405130</wp:posOffset>
            </wp:positionV>
            <wp:extent cx="7154545" cy="4229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4229100"/>
                    </a:xfrm>
                    <a:prstGeom prst="rect">
                      <a:avLst/>
                    </a:prstGeom>
                    <a:noFill/>
                  </pic:spPr>
                </pic:pic>
              </a:graphicData>
            </a:graphic>
          </wp:anchor>
        </w:drawing>
        <w:t>not being required to comply with the auditor attestation requirements of Section 404 of the Sarbanes-Oxley Act of 2002, as amended;</w:t>
      </w:r>
    </w:p>
    <w:p>
      <w:pPr>
        <w:spacing w:after="0" w:line="194" w:lineRule="exact"/>
        <w:rPr>
          <w:rFonts w:ascii="Times New Roman" w:cs="Times New Roman" w:eastAsia="Times New Roman" w:hAnsi="Times New Roman"/>
          <w:sz w:val="16"/>
          <w:szCs w:val="16"/>
          <w:color w:val="auto"/>
        </w:rPr>
      </w:pPr>
    </w:p>
    <w:p>
      <w:pPr>
        <w:ind w:left="560" w:hanging="284"/>
        <w:spacing w:after="0" w:line="27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obligations regarding executive compensation in our periodic reports, proxy statements, and registration statements, including in this Prospectus/Offer to Exchange;</w:t>
      </w:r>
    </w:p>
    <w:p>
      <w:pPr>
        <w:spacing w:after="0" w:line="145" w:lineRule="exact"/>
        <w:rPr>
          <w:rFonts w:ascii="Times New Roman" w:cs="Times New Roman" w:eastAsia="Times New Roman" w:hAnsi="Times New Roman"/>
          <w:sz w:val="16"/>
          <w:szCs w:val="16"/>
          <w:color w:val="auto"/>
        </w:rPr>
      </w:pPr>
    </w:p>
    <w:p>
      <w:pPr>
        <w:ind w:left="560" w:hanging="284"/>
        <w:spacing w:after="0" w:line="27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145" w:lineRule="exact"/>
        <w:rPr>
          <w:rFonts w:ascii="Times New Roman" w:cs="Times New Roman" w:eastAsia="Times New Roman" w:hAnsi="Times New Roman"/>
          <w:sz w:val="16"/>
          <w:szCs w:val="16"/>
          <w:color w:val="auto"/>
        </w:rPr>
      </w:pPr>
    </w:p>
    <w:p>
      <w:pPr>
        <w:ind w:left="560" w:right="20" w:hanging="284"/>
        <w:spacing w:after="0" w:line="27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a nonbinding advisory vote on executive compensation and stockholder approval of any golden parachute payments not previously approved.</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will remain an emerging growth company until the earliest to occur of:</w:t>
      </w:r>
    </w:p>
    <w:p>
      <w:pPr>
        <w:spacing w:after="0" w:line="194" w:lineRule="exact"/>
        <w:rPr>
          <w:sz w:val="20"/>
          <w:szCs w:val="20"/>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2026 (the last day of the fiscal year that follows the fifth anniversary of the completion of ArcLight’s initial public offering);</w:t>
      </w:r>
    </w:p>
    <w:p>
      <w:pPr>
        <w:spacing w:after="0" w:line="19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have total annual gross revenue of at least $1.235 billion;</w:t>
      </w:r>
    </w:p>
    <w:p>
      <w:pPr>
        <w:spacing w:after="0" w:line="19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are deemed to be a “large accelerated filer,” as defined in the Exchange Act; and</w:t>
      </w:r>
    </w:p>
    <w:p>
      <w:pPr>
        <w:spacing w:after="0" w:line="19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issued more than $1 billion in non-convertible debt over a three-year period.</w:t>
      </w:r>
    </w:p>
    <w:p>
      <w:pPr>
        <w:spacing w:after="0" w:line="194"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We have elected to take advantage of certain of the reduced disclosure obligations in this Prospectus/Offer to Exchange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56"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56" w:lineRule="exact"/>
        <w:rPr>
          <w:sz w:val="20"/>
          <w:szCs w:val="20"/>
          <w:color w:val="auto"/>
        </w:rPr>
      </w:pPr>
    </w:p>
    <w:p>
      <w:pPr>
        <w:jc w:val="both"/>
        <w:ind w:firstLine="284"/>
        <w:spacing w:after="0" w:line="253" w:lineRule="auto"/>
        <w:rPr>
          <w:sz w:val="20"/>
          <w:szCs w:val="20"/>
          <w:color w:val="auto"/>
        </w:rPr>
      </w:pPr>
      <w:r>
        <w:rPr>
          <w:rFonts w:ascii="Times New Roman" w:cs="Times New Roman" w:eastAsia="Times New Roman" w:hAnsi="Times New Roman"/>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714946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020"/>
          </w:cols>
          <w:pgMar w:left="440" w:top="737"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In consultation with your own advisors, you should carefully consider, among other matters, the factors set forth below, as well as the other information included in this Prospectus/Offer to Exchange, before deciding whether to participate in the Offer and Consent Solicitation. If any of the risks contained in this Prospectus/Offer to Exchange develop into actual events, our business, financial condition, liquidity, results of operations, and prospects could be materially and adversely affected. Some statements in this Prospectus/Offer to Exchange, including statements in the following risk factors, constitute forward-looking statements. See the “Cautionary Note Regarding Forward Looking Statements” section in this Prospectus/Offer to Exchange.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Third Party Relationships and Government Regulation of Our Business</w:t>
      </w:r>
    </w:p>
    <w:p>
      <w:pPr>
        <w:spacing w:after="0" w:line="19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5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5"/>
          <w:szCs w:val="15"/>
          <w:color w:val="auto"/>
        </w:rPr>
        <w:t>We do not own any of the landfill or livestock waste sites, which we sometimes refer to in this Prospectus/Offer to Exchange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“Business — Our Projects.” In addition, the biogas rights are typically specific to the right to produce electricity generated from Renewable Power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59"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color w:val="auto"/>
        </w:rPr>
        <w:t>The owners and operators of biogas project sites generally make no warranties to us as to the quality or quantity of gas produced.</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 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1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5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4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65"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In addition, the financial condition of the biogas conversion project sites may be affected in large part by conditions and events that are beyond our control. Significant deterioration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9" w:name="page20"/>
    <w:bookmarkEnd w:id="19"/>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5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5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6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LFG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5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20" w:name="page21"/>
    <w:bookmarkEnd w:id="20"/>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68"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68"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64" w:lineRule="exact"/>
        <w:rPr>
          <w:sz w:val="20"/>
          <w:szCs w:val="20"/>
          <w:color w:val="auto"/>
        </w:rPr>
      </w:pPr>
    </w:p>
    <w:p>
      <w:pPr>
        <w:jc w:val="both"/>
        <w:ind w:left="5" w:right="20" w:firstLine="283"/>
        <w:spacing w:after="0" w:line="266" w:lineRule="auto"/>
        <w:rPr>
          <w:sz w:val="20"/>
          <w:szCs w:val="20"/>
          <w:color w:val="auto"/>
        </w:rPr>
      </w:pPr>
      <w:r>
        <w:rPr>
          <w:rFonts w:ascii="Times New Roman" w:cs="Times New Roman" w:eastAsia="Times New Roman" w:hAnsi="Times New Roman"/>
          <w:sz w:val="15"/>
          <w:szCs w:val="15"/>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w:t>
      </w:r>
    </w:p>
    <w:p>
      <w:pPr>
        <w:ind w:left="5" w:right="20" w:hanging="5"/>
        <w:spacing w:after="0" w:line="253" w:lineRule="auto"/>
        <w:tabs>
          <w:tab w:leader="none" w:pos="28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special presidential envoy for climate on the National Security Council. At this time, we cannot predict the outcome of any of these executive orders on our operations.</w:t>
      </w:r>
    </w:p>
    <w:p>
      <w:pPr>
        <w:spacing w:after="0" w:line="35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21" w:name="page22"/>
    <w:bookmarkEnd w:id="21"/>
    <w:p>
      <w:pPr>
        <w:jc w:val="both"/>
        <w:ind w:left="5"/>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58" w:lineRule="exact"/>
        <w:rPr>
          <w:sz w:val="20"/>
          <w:szCs w:val="20"/>
          <w:color w:val="auto"/>
        </w:rPr>
      </w:pPr>
    </w:p>
    <w:p>
      <w:pPr>
        <w:jc w:val="both"/>
        <w:ind w:left="5" w:firstLine="283"/>
        <w:spacing w:after="0" w:line="267" w:lineRule="auto"/>
        <w:rPr>
          <w:sz w:val="20"/>
          <w:szCs w:val="20"/>
          <w:color w:val="auto"/>
        </w:rPr>
      </w:pPr>
      <w:r>
        <w:rPr>
          <w:rFonts w:ascii="Times New Roman" w:cs="Times New Roman" w:eastAsia="Times New Roman" w:hAnsi="Times New Roman"/>
          <w:sz w:val="15"/>
          <w:szCs w:val="15"/>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w:t>
      </w:r>
    </w:p>
    <w:p>
      <w:pPr>
        <w:spacing w:after="0" w:line="3" w:lineRule="exact"/>
        <w:rPr>
          <w:sz w:val="20"/>
          <w:szCs w:val="20"/>
          <w:color w:val="auto"/>
        </w:rPr>
      </w:pPr>
    </w:p>
    <w:p>
      <w:pPr>
        <w:jc w:val="both"/>
        <w:ind w:left="5" w:hanging="5"/>
        <w:spacing w:after="0" w:line="249" w:lineRule="auto"/>
        <w:tabs>
          <w:tab w:leader="none" w:pos="24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166"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The U.S. Environmental Protection Agency (“EPA”) annually sets proposed and actual RVOs for the Renewable Identification Numbers (“RIN”) market in accordance with the mandates established by EISA.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65" w:lineRule="exact"/>
        <w:rPr>
          <w:sz w:val="20"/>
          <w:szCs w:val="20"/>
          <w:color w:val="auto"/>
        </w:rPr>
      </w:pPr>
    </w:p>
    <w:p>
      <w:pPr>
        <w:jc w:val="both"/>
        <w:ind w:left="5" w:firstLine="283"/>
        <w:spacing w:after="0" w:line="191" w:lineRule="exact"/>
        <w:rPr>
          <w:sz w:val="20"/>
          <w:szCs w:val="20"/>
          <w:color w:val="auto"/>
        </w:rPr>
      </w:pPr>
      <w:r>
        <w:rPr>
          <w:rFonts w:ascii="Times New Roman" w:cs="Times New Roman" w:eastAsia="Times New Roman" w:hAnsi="Times New Roman"/>
          <w:sz w:val="16"/>
          <w:szCs w:val="16"/>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 Board (“CARB”) adopted LCFS regulations aimed at reducing the Carbon Intensity (“CI”) of transportation fuel sold and purchased in the state. A CI score is calculated as grams of CO</w:t>
      </w:r>
      <w:r>
        <w:rPr>
          <w:rFonts w:ascii="MS PGothic" w:cs="MS PGothic" w:eastAsia="MS PGothic" w:hAnsi="MS PGothic"/>
          <w:sz w:val="16"/>
          <w:szCs w:val="16"/>
          <w:color w:val="auto"/>
        </w:rPr>
        <w:t>₂</w:t>
      </w:r>
      <w:r>
        <w:rPr>
          <w:rFonts w:ascii="Times New Roman" w:cs="Times New Roman" w:eastAsia="Times New Roman" w:hAnsi="Times New Roman"/>
          <w:sz w:val="16"/>
          <w:szCs w:val="16"/>
          <w:color w:val="auto"/>
        </w:rPr>
        <w:t xml:space="preserve">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172"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3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4" w:right="319" w:bottom="1440" w:gutter="0" w:footer="0" w:header="0"/>
        </w:sectPr>
      </w:pPr>
    </w:p>
    <w:bookmarkStart w:id="22" w:name="page23"/>
    <w:bookmarkEnd w:id="22"/>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65"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6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169"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3" w:name="page24"/>
    <w:bookmarkEnd w:id="23"/>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5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5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64"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4" w:name="page25"/>
    <w:bookmarkEnd w:id="24"/>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55" w:lineRule="exact"/>
        <w:rPr>
          <w:sz w:val="20"/>
          <w:szCs w:val="20"/>
          <w:color w:val="auto"/>
        </w:rPr>
      </w:pPr>
    </w:p>
    <w:p>
      <w:pPr>
        <w:jc w:val="both"/>
        <w:ind w:firstLine="283"/>
        <w:spacing w:after="0" w:line="268" w:lineRule="auto"/>
        <w:rPr>
          <w:sz w:val="20"/>
          <w:szCs w:val="20"/>
          <w:color w:val="auto"/>
        </w:rPr>
      </w:pPr>
      <w:r>
        <w:rPr>
          <w:rFonts w:ascii="Times New Roman" w:cs="Times New Roman" w:eastAsia="Times New Roman" w:hAnsi="Times New Roman"/>
          <w:sz w:val="15"/>
          <w:szCs w:val="15"/>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57"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5" w:name="page26"/>
    <w:bookmarkEnd w:id="25"/>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6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“Business — Legal Proceedings.”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6" w:name="page27"/>
    <w:bookmarkEnd w:id="26"/>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42"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5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Risks Related to Our Business</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16"/>
          <w:szCs w:val="16"/>
          <w:b w:val="1"/>
          <w:bCs w:val="1"/>
          <w:color w:val="auto"/>
        </w:rPr>
        <w:t>.</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i w:val="1"/>
          <w:iCs w:val="1"/>
          <w:color w:val="auto"/>
        </w:rPr>
        <w:t>The volatility in the price of oil, gasoline, diesel, natural gas, RNG, or Environmental Attribute prices could adversely affect our business.</w:t>
      </w:r>
    </w:p>
    <w:p>
      <w:pPr>
        <w:spacing w:after="0" w:line="198"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7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28" w:name="page29"/>
    <w:bookmarkEnd w:id="28"/>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6"/>
          <w:szCs w:val="16"/>
          <w:b w:val="1"/>
          <w:bCs w:val="1"/>
          <w:color w:val="auto"/>
        </w:rPr>
        <w:t>.</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(“ISOs”) and Regional Transmission Organizations (“RTOs”) that control and administer regional power markets.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9" w:name="page30"/>
    <w:bookmarkEnd w:id="29"/>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42"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Additional Risk Factors Relating to Our Biogas Capture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acquire, convert, develop and operate Biogas Conversion Projects, as well as expand production at current Biogas Conversion Projects, is subject to many risks.</w:t>
      </w:r>
    </w:p>
    <w:p>
      <w:pPr>
        <w:spacing w:after="0" w:line="21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6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0" w:name="page31"/>
    <w:bookmarkEnd w:id="30"/>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Our ability to acquire, convert, develop and operate Biogas Conversion Projects, as well as expand production at current Biogas Conversion Projects, is subject to several additional risks, including:</w:t>
      </w:r>
    </w:p>
    <w:p>
      <w:pPr>
        <w:spacing w:after="0" w:line="145" w:lineRule="exact"/>
        <w:rPr>
          <w:sz w:val="20"/>
          <w:szCs w:val="20"/>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energy commodity prices, such as natural gas and wholesale electricity prices, which could have a significant effect on our revenues and expenses;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5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accidents involving personal injury or the loss of life;</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markets where we have less experience, such as our Biogas Conversion Projects for biogas recovery at livestock farms;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failures or delays in obtaining desired or necessary land rights, including ownership, leases, easements, zoning rights and building permits;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keeping in good standing permits, authorizations and consents from local city, county, state and US federal government agencies and organizations;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penalties, including potential termination, under short-term and long-term contracts for failing to produce or deliver a sufficient quantity and acceptable quality of RNG in accordance with our contractual obligations;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unknown regulatory changes related to the transportation of RNG, which may increase the transportation cost for delivering under our contracts then in effect;</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 and authorization of local utilities or other energy development off-takers to ensure successful interconnection to energy grids to enable power and gas sales;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identifying, obtaining and permitting suitable sites for new Biogas Conversion Projects.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1" w:name="page32"/>
    <w:bookmarkEnd w:id="31"/>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Multiple factors, including lower levels of gas collection and delays in commencement and completion of construction, have negatively impacted our business during the nine months ended September 30, 2022. While we continue to execute on our business plan, we expect these factors to continue during 2023.</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Additional risks related to acquiring existing projects, include:</w:t>
      </w:r>
    </w:p>
    <w:p>
      <w:pPr>
        <w:spacing w:after="0" w:line="194" w:lineRule="exact"/>
        <w:rPr>
          <w:sz w:val="20"/>
          <w:szCs w:val="20"/>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we pay could significantly deplete our cash reserves or result in dilution to our existing stockholders;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or assets may not improve our customer offerings or market position as planned;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difficulty integrating the operations and personnel of the acquired companies;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 personnel and counterparties of the acquired companies may terminate their relationships with the acquired companies as a result of or following the acquisition;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additional financial and accounting challenges and complexities in certain areas, such as tax planning and financial reporting;</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additional costs and expenses related to complying with additional laws, rules or regulations in new jurisdictions;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ongoing business and management’s attention may be disrupted or diverted by transition or integration issues and the complexity of managing geographically diverse enterprises;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one-time write-offs or restructuring charges in connection with an acquisition;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acquire goodwill and other intangible assets that are subject to amortization or impairment tests, which could result in future charges to earnings;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realize the cost savings or other financial benefits we anticipated.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2" w:name="page33"/>
    <w:bookmarkEnd w:id="32"/>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55"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6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5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color w:val="auto"/>
        </w:rPr>
        <w:t>Construction, development and operation of our Biogas Conversion Projects involves significant risks and hazards.</w:t>
      </w:r>
    </w:p>
    <w:p>
      <w:pPr>
        <w:spacing w:after="0" w:line="19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64"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54"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5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34" w:name="page35"/>
    <w:bookmarkEnd w:id="34"/>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5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6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Prospectus/Offer to Exchange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35" w:name="page36"/>
    <w:bookmarkEnd w:id="35"/>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55"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6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16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42"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36" w:name="page37"/>
    <w:bookmarkEnd w:id="36"/>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55"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50"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121"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7" w:name="page38"/>
    <w:bookmarkEnd w:id="37"/>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64"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Additional Risk Factors Relating to Our Dispensing Business</w:t>
      </w:r>
    </w:p>
    <w:p>
      <w:pPr>
        <w:spacing w:after="0" w:line="19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4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6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8" w:name="page39"/>
    <w:bookmarkEnd w:id="38"/>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42"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Additional factors that may influence the adoption of natural gas vehicle fuels, many of which are beyond our control, include, among others:</w:t>
      </w:r>
    </w:p>
    <w:p>
      <w:pPr>
        <w:spacing w:after="0" w:line="194" w:lineRule="exact"/>
        <w:rPr>
          <w:sz w:val="20"/>
          <w:szCs w:val="20"/>
          <w:color w:val="auto"/>
        </w:rPr>
      </w:pPr>
    </w:p>
    <w:p>
      <w:pPr>
        <w:ind w:left="560" w:hanging="28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demand for trucks that use natural gas vehicle fuels due to business disruptions and depressed oil prices;</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5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in the supply, demand, use and prices of crude oil, gasoline, diesel, RNG, natural gas and other vehicle fuels, such as electricity, hydrogen, renewable diesel, biodiesel and ethanol;</w:t>
      </w:r>
    </w:p>
    <w:p>
      <w:pPr>
        <w:spacing w:after="0" w:line="145"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5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Emissions and other environmental regulations and pressures on producing, transporting, and dispensing our fuels.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39" w:name="page40"/>
    <w:bookmarkEnd w:id="39"/>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6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Acquisition, financing, construction, and development of Fueling Station projects by us or our partners that own projects may not commence on anticipated timelines or at all.</w:t>
      </w:r>
    </w:p>
    <w:p>
      <w:pPr>
        <w:spacing w:after="0" w:line="14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acquisition, financing, construction and development of projects involves numerous risks, including:</w:t>
      </w:r>
    </w:p>
    <w:p>
      <w:pPr>
        <w:spacing w:after="0" w:line="194" w:lineRule="exact"/>
        <w:rPr>
          <w:sz w:val="20"/>
          <w:szCs w:val="20"/>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identifying, obtaining, and permitting suitable sites for new projects;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obtain all necessary rights to land access and use;</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inaccuracy of assumptions with respect to the cost and schedule for completing construction;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inaccuracy of assumptions with respect to the biogas potential, including quality, volume, and asset life;</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financing for a project on acceptable terms or at all;</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deliveries or increases in the price of equipment or other materials;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permitting and other regulatory issues, license revocation and changes in legal requirements;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labor, labor disputes and work stoppages or the inability to find an adequate supply of workers;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receive quality and timely performance of third-party services;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engineering and environmental problems;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overruns or supply chain disruptions;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0" w:name="page41"/>
    <w:bookmarkEnd w:id="40"/>
    <w:p>
      <w:pPr>
        <w:ind w:left="560" w:hanging="282"/>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accidents involving personal injury or the loss of life</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conditions, health crises, pandemics, catastrophic events, including fires, explosions, earthquakes, droughts and acts of terrorism, and other force majeure events;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interconnection and access to utilities.</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 addition, new projects have no operating history. A new project may be unable to fund principal and interest payments under its debt service obligations or may operate at a loss.</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5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Additional Risk Factors Relating to Our Business in General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our Biogas Conversion Projects and Fueling Stations are newly constructed or are under construction and may not perform as we expect.</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1" w:name="page42"/>
    <w:bookmarkEnd w:id="41"/>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5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of September 30, 2022, our total indebtedness was $220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substantial indebtedness and preferred units redemption obligations could have important consequences, including, for example:</w:t>
      </w:r>
    </w:p>
    <w:p>
      <w:pPr>
        <w:spacing w:after="0" w:line="194" w:lineRule="exact"/>
        <w:rPr>
          <w:sz w:val="20"/>
          <w:szCs w:val="20"/>
          <w:color w:val="auto"/>
        </w:rPr>
      </w:pPr>
    </w:p>
    <w:p>
      <w:pPr>
        <w:ind w:left="560" w:right="20" w:hanging="282"/>
        <w:spacing w:after="0" w:line="275"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required to accept then-prevailing market terms in connection with any required refinancing of such indebtedness or redemption obligations, which may be less favorable than existing terms;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42" w:name="page43"/>
    <w:bookmarkEnd w:id="42"/>
    <w:p>
      <w:pPr>
        <w:ind w:left="560" w:right="20" w:hanging="282"/>
        <w:spacing w:after="0" w:line="275"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limited financial flexibility could reduce our ability to plan for and react to unexpected opportunities; and</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45"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68"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15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3" w:name="page44"/>
    <w:bookmarkEnd w:id="43"/>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history of accounting losses and may incur additional losses in the future.</w:t>
      </w:r>
    </w:p>
    <w:p>
      <w:pPr>
        <w:spacing w:after="0" w:line="198"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The Company has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Prospectus/Offer to Exchange.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of our key management could adversely affect our business performance. Our management team has limited experience in operating a public company such as us.</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COVID-19 pandemic and measures intended to reduce its spread have, and may continue to, adversely affect our business, results of operations and financial condition.</w:t>
      </w:r>
    </w:p>
    <w:p>
      <w:pPr>
        <w:spacing w:after="0" w:line="21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4" w:name="page45"/>
    <w:bookmarkEnd w:id="44"/>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56" w:lineRule="exact"/>
        <w:rPr>
          <w:sz w:val="20"/>
          <w:szCs w:val="20"/>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further delay in the adoption of natural gas vehicle fuels by heavy-duty trucks and/or a delay in increasing the use of our vehicle fuels;</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depressed oil and diesel prices, especially relative to natural gas prices and for a prolonged period, which may decrease the price-related incentive for operators to adopt trucks that use our vehicle fuels.</w:t>
      </w:r>
    </w:p>
    <w:p>
      <w:pPr>
        <w:spacing w:after="0" w:line="145"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Some relationships with our counterparties and suppliers may experience disruptions as a result of the Business Combination, which may limit our business.</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Parties with which OPAL Fuels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OPAL Fuels’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5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connection with the preparation and audit of OPAL Fuels’ consolidated financial statements for each of the years ended December 31, 2021 and 2020, material weaknesses were identified in OPAL Fuels’ internal control over financial reporting. In addition, a material weakness in the internal controls over financial reporting of ArcLight was identified as of November 24, 2021.</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5" w:name="page46"/>
    <w:bookmarkEnd w:id="45"/>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With respect to OPAL Fuels, these material weaknesses identified were as follows:</w:t>
      </w:r>
    </w:p>
    <w:p>
      <w:pPr>
        <w:spacing w:after="0" w:line="194" w:lineRule="exact"/>
        <w:rPr>
          <w:sz w:val="20"/>
          <w:szCs w:val="20"/>
          <w:color w:val="auto"/>
        </w:rPr>
      </w:pPr>
    </w:p>
    <w:p>
      <w:pPr>
        <w:ind w:left="560" w:right="20" w:hanging="282"/>
        <w:spacing w:after="0" w:line="275"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lack of an adequate control environment, including internal communications, to allow for timeliness of reviews for the accounting and disclosures of significant and unusual transactions and contracts;</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5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did not have timely and effective reviews over standard account reconciliations and related accounting analysis which resulted in various audit adjustments that we corrected;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controls over application of ASC-606 were not designed and implemented appropriately during the current year.</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4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6" w:name="page47"/>
    <w:bookmarkEnd w:id="46"/>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failure to timely and effectively implement controls and procedures required by Section 404(a) of the Sarbanes-Oxley Act could have a material adverse effect on its business.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Company</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4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4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47" w:name="page48"/>
    <w:bookmarkEnd w:id="47"/>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Until such time that such registration statement is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42" w:lineRule="exact"/>
        <w:rPr>
          <w:sz w:val="20"/>
          <w:szCs w:val="20"/>
          <w:color w:val="auto"/>
        </w:rPr>
      </w:pPr>
    </w:p>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As of the date of this Prospectus/Offer to Exchange,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November 11, 2022, the closing price of our Class A common stock was $8.90. Based on this closing price, the aggregate sales price of the Founder Shares would be approximately $69,233,776.</w:t>
      </w:r>
    </w:p>
    <w:p>
      <w:pPr>
        <w:spacing w:after="0" w:line="15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 or legal proceedings could expose us to significant liabilities and have a negative impact on our reputations or business.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8" w:name="page49"/>
    <w:bookmarkEnd w:id="48"/>
    <w:p>
      <w:pPr>
        <w:jc w:val="both"/>
        <w:ind w:firstLine="378"/>
        <w:spacing w:after="0" w:line="248" w:lineRule="auto"/>
        <w:rPr>
          <w:sz w:val="20"/>
          <w:szCs w:val="20"/>
          <w:color w:val="auto"/>
        </w:rPr>
      </w:pPr>
      <w:r>
        <w:rPr>
          <w:rFonts w:ascii="Times New Roman" w:cs="Times New Roman" w:eastAsia="Times New Roman" w:hAnsi="Times New Roman"/>
          <w:sz w:val="16"/>
          <w:szCs w:val="16"/>
          <w:color w:val="auto"/>
        </w:rPr>
        <w:t xml:space="preserve">Under the terms of ArcLight’s placement agent agreements with BofA Securities, Inc. (“BofA”), Credit Suisse Securities (USA) LLC (“CS”), Barclays Capital Inc. (“Barclays”) and Citigroup Global Markets Inc. (“Citi” and together with BofA, CS and Barclays, the “Advisors”)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Times New Roman" w:cs="Times New Roman" w:eastAsia="Times New Roman" w:hAnsi="Times New Roman"/>
          <w:sz w:val="16"/>
          <w:szCs w:val="16"/>
          <w:i w:val="1"/>
          <w:iCs w:val="1"/>
          <w:color w:val="auto"/>
        </w:rPr>
        <w:t>Summary — Recent Developments</w:t>
      </w:r>
      <w:r>
        <w:rPr>
          <w:rFonts w:ascii="Times New Roman" w:cs="Times New Roman" w:eastAsia="Times New Roman" w:hAnsi="Times New Roman"/>
          <w:sz w:val="16"/>
          <w:szCs w:val="16"/>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16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6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49" w:name="page50"/>
    <w:bookmarkEnd w:id="49"/>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4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5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November 11,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0" w:name="page51"/>
    <w:bookmarkEnd w:id="50"/>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60"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58"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51" w:name="page52"/>
    <w:bookmarkEnd w:id="51"/>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16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42"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64"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2" w:name="page53"/>
    <w:bookmarkEnd w:id="52"/>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dual-class structure of our common stock may adversely affect the trading market for the shares of Class A common stock.</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repurchase up to 1,659,658 shares of our Class A common stock from an investor with whom we entered into a forward purchase agreement in connection with the Business Combination closing, which would reduce the amount of cash available to us to fund our growth plan.</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Subsequent to the closing, Meteora informed the Company that it has entered into sale transactions with respect to 340,342 shares of Class A common stock. As a result, approximately $3,410,227 was released from escrow to the Company. If Meteora holds some or all of the 1,659,658 remaining shares on that date, and the per share trading price of our Class A common shares is less than $10.02 per share, we would expect that Meteora will exercise this repurchase right with respect to such shares. We have placed $16,629,773 remaining in escrow to secure our purchase obligations to Meteora under the Forward Purchase Agreement. If we are required to repurchase these shares, it would reduce the amount of cash available to fund our growth plan.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be able to comply with the continued listing standards of Nasdaq.</w:t>
      </w:r>
    </w:p>
    <w:p>
      <w:pPr>
        <w:spacing w:after="0" w:line="198"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5"/>
          <w:szCs w:val="15"/>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If we are required to repurchase any shares of our Class A common stock from Meteora pursuant to the Forward Purchase Agreement, it may cause us to fail to satisfy the Nasdaq’s minimum standard requirements, including its requirement that we have a minimum of 1,000,000 unrestricted publicly held shares. The consequences of failing to meet the listing requirements include:</w:t>
      </w:r>
    </w:p>
    <w:p>
      <w:pPr>
        <w:spacing w:after="0" w:line="146" w:lineRule="exact"/>
        <w:rPr>
          <w:sz w:val="20"/>
          <w:szCs w:val="20"/>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availability of market quotations for our securities;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the Class A common stock is a “penny stock” which will require brokers trading in the Class A common stock to adhere to more stringent rules;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reduction in the level of trading activity in the secondary trading market for shares of the Class A common stock;</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amount of analyst coverage;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19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 are contained in the Organizational Documents that could delay or prevent a change of control.</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provisions, among other things:</w:t>
      </w:r>
    </w:p>
    <w:p>
      <w:pPr>
        <w:spacing w:after="0" w:line="194" w:lineRule="exact"/>
        <w:rPr>
          <w:sz w:val="20"/>
          <w:szCs w:val="20"/>
          <w:color w:val="auto"/>
        </w:rPr>
      </w:pPr>
    </w:p>
    <w:p>
      <w:pPr>
        <w:ind w:left="560" w:right="20" w:hanging="282"/>
        <w:spacing w:after="0" w:line="275"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the ability of stockholders to call special meetings of stockholders;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the ability of stockholders to fill vacancies on our board;</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advance notice requirements for nominations for election to our board or for proposing matters that can be acted upon by stockholders at annual stockholder meetings;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4" w:name="page55"/>
    <w:bookmarkEnd w:id="54"/>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our board to establish the number of directors;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board is expressly authorized to make, alter or repeal the Bylaws;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jurisdictions in which certain stockholder litigation may be brought.</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“Description of Securities — Anti-Takeover Effects of Provisions of Delaware Law and the Organizational Documents.”</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6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5"/>
          <w:szCs w:val="15"/>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$316.0 million to approximately $356.0 million depending on OPAL Fuels’ rate of recovery of the tax basis increases associated with the deemed exchange of the OPAL Fuels Common Units (other than those held by us). This estimated Tax Receivable Agreement lump-sum payment is calculated using a discount rate equal to 3.58%, applied against an undiscounted liability of approximately $433.0 million. If the Tax Receivable Agreement Participants were to exchange all of their OPAL Fuels Common Units, OPAL would recognize a deferred tax asset of approximately $508.0 million and a related liability for payments under the Tax Receivable Agreement of approximately $432.0 million, assuming (i) that the Tax Receivable Agreement Participants redeemed or exchanged all of their OPAL Fuels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55" w:name="page56"/>
    <w:bookmarkEnd w:id="55"/>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It is more likely than not that the deferred tax assets will not be realized in accordance with ASC Topic 740, ‘Income Taxes’.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56"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Finally, because we are a holding company with no operations of its own, its ability to make payments under the Tax Receivable Agreement depends on the ability of OPAL Fuels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Warrants and the Offer and Consent Solicitation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Warrants may have an adverse effect on the market price of our Class A common stock.</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of the date of this Prospectus/Offer to Exchange, we have 6,223,233 outstanding public warrants to purchase 6,223,233 shares of our Class A common stock, exercisable at an exercise price of $11.50 per share, which expire on the earlier to occur of July 21, 2027 or redemption; and (ii) 9,223,261 outstanding private placement warrants to purchase 9,223,261 shares of our Class A common stock, exercisable at an exercise price of $11.50 per share, which expire on the earlier to occur of July 21, 2027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exercise of the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October 13, 2022, the closing price of our Class A common stock was $6.23 per share. There can be no assurance that all of our warrants will be in the money prior to their expiration. Further, our Sponsor and its permitted transferees have the option to exercise the private placement warrants on a cashless basis.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The Warrant Amendment, if approved, will allow us to require that all outstanding warrants be exchanged for Class A common stock at a ratio 10% lower than the exchange ratio applicable to the Offer.</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we complete the Offer and Consent Solicitation and obtain the requisite approval of the Warrant Amendment by holders of the warrants, the Company will have the right to require holders of all warrants that remain outstanding upon the closing of the Offer to exchange each of their warrants for 0.225 shares of Class A common stock. This represents a ratio of shares of Class A common stock per warrant that is 10% less than the exchange ratio applicable to the Offer. Although we intend to require an exchange of all remaining outstanding warrants as a result of the approval of the Warrant Amendment, we would not be required to effect such an exchange and may defer doing so, if ever, until most economically advantageous to us.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Pursuant to the terms of the Warrant Agreement, the consent of holders of at least 65% of each of (i) the outstanding public warrants and (ii) the outstanding private placement warrants is required to approve the Warrant Amendment. Therefore, one of the conditions to the adoption of the Warrant Amendment is the receipt of the consent of holders of at least 65% of each of (i) the outstanding public warrants and (ii) the outstanding private placement warrants. Pursuant to the Tender and Support Agreement, parties representing approximately 53.3% and 100% of the outstanding public warrants and outstanding private placement warrants, respectively, have agreed to tender their public warrants and private placement warrants (as applicable) in the Offer and to consent to the Warrant Amendment in the Consent Solicitation. Accordingly, if holders of an additional approximately 11.7% of our outstanding public warrants consent to the Warrant Amendment in the Consent Solicitation, and the other conditions described herein are satisfied or waived, then the Warrant Amendment will be adopted.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56" w:name="page57"/>
    <w:bookmarkEnd w:id="56"/>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the Warrant Amendment is adopted, we currently intend to require the exchange of all outstanding warrants for shares of Class A common stock as provided in the Warrant Amendment, which would result in the holders of any remaining outstanding warrants receiving approximately 10% fewer shares than if they had tendered their warrants in the Offer.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exchange of warrants for Class A common stock will increase the number of shares eligible for future resale and result in dilution to our stockholders.</w:t>
      </w:r>
    </w:p>
    <w:p>
      <w:pPr>
        <w:spacing w:after="0" w:line="19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Our warrants may be exchanged for shares of Class A common stock pursuant to the Offer, which will increase the number of shares eligible for future resale in the public market and result in dilution to our stockholders, although there can be no assurance that such warrant exchange will be completed or that all of the holders of the warrants will elect to participate in the Offer. Any warrants remaining outstanding after the exchange likely will be exercised only if the $11.50 per share exercise price is below the market price of our Class A common stock. We also intend to require an exchange of all remaining outstanding warrants assuming the approval of the Warrant Amendment. To the extent such warrants are exchanged following the approval of the Warrant Amendment or exercised, additional shares of Class A common stock will be issued. These issuances of Class A common stock will result in dilution to our stockholders and increase the number of shares eligible for resale in the public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not obtained a third-party determination that the Offer or the Consent Solicitation is fair to warrant holders.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None of our board of directors, our officers or employees, our affiliates, the dealer manager, the exchange agent, or the information agent makes any recommendation as to whether you should exchange some or all of your warrants or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no guarantee that tendering your warrants in the Offer will put you in a better future economic position.</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can give no assurance as to the market price of our Class A common stock in the future. If you choose to tender some or all of your warrants in the Offer, future events may cause an increase in the market price of our Class A common stock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shares of Class A common stock) in the future at a higher value than would have been obtained by participating in the Offer. In addition, if the Warrant Amendment is adopted, and you choose not to tender some or all of your warrants in the Offer, you may receive fewer shares than if you had tendered your warrants in the Offer. You should consult your own individual tax and/or financial advisor for assistance on how this may affect your individual situation.</w:t>
      </w:r>
    </w:p>
    <w:p>
      <w:pPr>
        <w:spacing w:after="0" w:line="160"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5"/>
          <w:szCs w:val="15"/>
          <w:b w:val="1"/>
          <w:bCs w:val="1"/>
          <w:i w:val="1"/>
          <w:iCs w:val="1"/>
          <w:color w:val="auto"/>
        </w:rPr>
        <w:t>The number of shares of Class A common stock offered in the Offer is fixed. The market price of our Class A common stock may fluctuate, and the market price of our Class A common stock when we deliver our Class A common stock in exchange for your warrants could be less than the market price at the time you tender your warrants.</w:t>
      </w:r>
    </w:p>
    <w:p>
      <w:pPr>
        <w:spacing w:after="0" w:line="11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number of shares of Class A common stock offered in the Offer for each warrant accepted for exchange is fixed at the number of shares specified on the cover of this Prospectus/Offer to Exchange and will fluctuate in value if there is any increase or decrease in the market price of our Class A common stock or the warrants after the date of this Prospectus/Offer to Exchange. Therefore, the market price of our Class A common stock when we deliver Class A common stock in exchange for your warrants could be less than the market price of the warrants at the time you tender your warrants. The market price of our Class A common stock could continue to fluctuate and be subject to volatility during the period of time between when we accept warrants for exchange in the Offer and when we deliver Class A common stock in exchange for warrants, or during any extension of the Offer Period.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57" w:name="page58"/>
    <w:bookmarkEnd w:id="57"/>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may amend the terms of the warrants in a manner that may be adverse to holders of the warrants with the approval of the holders of at least 65% of each of (i) the then-outstanding public warrants and (ii) the then-outstanding private placement warrants. As a result, the exercise price of your warrants could be increased, the exercise period could be shortened, and the number of shares of Class A common stock purchasable upon exercise of a warrant could be decreased, all without a warrant holder’s approval.</w:t>
      </w:r>
    </w:p>
    <w:p>
      <w:pPr>
        <w:spacing w:after="0" w:line="137" w:lineRule="exact"/>
        <w:rPr>
          <w:sz w:val="20"/>
          <w:szCs w:val="20"/>
          <w:color w:val="auto"/>
        </w:rPr>
      </w:pPr>
    </w:p>
    <w:p>
      <w:pPr>
        <w:jc w:val="both"/>
        <w:ind w:right="20" w:firstLine="283"/>
        <w:spacing w:after="0" w:line="270" w:lineRule="auto"/>
        <w:rPr>
          <w:sz w:val="20"/>
          <w:szCs w:val="20"/>
          <w:color w:val="auto"/>
        </w:rPr>
      </w:pPr>
      <w:r>
        <w:rPr>
          <w:rFonts w:ascii="Times New Roman" w:cs="Times New Roman" w:eastAsia="Times New Roman" w:hAnsi="Times New Roman"/>
          <w:sz w:val="15"/>
          <w:szCs w:val="15"/>
          <w:color w:val="auto"/>
        </w:rPr>
        <w:t>The warrants are issued in registered form under the Warrant Agreement. The Warrant Agreement provides that the terms of the warrants may be amended without the consent of any holder to cure any ambiguity or correct any defective provision, but requires the approval by the holders of at least 65% of each of (i) the then-outstanding public warrants and (ii) the then-outstanding private placement warrants to make any change that adversely affects the interests of the registered holders of warrants. Accordingly, we may amend the terms of the warrants in a manner adverse to a holder if holders of at least 65% of each of the then-outstanding public warrants and private placement warrants approve of such amendment. Although our ability to amend the terms of the warrants with the consent of at least 65% of each of the then-outstanding public warrants and private placement warrants is unlimited, examples of such amendments could be amendments to, among other things, increase the exercise price of the warrants, exchange the warrants for cash or Class A common stock, shorten the exercise period, or decrease the number of shares of Class A common stock purchasable upon exercise of a warrant.</w:t>
      </w:r>
    </w:p>
    <w:p>
      <w:pPr>
        <w:spacing w:after="0" w:line="1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Registration of the shares of our Class A common stock issuable upon exercise of the warrants under the Securities Act may not be in place when an investor desires to exercise warrants.</w:t>
      </w:r>
    </w:p>
    <w:p>
      <w:pPr>
        <w:spacing w:after="0" w:line="142"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Under the terms of the Warrant Agreement, we are obligated to file and maintain an effective registration statement under the U.S. Securities Act of 1933, as amended (the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covering the issuance of shares of our Class A common stock issuable upon exercise of the warrants, and thereafter will use our commercially reasonable efforts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that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are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If and when the warrants become redeemable by us, we may exercise our redemption right even if we are unable to register or qualify the underlying shares of Class A common stock for sale under all applicable state securities laws.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redeem your unexpired warrants that are not exchanged prior to their exercise at a time that is disadvantageous to you, thereby making your warrants worthless.</w:t>
      </w:r>
    </w:p>
    <w:p>
      <w:pPr>
        <w:spacing w:after="0" w:line="198"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We will have the ability to redeem outstanding warrants (excluding any private placement warrants held by the Sponsor or their permitted transferees) at any time after they become exercisable and prior to their expiration, at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we send proper notice of such redemption, provided that on the date we give notice of redemption and during the entire period thereafter until the time it redeems the warrants, we have an effective registration statement under the Securities Act covering the shares of our Class A common stock issuable upon exercise of the warrants and a current prospectus relating to them is available. We will also have the ability to redeem outstanding warrants at any time after they become exercisable and prior to their expiration, at $0.10 per warrant, provided that (i) the last reported sales price of our Class A common stock equals or exceeds $10.00 per share (as adjusted for stock splits, stock dividends, reorganizations, recapitalizations, and the like) for any 20 trading days within a 30 trading-day period ending on the third trading day prior to the date we send proper notice of such redemption and (ii) if the last reported sales price of our Class A common stock is less than $18.00 per share (as adjusted for stock splits, stock dividends, reorganizations, recapitalizations, and the like), the private placement warrants are also concurrently called for redemption on the same terms as the outstanding public warrants. If and when the warrants that are not exchanged become redeemable by us, we may exercise our redemption right even if we are unable to register or qualify the underlying securities for sale under all applicable state securities laws. Redemption of the outstanding warrants could force a warrant holder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will be substantially less than the market value of your warrants.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i w:val="1"/>
          <w:iCs w:val="1"/>
          <w:color w:val="auto"/>
        </w:rPr>
        <w:t>The liquidity of the warrants that are not exchanged may be reduced</w:t>
      </w:r>
      <w:r>
        <w:rPr>
          <w:rFonts w:ascii="Times New Roman" w:cs="Times New Roman" w:eastAsia="Times New Roman" w:hAnsi="Times New Roman"/>
          <w:sz w:val="16"/>
          <w:szCs w:val="16"/>
          <w:b w:val="1"/>
          <w:bCs w:val="1"/>
          <w:color w:val="auto"/>
        </w:rPr>
        <w:t>.</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If the Warrant Amendment is approved, it is unlikely that any warrants will remain outstanding following the completion of the Offer and Consent Solicitation. See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Warrant Amendment, if approved, will allow us to require that all outstanding warrants be exchanged for Class A common stock at a ratio 10% lower than the exchange ratio applicable to the Offer</w:t>
      </w:r>
      <w:r>
        <w:rPr>
          <w:rFonts w:ascii="Times New Roman" w:cs="Times New Roman" w:eastAsia="Times New Roman" w:hAnsi="Times New Roman"/>
          <w:sz w:val="16"/>
          <w:szCs w:val="16"/>
          <w:color w:val="auto"/>
        </w:rPr>
        <w:t>.” However, if any unexchanged warrants remain outstanding, then the ability to sell such warrants may become more limited due to the reduction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number of warrants outstanding upon completion of the Offer and Consent Solicitation. Additionally, if we fail to satisfy the Nasdaq’s listing requirements as a result of the exchange, such as by having fewer than 300 round lot holders, then the market for unexchanged warrants will be further impaired. A more limited trading market might adversely affect the liquidity, market price, and price volatility of unexchanged warrants. If there continues to be a market for our unexchanged warrants, these securities may trade at a discount to the price at which the securities would trade if the number outstanding were not reduced, depending on the market for similar securities and other factors.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Nasdaq may delist our public warrants from trading on its exchange, which could limit public warrant holders’ ability to make transactions in our public warrants.</w:t>
      </w:r>
    </w:p>
    <w:p>
      <w:pPr>
        <w:spacing w:after="0" w:line="196"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If the Warrant Amendment is approved, it is unlikely that any warrants will remain outstanding following the completion of the Offer and Consent Solicitation. See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Warrant Amendment, if approved, will allow us to require that all outstanding warrants be exchanged for Class A common stock at a ratio 10% lower than the exchange ratio applicable to the Offer</w:t>
      </w:r>
      <w:r>
        <w:rPr>
          <w:rFonts w:ascii="Times New Roman" w:cs="Times New Roman" w:eastAsia="Times New Roman" w:hAnsi="Times New Roman"/>
          <w:sz w:val="16"/>
          <w:szCs w:val="16"/>
          <w:color w:val="auto"/>
        </w:rPr>
        <w:t>.” However, if any unexchanged warrants remain outstanding following the completion of the Offer and Consent Solicitation, we cannot assure you that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warrants will continue to be listed on the Nasdaq in the future. In order to continue listing our warrants on the Nasdaq, there must be a minimum of at least two registered and active market makers for our warrants.</w:t>
      </w:r>
    </w:p>
    <w:p>
      <w:pPr>
        <w:spacing w:after="0" w:line="163"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a sufficient number of our warrant holders exchange their warrants for shares of Class A common stock in the Offer, there may no longer be at least two registered and active market makers for our warrants as required by the Nasdaq, and the Nasdaq could delist our warrants.</w:t>
      </w:r>
    </w:p>
    <w:p>
      <w:pPr>
        <w:spacing w:after="0" w:line="14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If the Nasdaq delists our warrants from trading on its exchange and we are not able to list our securities on another national securities exchange, our warrants could be quoted on an over-the-counter market. However, even if this were to occur, holders of warrants could face significant material adverse consequences, including:</w:t>
      </w:r>
    </w:p>
    <w:p>
      <w:pPr>
        <w:spacing w:after="0" w:line="145" w:lineRule="exact"/>
        <w:rPr>
          <w:sz w:val="20"/>
          <w:szCs w:val="20"/>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of market quotations for the warrants;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liquidity for the warrants;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any market makers that do initially make a market in our unexchanged warrants eventually cease to do so.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THE OFFER AND CONSENT SOLICITATION</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Participation in the Offer and Consent Solicitation involves a number of risks, including, but not limited to, the risks identified in the section entitled “Risk Factors.”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information and documents that have been included herein, before making a decision regarding the Offer and Consent Solicitation.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Terms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Until the Expiration Date, we are offering to holders of our warrants the opportunity to receive 0.250 shares of Class A common stock in exchange for each warrant they hold. Holders of the warrants tendered for exchange will not have to pay the exercise price for the tendered warrants in order to receive shares of Class A common stock pursuant to the Offer. Our obligation to complete the Offer is not conditioned on the receipt of a minimum number of tendered warrants.</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 less any applicable withholding taxes.</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part of the Offer, we are also soliciting from the holders of the warrants their consent to the Warrant Amendment, which, if approved, will permit the Company to require that all warrants outstanding upon completion of the Offer be exchanged for shares of Class A common stock at a ratio of 0.225 shares of Class A common stock per warrant, which is a ratio 10% less than the exchange ratio applicable to the Offer. The Warrant Amendment will permit us to eliminate all of the warrants that remain outstanding after the Offer is consummated. A copy of the Warrant Amendment is attached hereto as Annex A. We urge that you carefully read the Warrant Amendment in its entirety. Pursuant to the terms of the Warrant Agreement, the consent of holders of at least 65% of each of (i) the then-outstanding public warrants and (ii) the then-outstanding private placement warrants is required to approve the Warrant Amendment.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Holders who tender warrants for exchange in the Offer will automatically be deemed, without any further action, to have given their consent to approval of the Warrant Amendment (effective upon our acceptance of the tendered warrants). The consent to the Warrant Amendment is a part of the Letter of Transmittal and Consent relating to the warrants.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You cannot tender any warrants for exchange in the Offer without giving your consent to the Warrant Amendment. Thus, before deciding whether to tender any warrants, you should be aware that a tender of public warrants may result in the approval of the Warrant Amendment.</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Offer and Consent Solicitation is subject to the terms and conditions contained in this Prospectus/Offer to Exchange and the Letter of Transmittal and Consent.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You may tender some or all of your warrants into the Offer.</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you elect to tender warrants in the Offer and Consent Solicitation, please follow the instructions in this Prospectus/Offer to Exchange and the related documents, including the Letter of Transmittal and Consent.</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you tender warrants, you may withdraw your tendered warrants at any time before the Expiration Date and retain them on their current terms, or amended terms if the Warrant Amendment is approved, by following the instructions herein. In addition, warrants that are not accepted by us for exchange by December 16, 2022 may thereafter be withdrawn by you until such time as the warrants are accepted by us for exchange.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 xml:space="preserve">Our principal executive offices are located at One North Lexington Avenue, Suite 1450, White Plains, New York 10601, and our telephone number is (914) 705-4000. We maintain a website at </w:t>
      </w:r>
      <w:r>
        <w:rPr>
          <w:rFonts w:ascii="Times New Roman" w:cs="Times New Roman" w:eastAsia="Times New Roman" w:hAnsi="Times New Roman"/>
          <w:sz w:val="16"/>
          <w:szCs w:val="16"/>
          <w:i w:val="1"/>
          <w:iCs w:val="1"/>
          <w:color w:val="auto"/>
        </w:rPr>
        <w:t>www.opalfuels.com</w:t>
      </w:r>
      <w:r>
        <w:rPr>
          <w:rFonts w:ascii="Times New Roman" w:cs="Times New Roman" w:eastAsia="Times New Roman" w:hAnsi="Times New Roman"/>
          <w:sz w:val="16"/>
          <w:szCs w:val="16"/>
          <w:color w:val="auto"/>
        </w:rPr>
        <w:t xml:space="preserve"> where general information about us is available. The information contained on, or that may be accessed through, our website is not part of, and is not incorporated into, this Prospectus/Offer to Exchange or the registration statement of which it forms a part, and the inclusion of our website address in this Prospectus/Offer to Exchange is an inactive textual reference only.</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Class A common stock and public warrants are listed on the Nasdaq under the symbols “OPAL” and “OPALW,”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Warrants Subject to the Offer</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warrants subject to the Offer were issued in connection with Arclight’s initial public offering. Each warrant entitles the holder to purchase one share of our Class A common stock at a price of $11.50 per share, subject to adjustment. The public warrants are quoted on the Nasdaq under the symbol “OPALW.” As of August 15, 2022, a total of 15,446,494 warrants were outstanding, consisting of 6,223,233 public warrants and 9,223,261 private placement warrants. Pursuant to the Offer, we are offering up to an aggregate of 3,861,623 shares of our Class A common stock in exchange for the public warrants and private placement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Offer Period</w:t>
      </w:r>
    </w:p>
    <w:p>
      <w:pPr>
        <w:spacing w:after="0" w:line="196"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The Offer and Consent Solicitation will expire on the Expiration Date, which is 11:59 p.m., Eastern Time, on December 16, 2022,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Time, on the next business day following the Expiration Date as in effect immediately prior to such extension.</w:t>
      </w:r>
    </w:p>
    <w:p>
      <w:pPr>
        <w:spacing w:after="0" w:line="15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to the Offer and Consent Solicitation are not satisfied or waived prior to the Expiration Date. Upon any such withdrawal, we are required by Rule 13e-4(f)(5) under the Exchange Act to promptly return the tendered warrants. We will announce our decision to withdraw the Offer and Consent Solicitation by disseminating notice by public announcement or otherwise as permitted by applicable law.</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At the expiration of the Offer Period, the current terms of the warrants will continue to apply to any unexchanged warrants, or the amended terms if the Warrant Amendment is approved, until the warrants expire on July 21, 2027, subject to certain terms and conditions.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Amendments to the Offer and Consent Solicitation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reserve the right, at any time or from time to time, to amend the Offer and Consent Solicitation, including by increasing or (if the conditions to the Offer are not satisfied) decreasing the exchange ratio of Class A common stock issued for every warrant exchanged or by changing the terms of the Warrant Amendment.</w:t>
      </w:r>
    </w:p>
    <w:p>
      <w:pPr>
        <w:spacing w:after="0" w:line="14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Exchange Act. These rules require that the minimum period during which an offer must remain open after material changes in the terms of the offer or information concerning the offer, other than a change in price or a change in percentage of securities sought, will depend upon the facts and circumstances, including the relative materiality of the changed terms or information.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61" w:name="page62"/>
    <w:bookmarkEnd w:id="61"/>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we increase or decrease the exchange ratio of our Class A common stock issuable in exchange for a warrant, the amount of warrants sought for tender, or the dealer manager’s soliciting fee, and the Offer and Consent Solicitation is scheduled to expire at any time earlier than the end of the tenth business day from the date that we first publish, send, or give notice of such an increase or decrease, then we will extend the Offer and Consent Solicitation until the expiration of that ten-business-day period.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 material amendments to the Offer and Consent Solicitation may require us to extend the Offer and Consent Solicitation for a minimum of five business days.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Partial Exchange Permitted</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 less any applicable withholding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Conditions to the Offer and Consent Solicitation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Offer and Consent Solicitation are conditioned upon the following:</w:t>
      </w:r>
    </w:p>
    <w:p>
      <w:pPr>
        <w:spacing w:after="0" w:line="194" w:lineRule="exact"/>
        <w:rPr>
          <w:sz w:val="20"/>
          <w:szCs w:val="20"/>
          <w:color w:val="auto"/>
        </w:rPr>
      </w:pPr>
    </w:p>
    <w:p>
      <w:pPr>
        <w:ind w:left="560" w:right="20" w:hanging="282"/>
        <w:spacing w:after="0" w:line="275"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of which this Prospectus/Offer to Exchange forms a part, shall have become effective under the Securities Act, and shall not be the subject of any stop order or proceeding seeking a stop order;</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or the tender of some or all of the warrants pursuant to the Offer or otherwise relates in any manner to the Offer;</w:t>
      </w:r>
    </w:p>
    <w:p>
      <w:pPr>
        <w:spacing w:after="0" w:line="155" w:lineRule="exact"/>
        <w:rPr>
          <w:rFonts w:ascii="Times New Roman" w:cs="Times New Roman" w:eastAsia="Times New Roman" w:hAnsi="Times New Roman"/>
          <w:sz w:val="16"/>
          <w:szCs w:val="16"/>
          <w:color w:val="auto"/>
        </w:rPr>
      </w:pPr>
    </w:p>
    <w:p>
      <w:pPr>
        <w:jc w:val="both"/>
        <w:ind w:left="560" w:hanging="282"/>
        <w:spacing w:after="0" w:line="253"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would or might, directly or indirectly, (i) make the acceptance for exchange of, or exchange for, some or all of the warrants illegal or otherwise restrict or prohibit completion of the Offer or Consent Solicitation or (ii) delay or restrict our ability, or render us unable, to accept for exchange or exchange some or all of the warrants; and</w:t>
      </w:r>
    </w:p>
    <w:p>
      <w:pPr>
        <w:spacing w:after="0" w:line="164" w:lineRule="exact"/>
        <w:rPr>
          <w:rFonts w:ascii="Times New Roman" w:cs="Times New Roman" w:eastAsia="Times New Roman" w:hAnsi="Times New Roman"/>
          <w:sz w:val="16"/>
          <w:szCs w:val="16"/>
          <w:color w:val="auto"/>
        </w:rPr>
      </w:pPr>
    </w:p>
    <w:p>
      <w:pPr>
        <w:jc w:val="both"/>
        <w:ind w:left="560" w:hanging="282"/>
        <w:spacing w:after="0" w:line="251"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occurred: (i) any general suspension of trading in securities in U.S. securities or financial markets; (ii) a declaration of a banking moratorium or any suspension of payments in respect to banks in the United States; (iii) any limitation (whether or not mandatory) by any government or governmental, regulatory, or administrative authority, agency, or instrumentality, domestic or foreign, or other event that, in our reasonable judgment, would or would be reasonably likely to affect the extension of credit by banks or other lending institutions; or (iv) a natural disaster, a significant worsening of the ongoing COVID-19 pandemic, an outbreak of a pandemic or contagious disease other than COVID-19, or a commencement or significant worsening of a war or armed hostilities or other national or international calamity, including, but not limited to, catastrophic terrorist attacks against the United States or its citizens, which, in our reasonable judgment, is or may be materially adverse to us or otherwise makes it inadvisable for us to proceed with the Offer and Consent Solicitation.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62" w:name="page63"/>
    <w:bookmarkEnd w:id="62"/>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Consent Solicitation is conditioned on our receiving the consent of holders of at least 65% of each of (i) the then-outstanding public warrants and (ii) the then-outstanding private placement warrants to approve the Warrant Amendment (which is the minimum threshold required to amend the Warrant Agreement).</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will not complete the Offer and Consent Solicitation unless and until the registration statement described above is effective. If the registration statement is not effective at the Expiration Date, we may, in our discretion, extend, suspend, or cancel the Offer and Consent Solicitation, and will inform warrant holders of such event. If we extend the Offer Period, we will make a public announcement of such extension and the new Expiration Date by no later than 9:00 a.m., Eastern Time, on the next business day following the Expiration Date as in effect immediately prior to such extension.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foregoing conditions are solely for our benefit, and we may assert one or more of the conditions, in whole or in part, prior to the Expiration Date. We may also, in our sole and absolute discretion, waive these conditions in whole or in part, subject to the potential requirement to disseminate additional information and extend the Offer Period. The determination by us as to whether any condition has been satisfied shall be conclusive and binding on all parties. The failure by us at any time to exercise any of the foregoing rights shall not be deemed a waiver of any such right, and each such right shall be deemed a continuing right which may be asserted at any time and from time to time prior to the Expiration Date. If any of the conditions described above are not satisfied prior to the Expiration Date, we will promptly disclose our decision whether or not to waive such condition and, if the condition is material, we may be required to extend the Offer Period.</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Recommendation; Warrant Holder’s Own Decision</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None of our board of directors, our officers or employees, our affiliates, the dealer manager, the exchange agent, or the information agent is making any recommendations to any warrant holder as to whether to exchange their warrants and deliver their consent to the Warrant Amendment. Each warrant holder must make its own decision as to whether to tender warrants for exchange pursuant to the Offer and consent to the amendment of the Warrant Agreement pursuant to the Consent Solicitation.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Procedure for Tendering Warrants for Exchange and Consenting to the Warrant Amendment</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Issuance of Class A common stock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warrants will constitute a consent to the Warrant Amendment with respect to each warrant tendered.</w:t>
      </w:r>
    </w:p>
    <w:p>
      <w:pPr>
        <w:spacing w:after="0" w:line="164" w:lineRule="exact"/>
        <w:rPr>
          <w:sz w:val="20"/>
          <w:szCs w:val="20"/>
          <w:color w:val="auto"/>
        </w:rPr>
      </w:pPr>
    </w:p>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Prospectus/Offer to Exchange and Letter of Transmittal and Consent, in each case, as may be amended or supplemented prior to the Expiration Date; (ii) the warrant holder consents to the Warrant Amendment; (iii) the Offer is discretionary and may be extended, modified, suspended, or terminated by us as provided herein; (iv) such warrant holder is voluntarily participating in the Offer; (v) the future value of our warrants and Class A common stock is unknown and cannot be predicted with certainty; (vi) such warrant holder has read this Prospectus/Offer to Exchange, the Letter of Transmittal and Consent, and the Warrant Amendment; and (vii) regardless of any action that the Company takes with respect to any or all income/capital gains tax, social security or insurance, transfer tax, or other tax-related items (“</w:t>
      </w:r>
      <w:r>
        <w:rPr>
          <w:rFonts w:ascii="Times New Roman" w:cs="Times New Roman" w:eastAsia="Times New Roman" w:hAnsi="Times New Roman"/>
          <w:sz w:val="15"/>
          <w:szCs w:val="15"/>
          <w:i w:val="1"/>
          <w:iCs w:val="1"/>
          <w:color w:val="auto"/>
        </w:rPr>
        <w:t>Tax Items</w:t>
      </w:r>
      <w:r>
        <w:rPr>
          <w:rFonts w:ascii="Times New Roman" w:cs="Times New Roman" w:eastAsia="Times New Roman" w:hAnsi="Times New Roman"/>
          <w:sz w:val="15"/>
          <w:szCs w:val="15"/>
          <w:color w:val="auto"/>
        </w:rPr>
        <w:t>”) related to the Offer and the disposition of warrants, the ultimate liability for all Tax Items is and remains the responsibility solely of the holder, and in that regard, such holder will authorize the Company to withhold all applicable Tax Items legally payable by such holder.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i w:val="1"/>
          <w:iCs w:val="1"/>
          <w:color w:val="auto"/>
        </w:rPr>
        <w:t>Registered Holders of Warrants; Beneficial Owners of Warrants</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For purposes of the tender procedures set forth below, the term “</w:t>
      </w:r>
      <w:r>
        <w:rPr>
          <w:rFonts w:ascii="Times New Roman" w:cs="Times New Roman" w:eastAsia="Times New Roman" w:hAnsi="Times New Roman"/>
          <w:sz w:val="16"/>
          <w:szCs w:val="16"/>
          <w:i w:val="1"/>
          <w:iCs w:val="1"/>
          <w:color w:val="auto"/>
        </w:rPr>
        <w:t>registered holder</w:t>
      </w:r>
      <w:r>
        <w:rPr>
          <w:rFonts w:ascii="Times New Roman" w:cs="Times New Roman" w:eastAsia="Times New Roman" w:hAnsi="Times New Roman"/>
          <w:sz w:val="16"/>
          <w:szCs w:val="16"/>
          <w:color w:val="auto"/>
        </w:rPr>
        <w:t>” means any person in whose name warrants are registered on our books or who is listed as a participant in a clearing agency’s security position listing with respect to the warrants.</w:t>
      </w:r>
    </w:p>
    <w:p>
      <w:pPr>
        <w:spacing w:after="0" w:line="141"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Persons whose warrants are held through a direct or indirect participant of The Depository Trust Company (“</w:t>
      </w:r>
      <w:r>
        <w:rPr>
          <w:rFonts w:ascii="Times New Roman" w:cs="Times New Roman" w:eastAsia="Times New Roman" w:hAnsi="Times New Roman"/>
          <w:sz w:val="16"/>
          <w:szCs w:val="16"/>
          <w:i w:val="1"/>
          <w:iCs w:val="1"/>
          <w:color w:val="auto"/>
        </w:rPr>
        <w:t>DTC</w:t>
      </w:r>
      <w:r>
        <w:rPr>
          <w:rFonts w:ascii="Times New Roman" w:cs="Times New Roman" w:eastAsia="Times New Roman" w:hAnsi="Times New Roman"/>
          <w:sz w:val="16"/>
          <w:szCs w:val="16"/>
          <w:color w:val="auto"/>
        </w:rPr>
        <w:t>”),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w:t>
      </w:r>
      <w:r>
        <w:rPr>
          <w:rFonts w:ascii="Times New Roman" w:cs="Times New Roman" w:eastAsia="Times New Roman" w:hAnsi="Times New Roman"/>
          <w:sz w:val="16"/>
          <w:szCs w:val="16"/>
          <w:i w:val="1"/>
          <w:iCs w:val="1"/>
          <w:color w:val="auto"/>
        </w:rPr>
        <w:t>—Required Communications by Beneficial Owners</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Tendering Warrants Using Letter of Transmittal and Consent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 registered holder of warrants may tender their warrants for exchange using a Letter of Transmittal and Consent in the form provided by us with this Prospectus/Offer to Exchange. A Letter of Transmittal and Consent is to be used only if delivery of warrants is to be made by book-entry transfer to the exchange agent’s account at DTC pursuant to the procedures set forth in “</w:t>
      </w:r>
      <w:r>
        <w:rPr>
          <w:rFonts w:ascii="Times New Roman" w:cs="Times New Roman" w:eastAsia="Times New Roman" w:hAnsi="Times New Roman"/>
          <w:sz w:val="16"/>
          <w:szCs w:val="16"/>
          <w:i w:val="1"/>
          <w:iCs w:val="1"/>
          <w:color w:val="auto"/>
        </w:rPr>
        <w:t>—Tendering Warrants Using Book-Entry Transfer</w:t>
      </w:r>
      <w:r>
        <w:rPr>
          <w:rFonts w:ascii="Times New Roman" w:cs="Times New Roman" w:eastAsia="Times New Roman" w:hAnsi="Times New Roman"/>
          <w:sz w:val="16"/>
          <w:szCs w:val="16"/>
          <w:color w:val="auto"/>
        </w:rPr>
        <w:t>”; provided, however, that it is not necessary to execute and deliver a Letter of Transmittal and Consent if instructions with respect to the tender of such warrants are transmitted through DTC’s Automated Tender Offer Program (“</w:t>
      </w:r>
      <w:r>
        <w:rPr>
          <w:rFonts w:ascii="Times New Roman" w:cs="Times New Roman" w:eastAsia="Times New Roman" w:hAnsi="Times New Roman"/>
          <w:sz w:val="16"/>
          <w:szCs w:val="16"/>
          <w:i w:val="1"/>
          <w:iCs w:val="1"/>
          <w:color w:val="auto"/>
        </w:rPr>
        <w:t>ATOP</w:t>
      </w:r>
      <w:r>
        <w:rPr>
          <w:rFonts w:ascii="Times New Roman" w:cs="Times New Roman" w:eastAsia="Times New Roman" w:hAnsi="Times New Roman"/>
          <w:sz w:val="16"/>
          <w:szCs w:val="16"/>
          <w:color w:val="auto"/>
        </w:rPr>
        <w:t>”). If you are a registered holder of warrants, unless you intend to tender those warrants through ATOP, you should complete, execute, and deliver a Letter of Transmittal and Consent to indicate the action you desire to take with respect to the Offer and Consent Solicitation.</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 the Letter of Transmittal and Consent, the tendering registered warrant holder must set forth: (i) its name and address; (ii) the number of warrants being tendered by the holder for exchange; and (iii) certain other information specified in the form of Letter of Transmittal and Consent.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certain cases, all signatures on the Letter of Transmittal and Consent must be guaranteed by an Eligible Institution (as defined below). See “</w:t>
      </w:r>
      <w:r>
        <w:rPr>
          <w:rFonts w:ascii="Times New Roman" w:cs="Times New Roman" w:eastAsia="Times New Roman" w:hAnsi="Times New Roman"/>
          <w:sz w:val="16"/>
          <w:szCs w:val="16"/>
          <w:i w:val="1"/>
          <w:iCs w:val="1"/>
          <w:color w:val="auto"/>
        </w:rPr>
        <w:t>—Signature Guarantees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If the Letter of Transmittal and Consent is signed by someone other than the registered holder of the tendered warrants (for example, if the registered holder has assigned the warrants to a third-party), or if our shares of Class A common stock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Any warrants duly tendered and delivered as described above shall be automatically cancelled upon the issuance of Class A common stock in exchange for such warrants as part of the completion of the Offer.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i w:val="1"/>
          <w:iCs w:val="1"/>
          <w:color w:val="auto"/>
        </w:rPr>
        <w:t>Signature Guarantees</w:t>
      </w:r>
    </w:p>
    <w:p>
      <w:pPr>
        <w:spacing w:after="0" w:line="194" w:lineRule="exact"/>
        <w:rPr>
          <w:sz w:val="20"/>
          <w:szCs w:val="20"/>
          <w:color w:val="auto"/>
        </w:rPr>
      </w:pPr>
    </w:p>
    <w:p>
      <w:pPr>
        <w:jc w:val="both"/>
        <w:ind w:right="20" w:firstLine="283"/>
        <w:spacing w:after="0" w:line="262" w:lineRule="auto"/>
        <w:rPr>
          <w:sz w:val="20"/>
          <w:szCs w:val="20"/>
          <w:color w:val="auto"/>
        </w:rPr>
      </w:pPr>
      <w:r>
        <w:rPr>
          <w:rFonts w:ascii="Times New Roman" w:cs="Times New Roman" w:eastAsia="Times New Roman" w:hAnsi="Times New Roman"/>
          <w:sz w:val="16"/>
          <w:szCs w:val="16"/>
          <w:color w:val="auto"/>
        </w:rPr>
        <w:t>In certain cases, all signatures on the Letter of Transmittal and Consent must be guaranteed by an “</w:t>
      </w:r>
      <w:r>
        <w:rPr>
          <w:rFonts w:ascii="Times New Roman" w:cs="Times New Roman" w:eastAsia="Times New Roman" w:hAnsi="Times New Roman"/>
          <w:sz w:val="16"/>
          <w:szCs w:val="16"/>
          <w:i w:val="1"/>
          <w:iCs w:val="1"/>
          <w:color w:val="auto"/>
        </w:rPr>
        <w:t>Eligible Institution</w:t>
      </w:r>
      <w:r>
        <w:rPr>
          <w:rFonts w:ascii="Times New Roman" w:cs="Times New Roman" w:eastAsia="Times New Roman" w:hAnsi="Times New Roman"/>
          <w:sz w:val="16"/>
          <w:szCs w:val="16"/>
          <w:color w:val="auto"/>
        </w:rPr>
        <w:t>.” An “</w:t>
      </w:r>
      <w:r>
        <w:rPr>
          <w:rFonts w:ascii="Times New Roman" w:cs="Times New Roman" w:eastAsia="Times New Roman" w:hAnsi="Times New Roman"/>
          <w:sz w:val="16"/>
          <w:szCs w:val="16"/>
          <w:i w:val="1"/>
          <w:iCs w:val="1"/>
          <w:color w:val="auto"/>
        </w:rPr>
        <w:t>Eligible Institution</w:t>
      </w:r>
      <w:r>
        <w:rPr>
          <w:rFonts w:ascii="Times New Roman" w:cs="Times New Roman" w:eastAsia="Times New Roman" w:hAnsi="Times New Roman"/>
          <w:sz w:val="16"/>
          <w:szCs w:val="16"/>
          <w:color w:val="auto"/>
        </w:rPr>
        <w:t>” is a bank, broker dealer, credit union, savings association, or other entity that is a member in good standing of the Securities Transfer Agents Medallion Program or a bank, broker, dealer, credit union, savings association, or other entity that is an “</w:t>
      </w:r>
      <w:r>
        <w:rPr>
          <w:rFonts w:ascii="Times New Roman" w:cs="Times New Roman" w:eastAsia="Times New Roman" w:hAnsi="Times New Roman"/>
          <w:sz w:val="16"/>
          <w:szCs w:val="16"/>
          <w:i w:val="1"/>
          <w:iCs w:val="1"/>
          <w:color w:val="auto"/>
        </w:rPr>
        <w:t>eligible guarantor institution</w:t>
      </w:r>
      <w:r>
        <w:rPr>
          <w:rFonts w:ascii="Times New Roman" w:cs="Times New Roman" w:eastAsia="Times New Roman" w:hAnsi="Times New Roman"/>
          <w:sz w:val="16"/>
          <w:szCs w:val="16"/>
          <w:color w:val="auto"/>
        </w:rPr>
        <w:t>,” as that term is defined in Rule 17Ad-15 promulgated under the Exchange Act.</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w:t>
      </w:r>
      <w:r>
        <w:rPr>
          <w:rFonts w:ascii="Times New Roman" w:cs="Times New Roman" w:eastAsia="Times New Roman" w:hAnsi="Times New Roman"/>
          <w:sz w:val="16"/>
          <w:szCs w:val="16"/>
          <w:i w:val="1"/>
          <w:iCs w:val="1"/>
          <w:color w:val="auto"/>
        </w:rPr>
        <w:t>Special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Issuance Instructions</w:t>
      </w:r>
      <w:r>
        <w:rPr>
          <w:rFonts w:ascii="Times New Roman" w:cs="Times New Roman" w:eastAsia="Times New Roman" w:hAnsi="Times New Roman"/>
          <w:sz w:val="16"/>
          <w:szCs w:val="16"/>
          <w:color w:val="auto"/>
        </w:rPr>
        <w:t>” in the Letter of Transmittal and Consent, or (ii) such warrants are tendered for the account of an Eligible Institution. In all other cases, an Eligible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Institution must guarantee all signatures on the Letter of Transmittal and Consent by completing and signing the table in the Letter of Transmittal and Consent entitled “</w:t>
      </w:r>
      <w:r>
        <w:rPr>
          <w:rFonts w:ascii="Times New Roman" w:cs="Times New Roman" w:eastAsia="Times New Roman" w:hAnsi="Times New Roman"/>
          <w:sz w:val="16"/>
          <w:szCs w:val="16"/>
          <w:i w:val="1"/>
          <w:iCs w:val="1"/>
          <w:color w:val="auto"/>
        </w:rPr>
        <w:t>Guarantee of Signature(s)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Communications by Beneficial Owners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Persons whose warrants are held through a direct or indirect DTC participant, such as a broker, dealer, commercial bank, trust company, or other financial intermediary, are not considered registered holders of those warrants, but are “</w:t>
      </w: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 and must instruct the broker, dealer, commercial bank, trust company, or other financial intermediary to tender warrants on their behalf. Your broker, dealer, commercial bank, trust company, or other financial intermediary should have provided you with an “</w:t>
      </w:r>
      <w:r>
        <w:rPr>
          <w:rFonts w:ascii="Times New Roman" w:cs="Times New Roman" w:eastAsia="Times New Roman" w:hAnsi="Times New Roman"/>
          <w:sz w:val="16"/>
          <w:szCs w:val="16"/>
          <w:i w:val="1"/>
          <w:iCs w:val="1"/>
          <w:color w:val="auto"/>
        </w:rPr>
        <w:t>Instructions Form</w:t>
      </w:r>
      <w:r>
        <w:rPr>
          <w:rFonts w:ascii="Times New Roman" w:cs="Times New Roman" w:eastAsia="Times New Roman" w:hAnsi="Times New Roman"/>
          <w:sz w:val="16"/>
          <w:szCs w:val="16"/>
          <w:color w:val="auto"/>
        </w:rPr>
        <w:t>” with this Prospectus/Offer to Exchange. The Instructions Form is also filed as an exhibit to the registration statement of which this Prospectus/Offer to Exchange forms a part. The Instructions Form may be used by you to instruct your broker or other custodian to tender and deliver warrants on your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Tendering Warrants Using Book-Entry Transfer</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w:t>
      </w:r>
      <w:r>
        <w:rPr>
          <w:rFonts w:ascii="Times New Roman" w:cs="Times New Roman" w:eastAsia="Times New Roman" w:hAnsi="Times New Roman"/>
          <w:sz w:val="16"/>
          <w:szCs w:val="16"/>
          <w:i w:val="1"/>
          <w:iCs w:val="1"/>
          <w:color w:val="auto"/>
        </w:rPr>
        <w:t>Agent’s Message</w:t>
      </w:r>
      <w:r>
        <w:rPr>
          <w:rFonts w:ascii="Times New Roman" w:cs="Times New Roman" w:eastAsia="Times New Roman" w:hAnsi="Times New Roman"/>
          <w:sz w:val="16"/>
          <w:szCs w:val="16"/>
          <w:color w:val="auto"/>
        </w:rPr>
        <w:t>”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w:t>
      </w:r>
      <w:r>
        <w:rPr>
          <w:rFonts w:ascii="Times New Roman" w:cs="Times New Roman" w:eastAsia="Times New Roman" w:hAnsi="Times New Roman"/>
          <w:sz w:val="16"/>
          <w:szCs w:val="16"/>
          <w:i w:val="1"/>
          <w:iCs w:val="1"/>
          <w:color w:val="auto"/>
        </w:rPr>
        <w:t>—Guaranteed Delivery Procedures</w:t>
      </w:r>
      <w:r>
        <w:rPr>
          <w:rFonts w:ascii="Times New Roman" w:cs="Times New Roman" w:eastAsia="Times New Roman" w:hAnsi="Times New Roman"/>
          <w:sz w:val="16"/>
          <w:szCs w:val="16"/>
          <w:color w:val="auto"/>
        </w:rPr>
        <w:t>” must be followed.</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w:t>
      </w:r>
      <w:r>
        <w:rPr>
          <w:rFonts w:ascii="Times New Roman" w:cs="Times New Roman" w:eastAsia="Times New Roman" w:hAnsi="Times New Roman"/>
          <w:sz w:val="16"/>
          <w:szCs w:val="16"/>
          <w:i w:val="1"/>
          <w:iCs w:val="1"/>
          <w:color w:val="auto"/>
        </w:rPr>
        <w:t>Agent’s Message</w:t>
      </w:r>
      <w:r>
        <w:rPr>
          <w:rFonts w:ascii="Times New Roman" w:cs="Times New Roman" w:eastAsia="Times New Roman" w:hAnsi="Times New Roman"/>
          <w:sz w:val="16"/>
          <w:szCs w:val="16"/>
          <w:color w:val="auto"/>
        </w:rPr>
        <w:t>” to the exchange agent for acceptance. Delivery of the Agent’s Message by DTC will satisfy the terms of the Offer and Consent Solicitation as to execution and delivery of a Letter of Transmittal and Consent by the DTC participant identified in the Agent’s Message. The term “</w:t>
      </w:r>
      <w:r>
        <w:rPr>
          <w:rFonts w:ascii="Times New Roman" w:cs="Times New Roman" w:eastAsia="Times New Roman" w:hAnsi="Times New Roman"/>
          <w:sz w:val="16"/>
          <w:szCs w:val="16"/>
          <w:i w:val="1"/>
          <w:iCs w:val="1"/>
          <w:color w:val="auto"/>
        </w:rPr>
        <w:t>Agent’s Message</w:t>
      </w:r>
      <w:r>
        <w:rPr>
          <w:rFonts w:ascii="Times New Roman" w:cs="Times New Roman" w:eastAsia="Times New Roman" w:hAnsi="Times New Roman"/>
          <w:sz w:val="16"/>
          <w:szCs w:val="16"/>
          <w:color w:val="auto"/>
        </w:rPr>
        <w:t>”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we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65" w:name="page66"/>
    <w:bookmarkEnd w:id="65"/>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Any warrants duly tendered and delivered as described above shall be automatically cancelled upon the issuance of Class A common stock in exchange for such warrants as part of the completion of the Offer.</w:t>
      </w:r>
    </w:p>
    <w:p>
      <w:pPr>
        <w:spacing w:after="0" w:line="143"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6"/>
          <w:szCs w:val="16"/>
          <w:color w:val="auto"/>
        </w:rPr>
        <w:t>Delivery of a Letter of Transmittal and Consent or any other required documentation to DTC does not constitute delivery to the exchange agent. See “</w:t>
      </w:r>
      <w:r>
        <w:rPr>
          <w:rFonts w:ascii="Times New Roman" w:cs="Times New Roman" w:eastAsia="Times New Roman" w:hAnsi="Times New Roman"/>
          <w:sz w:val="16"/>
          <w:szCs w:val="16"/>
          <w:i w:val="1"/>
          <w:iCs w:val="1"/>
          <w:color w:val="auto"/>
        </w:rPr>
        <w:t>—Timing and Manner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Deliveries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Guaranteed Delivery Procedures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a registered holder of warrants desires to tender its warrants for exchange pursuant to the Offer, but (i) the procedure for book-entry transfer cannot be completed on a timely basis or (ii) time will not permit all required documents to reach the exchange agent prior to the Expiration Date, the holder can still tender its warrants if all the following conditions are met:</w:t>
      </w:r>
    </w:p>
    <w:p>
      <w:pPr>
        <w:spacing w:after="0" w:line="156" w:lineRule="exact"/>
        <w:rPr>
          <w:sz w:val="20"/>
          <w:szCs w:val="20"/>
          <w:color w:val="auto"/>
        </w:rPr>
      </w:pPr>
    </w:p>
    <w:p>
      <w:pPr>
        <w:ind w:left="560" w:hanging="282"/>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tender is made by or through an Eligible Institution;</w:t>
      </w:r>
    </w:p>
    <w:p>
      <w:pPr>
        <w:spacing w:after="0" w:line="194" w:lineRule="exact"/>
        <w:rPr>
          <w:rFonts w:ascii="Times New Roman" w:cs="Times New Roman" w:eastAsia="Times New Roman" w:hAnsi="Times New Roman"/>
          <w:sz w:val="16"/>
          <w:szCs w:val="16"/>
          <w:color w:val="auto"/>
        </w:rPr>
      </w:pPr>
    </w:p>
    <w:p>
      <w:pPr>
        <w:jc w:val="both"/>
        <w:ind w:left="560" w:hanging="282"/>
        <w:spacing w:after="0" w:line="310" w:lineRule="auto"/>
        <w:tabs>
          <w:tab w:leader="none" w:pos="5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agent receives by hand, mail, overnight courier, facsimile, or electronic mail transmission, prior to the Expiration Date, a properly completed and duly executed Notice of Guaranteed Delivery in the form we have provided with this Prospectus/Offer to Exchange, with signatures guaranteed by an Eligible Institution; and</w:t>
      </w:r>
    </w:p>
    <w:p>
      <w:pPr>
        <w:spacing w:after="0" w:line="121" w:lineRule="exact"/>
        <w:rPr>
          <w:rFonts w:ascii="Times New Roman" w:cs="Times New Roman" w:eastAsia="Times New Roman" w:hAnsi="Times New Roman"/>
          <w:sz w:val="15"/>
          <w:szCs w:val="15"/>
          <w:color w:val="auto"/>
        </w:rPr>
      </w:pPr>
    </w:p>
    <w:p>
      <w:pPr>
        <w:jc w:val="both"/>
        <w:ind w:left="560" w:hanging="282"/>
        <w:spacing w:after="0" w:line="256" w:lineRule="auto"/>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the Nasdaq is open for trading after the date the exchange agent receives such Notice of Guaranteed Delivery.</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 any case where the guaranteed delivery procedure is utilized for the tender of warrants pursuant to the Offer, the issuance of Class A common stock for those warrants tendered for exchange pursuant to the Offer and accepted pursuant to the Offer will be made only if the exchange agent has timely received the applicable foregoing items.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Timing and Manner of Deliveries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Determination of Validity</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All questions as to the form of documents and the validity, eligibility (including time of receipt), and acceptance for exchange of any tender of warrants will be determined by us, in our sole discretion, and our determination will be final and binding. We reserve the absolute right to reject any or all tenders of warrants that we determine are not in proper form or reject tenders of warrants that may, in the opinion of our counsel, be unlawful. We also reserve the absolute right to waive any defect or irregularity in any tender of any particular warrant, whether or not similar defects or irregularities are waived in the case of other tendered warrants. Neither we nor any other person will be under any duty to give notice of any defect or irregularity in tenders, nor shall any of us or them incur any liability for failure to give any such notice.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i w:val="1"/>
          <w:iCs w:val="1"/>
          <w:color w:val="auto"/>
        </w:rPr>
        <w:t>Fees and Commissions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Transfer Taxes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Class A common stock is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Withdrawal Rights</w:t>
      </w:r>
    </w:p>
    <w:p>
      <w:pPr>
        <w:spacing w:after="0" w:line="196"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By tendering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warrants. A valid withdrawal of tendered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by October 12, 2022 may thereafter be withdrawn by you until such time as the warrants are accepted by us for exchange.</w:t>
      </w:r>
    </w:p>
    <w:p>
      <w:pPr>
        <w:spacing w:after="0" w:line="165"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this section entitled “</w:t>
      </w:r>
      <w:r>
        <w:rPr>
          <w:rFonts w:ascii="Times New Roman" w:cs="Times New Roman" w:eastAsia="Times New Roman" w:hAnsi="Times New Roman"/>
          <w:sz w:val="15"/>
          <w:szCs w:val="15"/>
          <w:i w:val="1"/>
          <w:iCs w:val="1"/>
          <w:color w:val="auto"/>
        </w:rPr>
        <w:t>—Procedure for Tendering Warrants for Exchange</w:t>
      </w:r>
      <w:r>
        <w:rPr>
          <w:rFonts w:ascii="Times New Roman" w:cs="Times New Roman" w:eastAsia="Times New Roman" w:hAnsi="Times New Roman"/>
          <w:sz w:val="15"/>
          <w:szCs w:val="15"/>
          <w:color w:val="auto"/>
        </w:rPr>
        <w:t>” at any time prior to the Expiration Date.</w:t>
      </w:r>
    </w:p>
    <w:p>
      <w:pPr>
        <w:spacing w:after="0" w:line="15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w:t>
      </w:r>
      <w:r>
        <w:rPr>
          <w:rFonts w:ascii="Times New Roman" w:cs="Times New Roman" w:eastAsia="Times New Roman" w:hAnsi="Times New Roman"/>
          <w:sz w:val="16"/>
          <w:szCs w:val="16"/>
          <w:i w:val="1"/>
          <w:iCs w:val="1"/>
          <w:color w:val="auto"/>
        </w:rPr>
        <w:t>PTOP</w:t>
      </w:r>
      <w:r>
        <w:rPr>
          <w:rFonts w:ascii="Times New Roman" w:cs="Times New Roman" w:eastAsia="Times New Roman" w:hAnsi="Times New Roman"/>
          <w:sz w:val="16"/>
          <w:szCs w:val="16"/>
          <w:color w:val="auto"/>
        </w:rPr>
        <w:t>”)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67" w:name="page68"/>
    <w:bookmarkEnd w:id="67"/>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 xml:space="preserve">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entitled “— </w:t>
      </w:r>
      <w:r>
        <w:rPr>
          <w:rFonts w:ascii="Times New Roman" w:cs="Times New Roman" w:eastAsia="Times New Roman" w:hAnsi="Times New Roman"/>
          <w:sz w:val="16"/>
          <w:szCs w:val="16"/>
          <w:i w:val="1"/>
          <w:iCs w:val="1"/>
          <w:color w:val="auto"/>
        </w:rPr>
        <w:t>Procedure for Tendering Warrants for Exchange—Signature Guarantees</w:t>
      </w:r>
      <w:r>
        <w:rPr>
          <w:rFonts w:ascii="Times New Roman" w:cs="Times New Roman" w:eastAsia="Times New Roman" w:hAnsi="Times New Roman"/>
          <w:sz w:val="16"/>
          <w:szCs w:val="16"/>
          <w:color w:val="auto"/>
        </w:rPr>
        <w:t>”; provided, however, that signatures on the notice of withdrawal need not be guaranteed if the warrants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w:t>
      </w:r>
    </w:p>
    <w:p>
      <w:pPr>
        <w:spacing w:after="0" w:line="164"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All questions as to the form and validity (including time of receipt) of any notice of withdrawal will be determined by us, in our sole discretion, which determination shall be final and binding. Neither we nor any other person will be under any duty to give notification of any defect or irregularity in any notice of withdrawal or incur any liability for failure to give any such notification.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Acceptance for Issuance of Shares</w:t>
      </w:r>
    </w:p>
    <w:p>
      <w:pPr>
        <w:spacing w:after="0" w:line="196" w:lineRule="exact"/>
        <w:rPr>
          <w:sz w:val="20"/>
          <w:szCs w:val="20"/>
          <w:color w:val="auto"/>
        </w:rPr>
      </w:pPr>
    </w:p>
    <w:p>
      <w:pPr>
        <w:jc w:val="both"/>
        <w:ind w:left="5" w:firstLine="283"/>
        <w:spacing w:after="0" w:line="269" w:lineRule="auto"/>
        <w:rPr>
          <w:sz w:val="20"/>
          <w:szCs w:val="20"/>
          <w:color w:val="auto"/>
        </w:rPr>
      </w:pPr>
      <w:r>
        <w:rPr>
          <w:rFonts w:ascii="Times New Roman" w:cs="Times New Roman" w:eastAsia="Times New Roman" w:hAnsi="Times New Roman"/>
          <w:sz w:val="15"/>
          <w:szCs w:val="15"/>
          <w:color w:val="auto"/>
        </w:rPr>
        <w:t>Upon the terms and subject to the conditions of the Offer and Consent Solicitation, we will accept for exchange warrants validly tendered until the Expiration Date, which is 11:59 p.m., Eastern Time, on December 16, 2022, or such later time and date to which we may extend. Our Class A common stock to be issued upon exchange of warrants pursuant to the Offer, along with written notice from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w:t>
      </w:r>
    </w:p>
    <w:p>
      <w:pPr>
        <w:ind w:left="5" w:right="20" w:hanging="5"/>
        <w:spacing w:after="0" w:line="253" w:lineRule="auto"/>
        <w:tabs>
          <w:tab w:leader="none" w:pos="23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properly completed and duly executed Letter of Transmittal and Consent, or compliance with ATOP where applicable, (iii) any other documentation required by the Letter of Transmittal and Consent, and (iv) any required signature guarantees.</w:t>
      </w:r>
    </w:p>
    <w:p>
      <w:pPr>
        <w:spacing w:after="0" w:line="16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purposes of the Offer and Consent Solicitation, we will be deemed to have accepted for exchange warrants that are validly tendered and for which tenders are not withdrawn, unless we give written notice to the warrant holder of our non-acceptance.</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Announcement of Results of the Offer and Consent Solicitation</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We will announce the final results of the Offer and Consent Solicitation, including whether all of the conditions to the Offer and Consent Solicitation have been satisfied or waived and whether we will accept the tendered warrants for exchange, as promptly as practicable following the end of the Offer Period. The announcement will be made by a press release and by amendment to the Schedule TO we will file with the SEC in connection with the Offer and Consent Solicitation.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Background and Purpose of the Offer and Consent Solicitation</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Our board of directors approved the Offer and Consent Solicitation on November 1, 2022. The purpose of the Offer and Consent Solicitation is to attempt to simplify our capital structure and reduce the potential dilutive impact of the warrants, thereby providing us with more flexibility for financing our operations in the future. The warrants that are tendered for exchange pursuant to the Offer will be retired and cancelled automatically upon the issuance of Class A common stock in exchange for such warrants pursuant to the Offer.</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Agreements, Regulatory Requirements, and Legal Proceedings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Except for the Warrant Agreement and the Tender and Support Agreement, there are no present or proposed agreements, arrangements, understandings, or relationships between us, and any of our directors, executive officers, affiliates, or any other person relating, directly or indirectly, to the Offer and Consent Solicitation or to our securities that are the subject of the Offer and Consent Solicitation.</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68" w:name="page69"/>
    <w:bookmarkEnd w:id="68"/>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Pursuant to the Tender and Support Agreement, parties representing approximately 53.3% of the outstanding public warrants and 100% of the outstanding private placement warrants have agreed to tender their public warrants and private placement warrants (as applicable) in the Offer and to consent to the Warrant Amendment in the Consent Solicitation. Accordingly, if holders of an additional approximately 11.7% of our outstanding public warrants consent to the Warrant Amendment in the Consent Solicitation, and the other conditions described herein are satisfied or waived, then the Warrant Amendment will be adopted.</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are no pending legal proceedings relating to the Offer and Consent Solicitation.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Interests of Directors, Executive Officers, and Others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do not beneficially own any of the outstanding warrants. Certain of our directors may be deemed to beneficially own private placement warrants as outlined in the table below. ArcLight CTC Holdings II, L.P. (“Sponsor”) has agreed, pursuant to the Tender and Support Agreement, to tender such warrants pursuant to the Offer. Sponsor will not receive any benefit by virtue of participation in the Offer or Consent Solicitation that is not shared on a pro rata basis with holders of the outstanding warrants exchanged pursuant to the Offer. None of our other directors, executive officers, or controlling persons or any of their respective affiliates are required to or have indicated that they will participate in the Offer.</w:t>
      </w:r>
    </w:p>
    <w:p>
      <w:pPr>
        <w:spacing w:after="0" w:line="164"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lists the warrants beneficially owned by our directors, executive officers, and controlling persons and any of their respective affiliates as of November 16,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Private</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Placement</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Placement</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Public 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Public Warrants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Warrants</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r>
      <w:tr>
        <w:trPr>
          <w:trHeight w:val="211"/>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40" w:type="dxa"/>
            <w:vAlign w:val="bottom"/>
            <w:tcBorders>
              <w:bottom w:val="single" w:sz="8" w:color="CCEEFF"/>
            </w:tcBorders>
          </w:tcPr>
          <w:p>
            <w:pPr>
              <w:spacing w:after="0"/>
              <w:rPr>
                <w:sz w:val="18"/>
                <w:szCs w:val="18"/>
                <w:color w:val="auto"/>
              </w:rPr>
            </w:pPr>
          </w:p>
        </w:tc>
      </w:tr>
      <w:tr>
        <w:trPr>
          <w:trHeight w:val="18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ArcLight CTC Holdings II, L.P.</w:t>
            </w:r>
          </w:p>
        </w:tc>
        <w:tc>
          <w:tcPr>
            <w:tcW w:w="2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7,238,025</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78.48%</w:t>
            </w:r>
          </w:p>
        </w:tc>
      </w:tr>
      <w:tr>
        <w:trPr>
          <w:trHeight w:val="571"/>
        </w:trPr>
        <w:tc>
          <w:tcPr>
            <w:tcW w:w="37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8" w:right="319" w:bottom="1440" w:gutter="0" w:footer="0" w:header="0"/>
        </w:sectPr>
      </w:pPr>
    </w:p>
    <w:bookmarkStart w:id="69" w:name="page70"/>
    <w:bookmarkEnd w:id="69"/>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5"/>
          <w:szCs w:val="15"/>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w:t>
      </w:r>
    </w:p>
    <w:p>
      <w:pPr>
        <w:jc w:val="both"/>
        <w:ind w:left="5" w:hanging="5"/>
        <w:spacing w:after="0" w:line="248" w:lineRule="auto"/>
        <w:tabs>
          <w:tab w:leader="none" w:pos="2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RNG as pipeline quality natural gas. OPAL also designs, develops, constructs, operates and services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Overview of Capture and Conversion Business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LFG to energy industry for over 20 years. We have established our operating portfolio through self-development, partnerships, and acquisitions.</w:t>
      </w:r>
    </w:p>
    <w:p>
      <w:pPr>
        <w:spacing w:after="0" w:line="15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60" w:lineRule="exact"/>
        <w:rPr>
          <w:sz w:val="20"/>
          <w:szCs w:val="20"/>
          <w:color w:val="auto"/>
        </w:rPr>
      </w:pPr>
    </w:p>
    <w:p>
      <w:pPr>
        <w:jc w:val="both"/>
        <w:ind w:left="5" w:firstLine="283"/>
        <w:spacing w:after="0" w:line="257" w:lineRule="auto"/>
        <w:rPr>
          <w:sz w:val="20"/>
          <w:szCs w:val="20"/>
          <w:color w:val="auto"/>
        </w:rPr>
      </w:pPr>
      <w:r>
        <w:rPr>
          <w:rFonts w:ascii="Times New Roman" w:cs="Times New Roman" w:eastAsia="Times New Roman" w:hAnsi="Times New Roman"/>
          <w:sz w:val="16"/>
          <w:szCs w:val="16"/>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w:t>
      </w:r>
    </w:p>
    <w:p>
      <w:pPr>
        <w:spacing w:after="0" w:line="1" w:lineRule="exact"/>
        <w:rPr>
          <w:sz w:val="20"/>
          <w:szCs w:val="20"/>
          <w:color w:val="auto"/>
        </w:rPr>
      </w:pPr>
    </w:p>
    <w:p>
      <w:pPr>
        <w:jc w:val="both"/>
        <w:ind w:left="5" w:hanging="5"/>
        <w:spacing w:after="0" w:line="247" w:lineRule="auto"/>
        <w:tabs>
          <w:tab w:leader="none" w:pos="23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LCFS Programs established by several states, including California. We also sell Renewable Power to public utilities through long-term power purchase agreements.</w:t>
      </w:r>
    </w:p>
    <w:p>
      <w:pPr>
        <w:spacing w:after="0" w:line="170" w:lineRule="exact"/>
        <w:rPr>
          <w:sz w:val="20"/>
          <w:szCs w:val="20"/>
          <w:color w:val="auto"/>
        </w:rPr>
      </w:pPr>
    </w:p>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64"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Our current Biogas Conversion Projects generate RNG from landfill sites and dairy farms. We view the acquisition of new LFG,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5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5"/>
          <w:szCs w:val="15"/>
          <w:color w:val="auto"/>
        </w:rPr>
        <w:t>We differentiate ourself from our competitors based on our vertically integrated business model and long history of working with leading vendors, technologies and utilities.</w:t>
      </w:r>
    </w:p>
    <w:p>
      <w:pPr>
        <w:spacing w:after="0" w:line="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Our competitive advantage is further strengthened by our expertise in designing, developing, constructing and operating Biogas Conversion Projects and Fueling Stations.</w:t>
      </w:r>
    </w:p>
    <w:p>
      <w:pPr>
        <w:spacing w:after="0" w:line="36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70" w:name="page71"/>
    <w:bookmarkEnd w:id="70"/>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Overview of Dispensing and Monetization Business</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20.8 million gasoline gallon equivalents (“GGEs”) of RNG to the transportation market, generating corresponding Environmental Attributes, utilizing our current network of 75 Fueling Stations in 18 states in the United States, including more than 20 stations in California.</w:t>
      </w:r>
    </w:p>
    <w:p>
      <w:pPr>
        <w:spacing w:after="0" w:line="16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6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6"/>
          <w:szCs w:val="16"/>
          <w:i w:val="1"/>
          <w:iCs w:val="1"/>
          <w:color w:val="auto"/>
        </w:rPr>
        <w:t>Shortfall Amount</w:t>
      </w:r>
      <w:r>
        <w:rPr>
          <w:rFonts w:ascii="Times New Roman" w:cs="Times New Roman" w:eastAsia="Times New Roman" w:hAnsi="Times New Roman"/>
          <w:sz w:val="16"/>
          <w:szCs w:val="16"/>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Prospectus/Offer to Exchange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6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We Generate Revenue</w:t>
      </w:r>
    </w:p>
    <w:p>
      <w:pPr>
        <w:spacing w:after="0" w:line="192"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Overview</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revenues are driven principally from the sale of Environmental Attributes that are generated from dispensing RNG as transportation fuel for heavy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71" w:name="page72"/>
    <w:bookmarkEnd w:id="71"/>
    <w:p>
      <w:pPr>
        <w:jc w:val="both"/>
        <w:ind w:right="20"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Environmental Attributes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Currently, our Environmental Attributes revenue stream is primarily comprised of RINs, LCFS credits, and RECs. If RNG is dispensed into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6"/>
          <w:szCs w:val="16"/>
          <w:i w:val="1"/>
          <w:iCs w:val="1"/>
          <w:color w:val="auto"/>
        </w:rPr>
        <w:t>—Biogas RNG Market Opportunity.</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Power Purchase Agreements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Renewable Power projects generally have associated long-term Power Purchase Agreements (“</w:t>
      </w:r>
      <w:r>
        <w:rPr>
          <w:rFonts w:ascii="Times New Roman" w:cs="Times New Roman" w:eastAsia="Times New Roman" w:hAnsi="Times New Roman"/>
          <w:sz w:val="16"/>
          <w:szCs w:val="16"/>
          <w:i w:val="1"/>
          <w:iCs w:val="1"/>
          <w:color w:val="auto"/>
        </w:rPr>
        <w:t>PPAs</w:t>
      </w:r>
      <w:r>
        <w:rPr>
          <w:rFonts w:ascii="Times New Roman" w:cs="Times New Roman" w:eastAsia="Times New Roman" w:hAnsi="Times New Roman"/>
          <w:sz w:val="16"/>
          <w:szCs w:val="16"/>
          <w:color w:val="auto"/>
        </w:rPr>
        <w:t>”) with creditworthy utility off-takers or municipalities. Nearly all of our Renewable Power off-takers have investment grade credit ratings with either S&amp;P or Moody’s. As discussed above, we also generate Renewable Energy Credits (“</w:t>
      </w:r>
      <w:r>
        <w:rPr>
          <w:rFonts w:ascii="Times New Roman" w:cs="Times New Roman" w:eastAsia="Times New Roman" w:hAnsi="Times New Roman"/>
          <w:sz w:val="16"/>
          <w:szCs w:val="16"/>
          <w:i w:val="1"/>
          <w:iCs w:val="1"/>
          <w:color w:val="auto"/>
        </w:rPr>
        <w:t>RECs</w:t>
      </w:r>
      <w:r>
        <w:rPr>
          <w:rFonts w:ascii="Times New Roman" w:cs="Times New Roman" w:eastAsia="Times New Roman" w:hAnsi="Times New Roman"/>
          <w:sz w:val="16"/>
          <w:szCs w:val="16"/>
          <w:color w:val="auto"/>
        </w:rPr>
        <w:t>”) from Renewable Power projects through the conversion of biogas to Renewable Power.</w:t>
      </w:r>
    </w:p>
    <w:p>
      <w:pPr>
        <w:spacing w:after="0" w:line="151"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Fueling Station Construction and Services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have significant experience in the engineering, design, construction and operation of Fueling Stations that dispense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Biogas Conversion Projects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Typically, a Biogas Conversion Project includes two phases: (i) biogas collection and (ii) processing and purifying biogas.</w:t>
      </w:r>
    </w:p>
    <w:p>
      <w:pPr>
        <w:spacing w:after="0" w:line="19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64" w:lineRule="exact"/>
        <w:rPr>
          <w:sz w:val="20"/>
          <w:szCs w:val="20"/>
          <w:color w:val="auto"/>
        </w:rPr>
      </w:pPr>
    </w:p>
    <w:p>
      <w:pPr>
        <w:jc w:val="both"/>
        <w:ind w:firstLine="283"/>
        <w:spacing w:after="0" w:line="229" w:lineRule="auto"/>
        <w:rPr>
          <w:sz w:val="20"/>
          <w:szCs w:val="20"/>
          <w:color w:val="auto"/>
        </w:rPr>
      </w:pPr>
      <w:r>
        <w:rPr>
          <w:rFonts w:ascii="Times New Roman" w:cs="Times New Roman" w:eastAsia="Times New Roman" w:hAnsi="Times New Roman"/>
          <w:sz w:val="16"/>
          <w:szCs w:val="16"/>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LFG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6"/>
          <w:szCs w:val="16"/>
          <w:color w:val="auto"/>
        </w:rPr>
        <w:t xml:space="preserve"> from the methane molecules. Further treatment of the biogas is often required to remove residual nitrogen and/or oxygen to meet pipeline specifications.</w:t>
      </w:r>
    </w:p>
    <w:p>
      <w:pPr>
        <w:spacing w:after="0" w:line="17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72" w:name="page73"/>
    <w:bookmarkEnd w:id="72"/>
    <w:p>
      <w:pPr>
        <w:ind w:left="280"/>
        <w:spacing w:after="0"/>
        <w:rPr>
          <w:sz w:val="20"/>
          <w:szCs w:val="20"/>
          <w:color w:val="auto"/>
        </w:rPr>
      </w:pPr>
      <w:r>
        <w:rPr>
          <w:rFonts w:ascii="Times New Roman" w:cs="Times New Roman" w:eastAsia="Times New Roman" w:hAnsi="Times New Roman"/>
          <w:sz w:val="16"/>
          <w:szCs w:val="16"/>
          <w:color w:val="auto"/>
        </w:rPr>
        <w:t>If a biogas capture and conversion project is not within close proximity to a pipeline, the RNG is transported by road using tube trailers to a gas injection point.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Biogas RNG Market Opportunity</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Overview of LFG Sources</w:t>
      </w:r>
    </w:p>
    <w:p>
      <w:pPr>
        <w:spacing w:after="0" w:line="198"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LFG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RNG projects currently in operation or under construction (a total of 13 projects), all but one relates to landfills that are currently open and accepting more waste, which we believe provides a high degree of visibility into the long-term volumes of RNG capable of being generated as each of these projects.</w:t>
      </w:r>
    </w:p>
    <w:p>
      <w:pPr>
        <w:spacing w:after="0" w:line="160" w:lineRule="exact"/>
        <w:rPr>
          <w:sz w:val="20"/>
          <w:szCs w:val="20"/>
          <w:color w:val="auto"/>
        </w:rPr>
      </w:pPr>
    </w:p>
    <w:p>
      <w:pPr>
        <w:jc w:val="both"/>
        <w:ind w:firstLine="283"/>
        <w:spacing w:after="0" w:line="229" w:lineRule="auto"/>
        <w:rPr>
          <w:sz w:val="20"/>
          <w:szCs w:val="20"/>
          <w:color w:val="auto"/>
        </w:rPr>
      </w:pPr>
      <w:r>
        <w:rPr>
          <w:rFonts w:ascii="Times New Roman" w:cs="Times New Roman" w:eastAsia="Times New Roman" w:hAnsi="Times New Roman"/>
          <w:sz w:val="16"/>
          <w:szCs w:val="16"/>
          <w:color w:val="auto"/>
        </w:rPr>
        <w:t>Using proven 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6"/>
          <w:szCs w:val="16"/>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Overview of Livestock Sources</w:t>
      </w:r>
    </w:p>
    <w:p>
      <w:pPr>
        <w:spacing w:after="0" w:line="198"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73" w:name="page74"/>
    <w:bookmarkEnd w:id="73"/>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We view dairy farms as a significant opportunity for us to expand our RNG business. Processing biogas from dairy farms requires similar expertise and capabilities as processing biogas from landfills.</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Highly Fragmented Market</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LFG market is heavily fragmented, which we believe represents an opportunity for companies like us to find project opportunities. This market dynamic creates the opportunity for consolidation by well capitalized, experienced market participants such as OPAL. While LFG has accounted for most of the growth in Biogas Conversion Projects to date, based on our industry experience, technical knowledge and analysis we believe additional economically viable LFG project opportunities exist.</w:t>
      </w:r>
    </w:p>
    <w:p>
      <w:pPr>
        <w:spacing w:after="0" w:line="15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Biogas from livestock farm waste also represents a significant opportunity for RNG production that remains largely untapped.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Well-Established Regulatory Framework</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74" w:name="page75"/>
    <w:bookmarkEnd w:id="74"/>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 LCFS programs are state-level market-based programs designed to decrease carbon intensity and GHG emissions from the transportation sector. Currently, California and Oregon have established LCFS programs. The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Landfill RNG projects can attract LCFS credits as well but are not as valuable as the lower CI dairy RNG credits.</w:t>
      </w:r>
    </w:p>
    <w:p>
      <w:pPr>
        <w:spacing w:after="0" w:line="16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Although it is likely utilities and other consumers will compete with the vehicle fuel market to acquire the growing level of RNG production in the United States,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5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Economic Benefits Incentivize Switching to RNG</w:t>
      </w:r>
    </w:p>
    <w:p>
      <w:pPr>
        <w:spacing w:after="0" w:line="198"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Our Projects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8"/>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Projects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RNG projects in our portfolio as of November 18, 2022: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9"/>
        </w:trPr>
        <w:tc>
          <w:tcPr>
            <w:tcW w:w="74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Design</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9"/>
        </w:trPr>
        <w:tc>
          <w:tcPr>
            <w:tcW w:w="74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(MMBtus</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Source of</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OPAL</w:t>
            </w:r>
          </w:p>
        </w:tc>
      </w:tr>
      <w:tr>
        <w:trPr>
          <w:trHeight w:val="240"/>
        </w:trPr>
        <w:tc>
          <w:tcPr>
            <w:tcW w:w="7440" w:type="dxa"/>
            <w:vAlign w:val="bottom"/>
          </w:tcPr>
          <w:p>
            <w:pPr>
              <w:spacing w:after="0"/>
              <w:rPr>
                <w:sz w:val="20"/>
                <w:szCs w:val="20"/>
                <w:color w:val="auto"/>
              </w:rPr>
            </w:pPr>
          </w:p>
        </w:tc>
        <w:tc>
          <w:tcPr>
            <w:tcW w:w="1120" w:type="dxa"/>
            <w:vAlign w:val="bottom"/>
          </w:tcPr>
          <w:p>
            <w:pPr>
              <w:jc w:val="center"/>
              <w:spacing w:after="0" w:line="236" w:lineRule="exact"/>
              <w:rPr>
                <w:sz w:val="20"/>
                <w:szCs w:val="20"/>
                <w:color w:val="auto"/>
              </w:rPr>
            </w:pPr>
            <w:r>
              <w:rPr>
                <w:rFonts w:ascii="Times New Roman" w:cs="Times New Roman" w:eastAsia="Times New Roman" w:hAnsi="Times New Roman"/>
                <w:sz w:val="16"/>
                <w:szCs w:val="16"/>
                <w:b w:val="1"/>
                <w:bCs w:val="1"/>
                <w:color w:val="auto"/>
                <w:w w:val="91"/>
              </w:rPr>
              <w:t>Per Year)</w:t>
            </w:r>
            <w:r>
              <w:rPr>
                <w:rFonts w:ascii="Times New Roman" w:cs="Times New Roman" w:eastAsia="Times New Roman" w:hAnsi="Times New Roman"/>
                <w:sz w:val="26"/>
                <w:szCs w:val="26"/>
                <w:b w:val="1"/>
                <w:bCs w:val="1"/>
                <w:color w:val="auto"/>
                <w:w w:val="91"/>
                <w:vertAlign w:val="superscript"/>
              </w:rPr>
              <w:t>(1)</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Biogas</w:t>
            </w:r>
          </w:p>
        </w:tc>
        <w:tc>
          <w:tcPr>
            <w:tcW w:w="1260" w:type="dxa"/>
            <w:vAlign w:val="bottom"/>
            <w:gridSpan w:val="2"/>
          </w:tcPr>
          <w:p>
            <w:pPr>
              <w:jc w:val="right"/>
              <w:ind w:right="160"/>
              <w:spacing w:after="0" w:line="236" w:lineRule="exact"/>
              <w:rPr>
                <w:sz w:val="20"/>
                <w:szCs w:val="20"/>
                <w:color w:val="auto"/>
              </w:rPr>
            </w:pPr>
            <w:r>
              <w:rPr>
                <w:rFonts w:ascii="Times New Roman" w:cs="Times New Roman" w:eastAsia="Times New Roman" w:hAnsi="Times New Roman"/>
                <w:sz w:val="16"/>
                <w:szCs w:val="16"/>
                <w:b w:val="1"/>
                <w:bCs w:val="1"/>
                <w:color w:val="auto"/>
                <w:w w:val="93"/>
              </w:rPr>
              <w:t>Ownership %</w:t>
            </w:r>
            <w:r>
              <w:rPr>
                <w:rFonts w:ascii="Times New Roman" w:cs="Times New Roman" w:eastAsia="Times New Roman" w:hAnsi="Times New Roman"/>
                <w:sz w:val="26"/>
                <w:szCs w:val="26"/>
                <w:b w:val="1"/>
                <w:bCs w:val="1"/>
                <w:color w:val="auto"/>
                <w:w w:val="93"/>
                <w:vertAlign w:val="superscript"/>
              </w:rPr>
              <w:t>(2)</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RNG Projects in Operation</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Greentree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Imperial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River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Noble Road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 Bend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Sunoma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19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4,175,000</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89"/>
        </w:trPr>
        <w:tc>
          <w:tcPr>
            <w:tcW w:w="7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RNG Projects In Construction</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BioTown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Prince William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Hilltop</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Vander Schaaf</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Emerald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Sapphire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New England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6,125,000</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75" w:name="page76"/>
    <w:bookmarkEnd w:id="75"/>
    <w:tbl>
      <w:tblPr>
        <w:tblLayout w:type="fixed"/>
        <w:tblInd w:w="5" w:type="dxa"/>
        <w:tblCellMar>
          <w:top w:w="0" w:type="dxa"/>
          <w:left w:w="0" w:type="dxa"/>
          <w:bottom w:w="0" w:type="dxa"/>
          <w:right w:w="0" w:type="dxa"/>
        </w:tblCellMar>
      </w:tblP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 Projects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78"/>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Renewable Power projects in operation in our portfolio:</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9"/>
        </w:trPr>
        <w:tc>
          <w:tcPr>
            <w:tcW w:w="7440" w:type="dxa"/>
            <w:vAlign w:val="bottom"/>
          </w:tcPr>
          <w:p>
            <w:pPr>
              <w:spacing w:after="0"/>
              <w:rPr>
                <w:sz w:val="24"/>
                <w:szCs w:val="24"/>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Nameplate</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4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Stage of</w:t>
            </w:r>
          </w:p>
        </w:tc>
      </w:tr>
      <w:tr>
        <w:trPr>
          <w:trHeight w:val="189"/>
        </w:trPr>
        <w:tc>
          <w:tcPr>
            <w:tcW w:w="744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(MW Per</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Conversion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RNG</w:t>
            </w:r>
          </w:p>
        </w:tc>
      </w:tr>
      <w:tr>
        <w:trPr>
          <w:trHeight w:val="240"/>
        </w:trPr>
        <w:tc>
          <w:tcPr>
            <w:tcW w:w="7440" w:type="dxa"/>
            <w:vAlign w:val="bottom"/>
          </w:tcPr>
          <w:p>
            <w:pPr>
              <w:spacing w:after="0"/>
              <w:rPr>
                <w:sz w:val="20"/>
                <w:szCs w:val="20"/>
                <w:color w:val="auto"/>
              </w:rPr>
            </w:pPr>
          </w:p>
        </w:tc>
        <w:tc>
          <w:tcPr>
            <w:tcW w:w="1160" w:type="dxa"/>
            <w:vAlign w:val="bottom"/>
            <w:gridSpan w:val="2"/>
          </w:tcPr>
          <w:p>
            <w:pPr>
              <w:jc w:val="center"/>
              <w:ind w:right="40"/>
              <w:spacing w:after="0" w:line="236" w:lineRule="exact"/>
              <w:rPr>
                <w:sz w:val="20"/>
                <w:szCs w:val="20"/>
                <w:color w:val="auto"/>
              </w:rPr>
            </w:pPr>
            <w:r>
              <w:rPr>
                <w:rFonts w:ascii="Times New Roman" w:cs="Times New Roman" w:eastAsia="Times New Roman" w:hAnsi="Times New Roman"/>
                <w:sz w:val="16"/>
                <w:szCs w:val="16"/>
                <w:b w:val="1"/>
                <w:bCs w:val="1"/>
                <w:color w:val="auto"/>
                <w:w w:val="90"/>
              </w:rPr>
              <w:t>Hour)</w:t>
            </w:r>
            <w:r>
              <w:rPr>
                <w:rFonts w:ascii="Times New Roman" w:cs="Times New Roman" w:eastAsia="Times New Roman" w:hAnsi="Times New Roman"/>
                <w:sz w:val="26"/>
                <w:szCs w:val="26"/>
                <w:b w:val="1"/>
                <w:bCs w:val="1"/>
                <w:color w:val="auto"/>
                <w:w w:val="90"/>
                <w:vertAlign w:val="superscript"/>
              </w:rPr>
              <w:t>(1)</w:t>
            </w:r>
          </w:p>
        </w:tc>
        <w:tc>
          <w:tcPr>
            <w:tcW w:w="8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Candidate?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Conversion</w:t>
            </w:r>
          </w:p>
        </w:tc>
      </w:tr>
      <w:tr>
        <w:trPr>
          <w:trHeight w:val="18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Florida</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New England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Massachusetts 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4"/>
        </w:trPr>
        <w:tc>
          <w:tcPr>
            <w:tcW w:w="744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Michigan 1E</w:t>
            </w:r>
            <w:r>
              <w:rPr>
                <w:rFonts w:ascii="Times New Roman" w:cs="Times New Roman" w:eastAsia="Times New Roman" w:hAnsi="Times New Roman"/>
                <w:sz w:val="26"/>
                <w:szCs w:val="26"/>
                <w:color w:val="auto"/>
                <w:vertAlign w:val="superscript"/>
              </w:rPr>
              <w:t>(2)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Michigan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New York</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 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4"/>
        </w:trPr>
        <w:tc>
          <w:tcPr>
            <w:tcW w:w="744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Prince William 1E</w:t>
            </w:r>
            <w:r>
              <w:rPr>
                <w:rFonts w:ascii="Times New Roman" w:cs="Times New Roman" w:eastAsia="Times New Roman" w:hAnsi="Times New Roman"/>
                <w:sz w:val="26"/>
                <w:szCs w:val="26"/>
                <w:color w:val="auto"/>
                <w:vertAlign w:val="superscript"/>
              </w:rPr>
              <w:t>(3)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24"/>
        </w:trPr>
        <w:tc>
          <w:tcPr>
            <w:tcW w:w="744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Prince William 2E</w:t>
            </w:r>
            <w:r>
              <w:rPr>
                <w:rFonts w:ascii="Times New Roman" w:cs="Times New Roman" w:eastAsia="Times New Roman" w:hAnsi="Times New Roman"/>
                <w:sz w:val="26"/>
                <w:szCs w:val="26"/>
                <w:color w:val="auto"/>
                <w:vertAlign w:val="superscript"/>
              </w:rPr>
              <w:t>(4)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21"/>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Virginia - Richmond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00"/>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123.9</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275"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43" w:lineRule="exact"/>
        <w:rPr>
          <w:rFonts w:ascii="Times New Roman" w:cs="Times New Roman" w:eastAsia="Times New Roman" w:hAnsi="Times New Roman"/>
          <w:sz w:val="16"/>
          <w:szCs w:val="16"/>
          <w:color w:val="auto"/>
        </w:rPr>
      </w:pPr>
    </w:p>
    <w:p>
      <w:pPr>
        <w:ind w:left="285" w:right="20" w:hanging="285"/>
        <w:spacing w:after="0" w:line="278"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w:t>
      </w:r>
      <w:r>
        <w:rPr>
          <w:rFonts w:ascii="Times New Roman" w:cs="Times New Roman" w:eastAsia="Times New Roman" w:hAnsi="Times New Roman"/>
          <w:sz w:val="16"/>
          <w:szCs w:val="16"/>
          <w:i w:val="1"/>
          <w:iCs w:val="1"/>
          <w:color w:val="auto"/>
        </w:rPr>
        <w:t>Emerald</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RNG Projects In Construction</w:t>
      </w:r>
      <w:r>
        <w:rPr>
          <w:rFonts w:ascii="Times New Roman" w:cs="Times New Roman" w:eastAsia="Times New Roman" w:hAnsi="Times New Roman"/>
          <w:sz w:val="16"/>
          <w:szCs w:val="16"/>
          <w:color w:val="auto"/>
        </w:rPr>
        <w:t>.” It is currently contemplated that the Michigan 1E renewable power plant will continue limited operations on a stand-by, emergency basis through March of 2031.</w:t>
      </w:r>
    </w:p>
    <w:p>
      <w:pPr>
        <w:spacing w:after="0" w:line="140" w:lineRule="exact"/>
        <w:rPr>
          <w:rFonts w:ascii="Times New Roman" w:cs="Times New Roman" w:eastAsia="Times New Roman" w:hAnsi="Times New Roman"/>
          <w:sz w:val="16"/>
          <w:szCs w:val="16"/>
          <w:color w:val="auto"/>
        </w:rPr>
      </w:pPr>
    </w:p>
    <w:p>
      <w:pPr>
        <w:ind w:left="285" w:hanging="285"/>
        <w:spacing w:after="0" w:line="278"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w:t>
      </w:r>
      <w:r>
        <w:rPr>
          <w:rFonts w:ascii="Times New Roman" w:cs="Times New Roman" w:eastAsia="Times New Roman" w:hAnsi="Times New Roman"/>
          <w:sz w:val="16"/>
          <w:szCs w:val="16"/>
          <w:i w:val="1"/>
          <w:iCs w:val="1"/>
          <w:color w:val="auto"/>
        </w:rPr>
        <w:t>Prince William</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RNG Projects In Construction</w:t>
      </w:r>
      <w:r>
        <w:rPr>
          <w:rFonts w:ascii="Times New Roman" w:cs="Times New Roman" w:eastAsia="Times New Roman" w:hAnsi="Times New Roman"/>
          <w:sz w:val="16"/>
          <w:szCs w:val="16"/>
          <w:color w:val="auto"/>
        </w:rPr>
        <w:t>.” It is currently contemplated that the Prince William 1E renewable power plant will continue operations through approximately December 2022</w:t>
      </w:r>
    </w:p>
    <w:p>
      <w:pPr>
        <w:spacing w:after="0" w:line="140" w:lineRule="exact"/>
        <w:rPr>
          <w:rFonts w:ascii="Times New Roman" w:cs="Times New Roman" w:eastAsia="Times New Roman" w:hAnsi="Times New Roman"/>
          <w:sz w:val="16"/>
          <w:szCs w:val="16"/>
          <w:color w:val="auto"/>
        </w:rPr>
      </w:pPr>
    </w:p>
    <w:p>
      <w:pPr>
        <w:ind w:left="285" w:hanging="285"/>
        <w:spacing w:after="0" w:line="278"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w:t>
      </w:r>
      <w:r>
        <w:rPr>
          <w:rFonts w:ascii="Times New Roman" w:cs="Times New Roman" w:eastAsia="Times New Roman" w:hAnsi="Times New Roman"/>
          <w:sz w:val="16"/>
          <w:szCs w:val="16"/>
          <w:i w:val="1"/>
          <w:iCs w:val="1"/>
          <w:color w:val="auto"/>
        </w:rPr>
        <w:t>Prince William</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RNG Projects In Construction</w:t>
      </w:r>
      <w:r>
        <w:rPr>
          <w:rFonts w:ascii="Times New Roman" w:cs="Times New Roman" w:eastAsia="Times New Roman" w:hAnsi="Times New Roman"/>
          <w:sz w:val="16"/>
          <w:szCs w:val="16"/>
          <w:color w:val="auto"/>
        </w:rPr>
        <w:t>.” It is currently contemplated that the Prince William 2E renewable power plant will continue operations through approximately December 2022</w:t>
      </w:r>
    </w:p>
    <w:p>
      <w:pPr>
        <w:spacing w:after="0" w:line="3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4" w:right="319" w:bottom="1440" w:gutter="0" w:footer="0" w:header="0"/>
        </w:sectPr>
      </w:pPr>
    </w:p>
    <w:bookmarkStart w:id="76" w:name="page77"/>
    <w:bookmarkEnd w:id="76"/>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For purposes of determining whether a Renewable Power project should be considered an RNG conversion candidate, we use various criteria, including (i) the quantity and quality of LFG,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Other RNG Projects in Development</w:t>
      </w:r>
    </w:p>
    <w:p>
      <w:pPr>
        <w:spacing w:after="0" w:line="19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In addition to the projects listed in the tables above, we are actively performing development work on seven potential projects (“</w:t>
      </w:r>
      <w:r>
        <w:rPr>
          <w:rFonts w:ascii="Times New Roman" w:cs="Times New Roman" w:eastAsia="Times New Roman" w:hAnsi="Times New Roman"/>
          <w:sz w:val="16"/>
          <w:szCs w:val="16"/>
          <w:i w:val="1"/>
          <w:iCs w:val="1"/>
          <w:color w:val="auto"/>
        </w:rPr>
        <w:t>RNG Projects in Development</w:t>
      </w:r>
      <w:r>
        <w:rPr>
          <w:rFonts w:ascii="Times New Roman" w:cs="Times New Roman" w:eastAsia="Times New Roman" w:hAnsi="Times New Roman"/>
          <w:sz w:val="16"/>
          <w:szCs w:val="16"/>
          <w:color w:val="auto"/>
        </w:rPr>
        <w:t>”). We have identified key milestones (“</w:t>
      </w:r>
      <w:r>
        <w:rPr>
          <w:rFonts w:ascii="Times New Roman" w:cs="Times New Roman" w:eastAsia="Times New Roman" w:hAnsi="Times New Roman"/>
          <w:sz w:val="16"/>
          <w:szCs w:val="16"/>
          <w:i w:val="1"/>
          <w:iCs w:val="1"/>
          <w:color w:val="auto"/>
        </w:rPr>
        <w:t>Key Milestones</w:t>
      </w:r>
      <w:r>
        <w:rPr>
          <w:rFonts w:ascii="Times New Roman" w:cs="Times New Roman" w:eastAsia="Times New Roman" w:hAnsi="Times New Roman"/>
          <w:sz w:val="16"/>
          <w:szCs w:val="16"/>
          <w:color w:val="auto"/>
        </w:rPr>
        <w:t>”) that these RNG Projects in Development must achieve prior to moving into construction. These RNG Projects in Development have achieved one or more of these Key Milestones, which include: (i) controlling the right to conduct due diligence on the project, (ii) completing the analysis of the biogas in terms of quantity and quality, (iii) securing control over the rights to the biogas and site for production of RNG, (iv) 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pacing w:after="0" w:line="16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Dispensing and Monetization Business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At present, we believe the best use of RNG is as a replacement for fossil-based fuel in the heavy and medium-duty transportation sector. During 2021, we dispensed 20.8 million GGEs of RNG to the transportation market, generating corresponding Environmental Attributes, utilizing our current network of 75 Fueling Stations in 18 states in the United States, including more than 20 stations in California.</w:t>
      </w:r>
    </w:p>
    <w:p>
      <w:pPr>
        <w:spacing w:after="0" w:line="156"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In the coming years, we believe we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Vertical Integration of Business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60"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77" w:name="page78"/>
    <w:bookmarkEnd w:id="77"/>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Management and Project Expertise</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6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Access to Development Opportunities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Large and Diverse Project Portfolio</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78" w:name="page79"/>
    <w:bookmarkEnd w:id="78"/>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EHS and Compliance</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Capture and Conversion Business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aim to maintain and grow our position as a leading producer and dispenser of RNG in the United States. We support this objective through a multi-pronged strategy of:</w:t>
      </w:r>
    </w:p>
    <w:p>
      <w:pPr>
        <w:spacing w:after="0" w:line="194" w:lineRule="exact"/>
        <w:rPr>
          <w:sz w:val="20"/>
          <w:szCs w:val="20"/>
          <w:color w:val="auto"/>
        </w:rPr>
      </w:pPr>
    </w:p>
    <w:p>
      <w:pPr>
        <w:ind w:left="560" w:hanging="282"/>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promoting the reduction of methane emissions and expanding the use of renewable fuels to displace fossil-based fuels;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industry position as a full-service partner for development opportunities, including through strategic transactions;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capabilities to new feedstock sources and technologies.</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Promoting the Reduction of Methane Emissions and Expanding the Use of Renewable Fuels to Displace Fossil-Based Fuels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79" w:name="page80"/>
    <w:bookmarkEnd w:id="79"/>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Times New Roman" w:cs="Times New Roman" w:eastAsia="Times New Roman" w:hAnsi="Times New Roman"/>
          <w:sz w:val="16"/>
          <w:szCs w:val="16"/>
          <w:i w:val="1"/>
          <w:iCs w:val="1"/>
          <w:color w:val="auto"/>
        </w:rPr>
        <w:t>BOD</w:t>
      </w:r>
      <w:r>
        <w:rPr>
          <w:rFonts w:ascii="Times New Roman" w:cs="Times New Roman" w:eastAsia="Times New Roman" w:hAnsi="Times New Roman"/>
          <w:sz w:val="16"/>
          <w:szCs w:val="16"/>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17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5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Expanding Our Industry Position as a Full-Service Partner for Development Opportunities, Including Through Strategic Transactions</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Throughout its over 20 years of biogas conversion experience, we have developed the full range of biogas conversion project related capabilities from LFG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Expanding Our Capabilities to New Feedstock Sources and Technologies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80" w:name="page81"/>
    <w:bookmarkEnd w:id="80"/>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Dispensing and Monetization Business</w:t>
      </w:r>
    </w:p>
    <w:p>
      <w:pPr>
        <w:spacing w:after="0" w:line="198"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We aim to maintain and increase its position as a leading provider of RNG to the heavy and medium-duty commercial vehicle market in the United States. We support this objective through a multi-pronged strategy of:</w:t>
      </w:r>
    </w:p>
    <w:p>
      <w:pPr>
        <w:spacing w:after="0" w:line="145" w:lineRule="exact"/>
        <w:rPr>
          <w:sz w:val="20"/>
          <w:szCs w:val="20"/>
          <w:color w:val="auto"/>
        </w:rPr>
      </w:pPr>
    </w:p>
    <w:p>
      <w:pPr>
        <w:ind w:left="560" w:hanging="282"/>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promoting the reduction of GHG emissions and expanding the use of renewable fuels to displace fossil-based fuels;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empowering our customers to achieve their sustainability and carbon reduction objectives.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auto"/>
        </w:rPr>
        <w:t>Promoting the Reduction of GHG Emissions and Expanding the Use of Renewable Fuels to Displace Fossil-Based Fuels.</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Empowering Our Customers to Achieve their Sustainability and Carbon Reduction Objectives.</w:t>
      </w:r>
    </w:p>
    <w:p>
      <w:pPr>
        <w:spacing w:after="0" w:line="198" w:lineRule="exact"/>
        <w:rPr>
          <w:sz w:val="20"/>
          <w:szCs w:val="20"/>
          <w:color w:val="auto"/>
        </w:rPr>
      </w:pPr>
    </w:p>
    <w:p>
      <w:pPr>
        <w:jc w:val="both"/>
        <w:ind w:right="20" w:firstLine="283"/>
        <w:spacing w:after="0" w:line="250" w:lineRule="auto"/>
        <w:rPr>
          <w:sz w:val="20"/>
          <w:szCs w:val="20"/>
          <w:color w:val="auto"/>
        </w:rPr>
      </w:pPr>
      <w:r>
        <w:rPr>
          <w:rFonts w:ascii="Times New Roman" w:cs="Times New Roman" w:eastAsia="Times New Roman" w:hAnsi="Times New Roman"/>
          <w:sz w:val="16"/>
          <w:szCs w:val="16"/>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68"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There are a number of other companies operating in the renewable energy and waste-to-energy space, ranging from other project developers to service or equipment providers.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81" w:name="page82"/>
    <w:bookmarkEnd w:id="81"/>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65"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Governmental Regulation</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5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RNG projects are subject to federal RFS program regulations, including the Energy Policy Act of 2005 (the “</w:t>
      </w:r>
      <w:r>
        <w:rPr>
          <w:rFonts w:ascii="Times New Roman" w:cs="Times New Roman" w:eastAsia="Times New Roman" w:hAnsi="Times New Roman"/>
          <w:sz w:val="16"/>
          <w:szCs w:val="16"/>
          <w:i w:val="1"/>
          <w:iCs w:val="1"/>
          <w:color w:val="auto"/>
        </w:rPr>
        <w:t>EPACT 2005</w:t>
      </w:r>
      <w:r>
        <w:rPr>
          <w:rFonts w:ascii="Times New Roman" w:cs="Times New Roman" w:eastAsia="Times New Roman" w:hAnsi="Times New Roman"/>
          <w:sz w:val="16"/>
          <w:szCs w:val="16"/>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82" w:name="page83"/>
    <w:bookmarkEnd w:id="82"/>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6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EPA under the Clean Air Act (the “</w:t>
      </w:r>
      <w:r>
        <w:rPr>
          <w:rFonts w:ascii="Times New Roman" w:cs="Times New Roman" w:eastAsia="Times New Roman" w:hAnsi="Times New Roman"/>
          <w:sz w:val="16"/>
          <w:szCs w:val="16"/>
          <w:i w:val="1"/>
          <w:iCs w:val="1"/>
          <w:color w:val="auto"/>
        </w:rPr>
        <w:t>CAA</w:t>
      </w:r>
      <w:r>
        <w:rPr>
          <w:rFonts w:ascii="Times New Roman" w:cs="Times New Roman" w:eastAsia="Times New Roman" w:hAnsi="Times New Roman"/>
          <w:sz w:val="16"/>
          <w:szCs w:val="16"/>
          <w:color w:val="auto"/>
        </w:rPr>
        <w:t>”) regulates emissions of pollutants to protect the environment and public health and contains provisions for New Source Review (the “</w:t>
      </w:r>
      <w:r>
        <w:rPr>
          <w:rFonts w:ascii="Times New Roman" w:cs="Times New Roman" w:eastAsia="Times New Roman" w:hAnsi="Times New Roman"/>
          <w:sz w:val="16"/>
          <w:szCs w:val="16"/>
          <w:i w:val="1"/>
          <w:iCs w:val="1"/>
          <w:color w:val="auto"/>
        </w:rPr>
        <w:t>NSR</w:t>
      </w:r>
      <w:r>
        <w:rPr>
          <w:rFonts w:ascii="Times New Roman" w:cs="Times New Roman" w:eastAsia="Times New Roman" w:hAnsi="Times New Roman"/>
          <w:sz w:val="16"/>
          <w:szCs w:val="16"/>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6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5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Before an RNG project can be developed, all the Resource Conservation and Recovery (the “</w:t>
      </w:r>
      <w:r>
        <w:rPr>
          <w:rFonts w:ascii="Times New Roman" w:cs="Times New Roman" w:eastAsia="Times New Roman" w:hAnsi="Times New Roman"/>
          <w:sz w:val="16"/>
          <w:szCs w:val="16"/>
          <w:i w:val="1"/>
          <w:iCs w:val="1"/>
          <w:color w:val="auto"/>
        </w:rPr>
        <w:t>RCRA</w:t>
      </w:r>
      <w:r>
        <w:rPr>
          <w:rFonts w:ascii="Times New Roman" w:cs="Times New Roman" w:eastAsia="Times New Roman" w:hAnsi="Times New Roman"/>
          <w:sz w:val="16"/>
          <w:szCs w:val="16"/>
          <w:color w:val="auto"/>
        </w:rPr>
        <w:t>”)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59"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83" w:name="page84"/>
    <w:bookmarkEnd w:id="83"/>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FERC</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Qualifying Facilities</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Public Utility Regulatory Policies Act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State Utility Regulation</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84" w:name="page85"/>
    <w:bookmarkEnd w:id="84"/>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Production and Sale</w:t>
      </w:r>
    </w:p>
    <w:p>
      <w:pPr>
        <w:spacing w:after="0" w:line="198"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Future Regulations</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Effect of Existing or Probable Government Regulations on Our Business</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16"/>
          <w:szCs w:val="16"/>
          <w:i w:val="1"/>
          <w:iCs w:val="1"/>
          <w:color w:val="auto"/>
        </w:rPr>
        <w:t>Business—Legal Proceedings.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 and Geographic Information</w:t>
      </w:r>
    </w:p>
    <w:p>
      <w:pPr>
        <w:spacing w:after="0" w:line="196"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For information regarding revenues and other information regarding our results of operations for each of the last two fiscal years by financial reporting segment, please refer to the financial statements included in this Prospectus/Offer to Exchange and “</w:t>
      </w:r>
      <w:r>
        <w:rPr>
          <w:rFonts w:ascii="Times New Roman" w:cs="Times New Roman" w:eastAsia="Times New Roman" w:hAnsi="Times New Roman"/>
          <w:sz w:val="15"/>
          <w:szCs w:val="15"/>
          <w:i w:val="1"/>
          <w:iCs w:val="1"/>
          <w:color w:val="auto"/>
        </w:rPr>
        <w:t>Management’s Discussion and Analysis of Financial Condition and Results of Operations.</w:t>
      </w:r>
      <w:r>
        <w:rPr>
          <w:rFonts w:ascii="Times New Roman" w:cs="Times New Roman" w:eastAsia="Times New Roman" w:hAnsi="Times New Roman"/>
          <w:sz w:val="15"/>
          <w:szCs w:val="15"/>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Our corporate headquarters are located in White Plains, New York, where we occupy approximately 13,600 square feet of shared office space with an affiliate of Fortistar pursuant to an Administrative Services Agreement. See “</w:t>
      </w:r>
      <w:r>
        <w:rPr>
          <w:rFonts w:ascii="Times New Roman" w:cs="Times New Roman" w:eastAsia="Times New Roman" w:hAnsi="Times New Roman"/>
          <w:sz w:val="16"/>
          <w:szCs w:val="16"/>
          <w:i w:val="1"/>
          <w:iCs w:val="1"/>
          <w:color w:val="auto"/>
        </w:rPr>
        <w:t>Certain Relationships and Related Party Transactions—Administrative Services Agreement.</w:t>
      </w:r>
      <w:r>
        <w:rPr>
          <w:rFonts w:ascii="Times New Roman" w:cs="Times New Roman" w:eastAsia="Times New Roman" w:hAnsi="Times New Roman"/>
          <w:sz w:val="16"/>
          <w:szCs w:val="16"/>
          <w:color w:val="auto"/>
        </w:rPr>
        <w:t>” We believe this office space is adequate for our needs for the immediate future and that, should it be necessary, we can lease additional space to accommodate any future growth.</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85" w:name="page86"/>
    <w:bookmarkEnd w:id="85"/>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construction office and maintenance facility is located in Rancho Cucamonga, California, where we occupy approximately 29,935 square feet of combined office space, maintenance shop and loading dock. On March 4, 2022, we exercised an option and extended the lease on this facility for an additional 36 months such that our lease expires on January 31, 2026. We have an option to further extend the lease for an additional term of 36 months under the amended lease. We believe the space that we currently lease is adequate for our needs for the immediate future but we will likely seek additional space during the course of 2023 to accommodate future growth, which we believe will be available to us on satisfactory terms</w:t>
      </w:r>
    </w:p>
    <w:p>
      <w:pPr>
        <w:spacing w:after="0" w:line="162"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As of November 18, 2022, we owned and operated 24 projects, six of which are RNG projects and 18 of which are Renewable Power projects. See “</w:t>
      </w:r>
      <w:r>
        <w:rPr>
          <w:rFonts w:ascii="Times New Roman" w:cs="Times New Roman" w:eastAsia="Times New Roman" w:hAnsi="Times New Roman"/>
          <w:sz w:val="16"/>
          <w:szCs w:val="16"/>
          <w:i w:val="1"/>
          <w:iCs w:val="1"/>
          <w:color w:val="auto"/>
        </w:rPr>
        <w:t>— Our Projects</w:t>
      </w:r>
      <w:r>
        <w:rPr>
          <w:rFonts w:ascii="Times New Roman" w:cs="Times New Roman" w:eastAsia="Times New Roman" w:hAnsi="Times New Roman"/>
          <w:sz w:val="16"/>
          <w:szCs w:val="16"/>
          <w:color w:val="auto"/>
        </w:rPr>
        <w:t>” for further summary of our projects.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OPAL had approximately 311 employees, including two part-time employees and one employee located in Canada. None of our employees are subject to a collective bargaining agreement and we believe we have a good relationship with our employees.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for purposes of this section, and other related events as described in Note 1 to the accompanying Notes to the unaudited pro forma condensed combined financial information:</w:t>
      </w:r>
    </w:p>
    <w:p>
      <w:pPr>
        <w:spacing w:after="0" w:line="160" w:lineRule="exact"/>
        <w:rPr>
          <w:sz w:val="20"/>
          <w:szCs w:val="20"/>
          <w:color w:val="auto"/>
        </w:rPr>
      </w:pPr>
    </w:p>
    <w:p>
      <w:pPr>
        <w:ind w:left="560" w:hanging="282"/>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Beacon RNG LLC (“</w:t>
      </w:r>
      <w:r>
        <w:rPr>
          <w:rFonts w:ascii="Times New Roman" w:cs="Times New Roman" w:eastAsia="Times New Roman" w:hAnsi="Times New Roman"/>
          <w:sz w:val="16"/>
          <w:szCs w:val="16"/>
          <w:b w:val="1"/>
          <w:bCs w:val="1"/>
          <w:i w:val="1"/>
          <w:iCs w:val="1"/>
          <w:color w:val="auto"/>
        </w:rPr>
        <w:t>Beacon</w:t>
      </w:r>
      <w:r>
        <w:rPr>
          <w:rFonts w:ascii="Times New Roman" w:cs="Times New Roman" w:eastAsia="Times New Roman" w:hAnsi="Times New Roman"/>
          <w:sz w:val="16"/>
          <w:szCs w:val="16"/>
          <w:color w:val="auto"/>
        </w:rPr>
        <w:t>”) by Opco in May of 2021 (the “</w:t>
      </w:r>
      <w:r>
        <w:rPr>
          <w:rFonts w:ascii="Times New Roman" w:cs="Times New Roman" w:eastAsia="Times New Roman" w:hAnsi="Times New Roman"/>
          <w:sz w:val="16"/>
          <w:szCs w:val="16"/>
          <w:b w:val="1"/>
          <w:bCs w:val="1"/>
          <w:i w:val="1"/>
          <w:iCs w:val="1"/>
          <w:color w:val="auto"/>
        </w:rPr>
        <w:t>Beacon Transaction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Beacon Transaction was consummated on May 1, 2021 and, accordingly, activity relating to Beacon is reflected within the unaudited condensed consolidated balance sheet of Opco as of June September 30, 2022 and, unaudited condensed consolidated statement of operations for the six nine months ended June September 30, 2022 and historical audited consolidated balance sheet of Opco as of and for the year ended December 31, 2021. Therefore, the unaudited pro forma condensed consolidated balance sheet as of September 30 and unaudited pro forma consolidated statement of operations for the nine months ended September 30, 2022 is are not included.</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unaudited pro forma condensed combined statement of operations of Opco for the year ended December 31, 2021 combines the historical audited consolidated statement of operations of Opco for the year ended December 31, 2021 and the historical audited statement of operations of Beacon for the four-month period ended April 30, 2021, on a pro forma basis as if the Beacon Transaction had been consummated on January 1, 2021.</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is for illustrative purposes only and is not necessarily indicative of what the actual results of operations and financial position would have been had the Beacon Transaction taken place on the date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unaudited pro forma condensed combined financial information should be read in conjunction with:</w:t>
      </w:r>
    </w:p>
    <w:p>
      <w:pPr>
        <w:spacing w:after="0" w:line="194" w:lineRule="exact"/>
        <w:rPr>
          <w:sz w:val="20"/>
          <w:szCs w:val="20"/>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Notes to the unaudited pro forma condensed combined financial statements;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audited consolidated financial statements of Opco as of and for the year ended December 31, 2021, included elsewhere in this prospectus;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audited consolidated financial statements of Beacon, as of, and for the four months ended April 30, 2021, included elsewhere in this prospectus and</w:t>
      </w:r>
    </w:p>
    <w:p>
      <w:pPr>
        <w:spacing w:after="0" w:line="19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section titled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included elsewhere in this prospectus.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6"/>
              </w:rPr>
              <w:t>Beacon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OPAL</w:t>
            </w: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21"/>
              <w:spacing w:after="0" w:line="171" w:lineRule="exact"/>
              <w:rPr>
                <w:sz w:val="20"/>
                <w:szCs w:val="20"/>
                <w:color w:val="auto"/>
              </w:rPr>
            </w:pPr>
            <w:r>
              <w:rPr>
                <w:rFonts w:ascii="Times New Roman" w:cs="Times New Roman" w:eastAsia="Times New Roman" w:hAnsi="Times New Roman"/>
                <w:sz w:val="16"/>
                <w:szCs w:val="16"/>
                <w:b w:val="1"/>
                <w:bCs w:val="1"/>
                <w:color w:val="auto"/>
              </w:rPr>
              <w:t>Beacon</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1"/>
              <w:spacing w:after="0" w:line="171" w:lineRule="exact"/>
              <w:rPr>
                <w:sz w:val="20"/>
                <w:szCs w:val="20"/>
                <w:color w:val="auto"/>
              </w:rPr>
            </w:pPr>
            <w:r>
              <w:rPr>
                <w:rFonts w:ascii="Times New Roman" w:cs="Times New Roman" w:eastAsia="Times New Roman" w:hAnsi="Times New Roman"/>
                <w:sz w:val="16"/>
                <w:szCs w:val="16"/>
                <w:b w:val="1"/>
                <w:bCs w:val="1"/>
                <w:color w:val="auto"/>
                <w:w w:val="98"/>
              </w:rPr>
              <w:t>Adjustments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6"/>
                <w:szCs w:val="16"/>
                <w:b w:val="1"/>
                <w:bCs w:val="1"/>
                <w:color w:val="auto"/>
                <w:w w:val="99"/>
              </w:rPr>
              <w:t>Fuels and</w:t>
            </w:r>
          </w:p>
        </w:tc>
        <w:tc>
          <w:tcPr>
            <w:tcW w:w="0" w:type="dxa"/>
            <w:vAlign w:val="bottom"/>
          </w:tcPr>
          <w:p>
            <w:pPr>
              <w:spacing w:after="0"/>
              <w:rPr>
                <w:sz w:val="1"/>
                <w:szCs w:val="1"/>
                <w:color w:val="auto"/>
              </w:rPr>
            </w:pPr>
          </w:p>
        </w:tc>
      </w:tr>
      <w:tr>
        <w:trPr>
          <w:trHeight w:val="211"/>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Opco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(Note 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(Note 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Beacon</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70,360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13,312</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3a  $</w:t>
            </w: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83,672</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45,324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45,324</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50,440</w:t>
            </w: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166,124</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13,312</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179,436</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41,075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6,397</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3b</w:t>
            </w: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47,472</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31,152</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42,838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42,838</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 processing services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1,134</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(1,134)</w:t>
            </w: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4(b)</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456</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3c</w:t>
            </w: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29,836</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1,060</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3d</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2"/>
              </w:rPr>
              <w:t>4a</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11,413</w:t>
            </w: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Total expenses</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155,098</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9,047</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(1,434)</w:t>
            </w: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162,711</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4,265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16,725</w:t>
            </w: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(7,467)</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loss on derivative financial instruments, net</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warrant liabilities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(2,392)</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2"/>
              </w:rPr>
              <w:t>4a</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19,818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19,818</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15,025</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(1,134) 4(b)</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55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40,769</w:t>
            </w: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5,399</w:t>
            </w:r>
          </w:p>
        </w:tc>
        <w:tc>
          <w:tcPr>
            <w:tcW w:w="8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(2,092</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44,076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40,769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5,399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(2,092)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44,076</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 in kind preferred dividend</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redeemable noncontrolling interest</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20" w:type="dxa"/>
            <w:vAlign w:val="bottom"/>
            <w:vMerge w:val="continue"/>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41,363</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5,399</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(2,092</w:t>
            </w:r>
          </w:p>
        </w:tc>
        <w:tc>
          <w:tcPr>
            <w:tcW w:w="80" w:type="dxa"/>
            <w:vAlign w:val="bottom"/>
            <w:vMerge w:val="continue"/>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44,670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78</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6"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Note 1 — Description of the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Beacon Transaction</w:t>
      </w:r>
    </w:p>
    <w:p>
      <w:pPr>
        <w:spacing w:after="0" w:line="194"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color w:val="auto"/>
        </w:rPr>
        <w:t>On June 30, 2021, Opco and Ares signed the Exchange Agreement (the “</w:t>
      </w:r>
      <w:r>
        <w:rPr>
          <w:rFonts w:ascii="Times New Roman" w:cs="Times New Roman" w:eastAsia="Times New Roman" w:hAnsi="Times New Roman"/>
          <w:sz w:val="16"/>
          <w:szCs w:val="16"/>
          <w:b w:val="1"/>
          <w:bCs w:val="1"/>
          <w:i w:val="1"/>
          <w:iCs w:val="1"/>
          <w:color w:val="auto"/>
        </w:rPr>
        <w:t>Exchange Agreement</w:t>
      </w:r>
      <w:r>
        <w:rPr>
          <w:rFonts w:ascii="Times New Roman" w:cs="Times New Roman" w:eastAsia="Times New Roman" w:hAnsi="Times New Roman"/>
          <w:sz w:val="16"/>
          <w:szCs w:val="16"/>
          <w:color w:val="auto"/>
        </w:rPr>
        <w:t>”) which outlines terms that were substantially agreed to on April 30, 2021. Pursuant to the Exchange Agreement, Opco issued an unsecured convertible promissory note (the “</w:t>
      </w:r>
      <w:r>
        <w:rPr>
          <w:rFonts w:ascii="Times New Roman" w:cs="Times New Roman" w:eastAsia="Times New Roman" w:hAnsi="Times New Roman"/>
          <w:sz w:val="16"/>
          <w:szCs w:val="16"/>
          <w:b w:val="1"/>
          <w:bCs w:val="1"/>
          <w:i w:val="1"/>
          <w:iCs w:val="1"/>
          <w:color w:val="auto"/>
        </w:rPr>
        <w:t>Convertible Note</w:t>
      </w:r>
      <w:r>
        <w:rPr>
          <w:rFonts w:ascii="Times New Roman" w:cs="Times New Roman" w:eastAsia="Times New Roman" w:hAnsi="Times New Roman"/>
          <w:sz w:val="16"/>
          <w:szCs w:val="16"/>
          <w:color w:val="auto"/>
        </w:rPr>
        <w:t>”) in return for Ares’ assignment of its 58% Class B units in Beacon JV to Opco (the “</w:t>
      </w:r>
      <w:r>
        <w:rPr>
          <w:rFonts w:ascii="Times New Roman" w:cs="Times New Roman" w:eastAsia="Times New Roman" w:hAnsi="Times New Roman"/>
          <w:sz w:val="16"/>
          <w:szCs w:val="16"/>
          <w:b w:val="1"/>
          <w:bCs w:val="1"/>
          <w:i w:val="1"/>
          <w:iCs w:val="1"/>
          <w:color w:val="auto"/>
        </w:rPr>
        <w:t>Assignment Agreement</w:t>
      </w:r>
      <w:r>
        <w:rPr>
          <w:rFonts w:ascii="Times New Roman" w:cs="Times New Roman" w:eastAsia="Times New Roman" w:hAnsi="Times New Roman"/>
          <w:sz w:val="16"/>
          <w:szCs w:val="16"/>
          <w:color w:val="auto"/>
        </w:rPr>
        <w:t>”). The transfer date of the aforementioned consideration was set to May 1, 2021. As agreed to on April 30, 2021, Opco obtained unilateral control over Beacon JV on May 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Basis of Presentation</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6"/>
          <w:szCs w:val="16"/>
          <w:b w:val="1"/>
          <w:bCs w:val="1"/>
          <w:i w:val="1"/>
          <w:iCs w:val="1"/>
          <w:color w:val="auto"/>
        </w:rPr>
        <w:t>Transaction Accounting Adjustments</w:t>
      </w:r>
      <w:r>
        <w:rPr>
          <w:rFonts w:ascii="Times New Roman" w:cs="Times New Roman" w:eastAsia="Times New Roman" w:hAnsi="Times New Roman"/>
          <w:sz w:val="16"/>
          <w:szCs w:val="16"/>
          <w:color w:val="auto"/>
        </w:rPr>
        <w:t>”) and present the reasonably estimable synergies and other transaction effects that have occurred or are reasonably expected to occur (“</w:t>
      </w:r>
      <w:r>
        <w:rPr>
          <w:rFonts w:ascii="Times New Roman" w:cs="Times New Roman" w:eastAsia="Times New Roman" w:hAnsi="Times New Roman"/>
          <w:sz w:val="16"/>
          <w:szCs w:val="16"/>
          <w:b w:val="1"/>
          <w:bCs w:val="1"/>
          <w:i w:val="1"/>
          <w:iCs w:val="1"/>
          <w:color w:val="auto"/>
        </w:rPr>
        <w:t>Management’s Adjustments</w:t>
      </w:r>
      <w:r>
        <w:rPr>
          <w:rFonts w:ascii="Times New Roman" w:cs="Times New Roman" w:eastAsia="Times New Roman" w:hAnsi="Times New Roman"/>
          <w:sz w:val="16"/>
          <w:szCs w:val="16"/>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6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Beacon Transaction</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color w:val="auto"/>
        </w:rPr>
        <w:t>Note 3 — Reclassifications Made to Beacon Financial Statement Presentation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reclassification adjustments were made to the pro forma condensed combined statement of operations for the four months ended April 30, 2021 to conform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Beacon financial statement presentation to that of Opco’s:</w:t>
      </w:r>
    </w:p>
    <w:p>
      <w:pPr>
        <w:spacing w:after="0" w:line="177" w:lineRule="exact"/>
        <w:rPr>
          <w:sz w:val="20"/>
          <w:szCs w:val="20"/>
          <w:color w:val="auto"/>
        </w:rPr>
      </w:pPr>
    </w:p>
    <w:p>
      <w:pPr>
        <w:ind w:left="560" w:hanging="282"/>
        <w:spacing w:after="0"/>
        <w:tabs>
          <w:tab w:leader="none" w:pos="5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$1,137 thousand from Renewable gas sales, $12,101 thousand from RIN sales, and $74 thousand from Transportation sales to RNG Fuel.</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reclassification of $5,937 thousand from Operations and $460 thousand from Repairs and Maintenance to Costs of sales — RNG fuel.</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reclassification of $317 thousand from General and administrative and $139 thousand from Insurance to Selling, general and administrative.</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reclassification of $1,049 thousand from Depreciation and $11 thousand from Asset retirement obligation accretion to Depreciation, amortization, and accretion.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Adjustments to Unaudited Pro Forma Condensed Combined Statements of Operations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pro forma adjustments included in the unaudited pro forma condensed combined statement of operations for the year ended December 31, 2021 are as follows:</w:t>
      </w:r>
    </w:p>
    <w:p>
      <w:pPr>
        <w:spacing w:after="0" w:line="194" w:lineRule="exact"/>
        <w:rPr>
          <w:sz w:val="20"/>
          <w:szCs w:val="20"/>
          <w:color w:val="auto"/>
        </w:rPr>
      </w:pPr>
    </w:p>
    <w:p>
      <w:pPr>
        <w:ind w:left="560" w:right="20" w:hanging="282"/>
        <w:spacing w:after="0" w:line="275"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adjustments to eliminate the income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an intercompany transaction between Opco and Beacon for the amount of $1,134 thousand from Environmental credit processing service and $1,134 thousand from Other.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In this Management’s Discussion and Analysis of Financial Condition and Results of Operations section, references to “OPAL”, “we”, “us”, “our”, and the “Company” refer to </w:t>
      </w:r>
      <w:r>
        <w:rPr>
          <w:rFonts w:ascii="Times New Roman" w:cs="Times New Roman" w:eastAsia="Times New Roman" w:hAnsi="Times New Roman"/>
          <w:sz w:val="16"/>
          <w:szCs w:val="16"/>
          <w:color w:val="auto"/>
        </w:rPr>
        <w:t>OPAL Fuels Inc</w:t>
      </w:r>
      <w:r>
        <w:rPr>
          <w:rFonts w:ascii="Times New Roman" w:cs="Times New Roman" w:eastAsia="Times New Roman" w:hAnsi="Times New Roman"/>
          <w:sz w:val="16"/>
          <w:szCs w:val="16"/>
          <w:i w:val="1"/>
          <w:iCs w:val="1"/>
          <w:color w:val="auto"/>
        </w:rPr>
        <w:t>. and its consolidated subsidiaries. The following discussion and analysis should be read in conjunction with the Company’s unaudited condensed consolidated financial statements as of September 30, 2022 and for the three and nine months ended September 30, 2022 and 2021, audited consolidated financial statements and notes thereto included elsewhere in this Prospectus/Offer to Exchange. In addition to historical information, this discussion and analysis includes certain forward-looking statements which reflect our current expectations. The Company’s actual results may materially differ from these forward-looking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We are a renewable energy company specializing in the capture and conversion of biogas for the (i) production of renewable natural gas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has recently begun implementing design, development, and construction services for hydrogen Fueling Stations, and we are pursuing opportunities to diversify its sources of biogas to other waste streams. The term “Environmental Attributes” refers to federal, state and local government incentives in the United States, provided in the form of renewable identification numbers (“RINs,”) renewable energy credits (“RECs”), low carbon fuel standard (“LCFS”) credits, rebates, tax credits and other incentives to end users, distributors, system integrators and manufacturers of renewable energy projects, that promote the use of renewable energy.We separately design, develop, construct, operate and service Fueling Stations for vehicle fleets across the country that dispense RNG and/or compressed natural gas (“CNG”) to displace diesel as a fleet transportation fuel.</w:t>
      </w:r>
    </w:p>
    <w:p>
      <w:pPr>
        <w:spacing w:after="0" w:line="17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a business combination agreement (“Business Combination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Business combination</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On July 21, 2022, we completed the Business Combination. After giving effect to the Business Combination, the redemption of public shares as described below, the consummation of the related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Global Select Market under the symbols “OPAL” and “OPALW,” respectively, on July 22, 2022.</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i w:val="1"/>
          <w:iCs w:val="1"/>
          <w:color w:val="auto"/>
        </w:rPr>
        <w:t>Recent developments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Construction Update</w:t>
      </w:r>
    </w:p>
    <w:p>
      <w:pPr>
        <w:spacing w:after="0" w:line="196" w:lineRule="exact"/>
        <w:rPr>
          <w:sz w:val="20"/>
          <w:szCs w:val="20"/>
          <w:color w:val="auto"/>
        </w:rPr>
      </w:pPr>
    </w:p>
    <w:p>
      <w:pPr>
        <w:ind w:left="560" w:hanging="282"/>
        <w:spacing w:after="0" w:line="310" w:lineRule="auto"/>
        <w:tabs>
          <w:tab w:leader="none" w:pos="5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begun construction on a renewable power to RNG conversion project in the Northeast bringing to seven the number of RNG facilities under construction as of September 30, 2022, with anticipated aggregate nameplate capacity of 4.2 million MMBtu of landfill biogas and 0.6 million MMBtu of dairy biogas.</w:t>
      </w:r>
    </w:p>
    <w:p>
      <w:pPr>
        <w:spacing w:after="0" w:line="121"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RIN certification for New River in October and anticipate receiving RIN certification for Pine Bend by end of 2022.</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Emerald and Prince William RNG projects are expected to commence commercial operations by mid-2023 and the Sapphire RNG project by early 2024. OPAL Fuels’ share of annual nameplate capacity for these landfill projects is 3.8 million MMBtu.</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is progressing at two Central Valley California dairy RNG projects with commercial operations anticipated in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Development Update</w:t>
      </w:r>
    </w:p>
    <w:p>
      <w:pPr>
        <w:spacing w:after="0" w:line="196" w:lineRule="exact"/>
        <w:rPr>
          <w:sz w:val="20"/>
          <w:szCs w:val="20"/>
          <w:color w:val="auto"/>
        </w:rPr>
      </w:pPr>
    </w:p>
    <w:p>
      <w:pPr>
        <w:ind w:left="560" w:right="20" w:hanging="282"/>
        <w:spacing w:after="0" w:line="275"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Advanced Development Pipeline comprises 16 projects representing 7.4 million MMBtu of feedstock biogas per year consisting of 6.2 million MMBtu of landfill biogas, 0.5 million MMBtu of dairy biogas, and 0.7 million MMBtu of food waste and wastewater biogas.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evaluating nine of our existing renewable power projects comprising 3.2 million MMBtu per year of landfill biogas in light of the incentives in the Inflation Reduction Act.</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total number of RNG dispensing stations grew from 69 at December 31, 2021, to 123 at September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Impact of COVID-19</w:t>
      </w:r>
    </w:p>
    <w:p>
      <w:pPr>
        <w:spacing w:after="0" w:line="196"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5"/>
          <w:szCs w:val="15"/>
          <w:color w:val="auto"/>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the date of this Prospectus/Offer to Exchange, the COVID-19 pandemic has had a relatively minimal economic impact on our results of operations.</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duration and future economic severity of the COVID-19 remains uncertain, and our results of operations and financial condition could potentially face material adverse effect(s) in the future due to COVID-19.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Accounting Policies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92" w:name="page93"/>
    <w:bookmarkEnd w:id="92"/>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should be read in conjunction with the consolidated financial statements and notes thereto included in the Company’s Current Report on 8-K, which was filed with </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xml:space="preserve"> on July 27,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and Trends Influencing our Results of Operations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elsewhere in this Prospectus/Offer to Exchange.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Demand for RNG</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47" w:lineRule="exact"/>
        <w:rPr>
          <w:sz w:val="20"/>
          <w:szCs w:val="20"/>
          <w:color w:val="auto"/>
        </w:rPr>
      </w:pPr>
    </w:p>
    <w:p>
      <w:pPr>
        <w:jc w:val="both"/>
        <w:ind w:right="20" w:firstLine="283"/>
        <w:spacing w:after="0" w:line="203" w:lineRule="exact"/>
        <w:rPr>
          <w:sz w:val="20"/>
          <w:szCs w:val="20"/>
          <w:color w:val="auto"/>
        </w:rPr>
      </w:pPr>
      <w:r>
        <w:rPr>
          <w:rFonts w:ascii="Times New Roman" w:cs="Times New Roman" w:eastAsia="Times New Roman" w:hAnsi="Times New Roman"/>
          <w:sz w:val="16"/>
          <w:szCs w:val="16"/>
          <w:color w:val="auto"/>
        </w:rPr>
        <w:t>Commercial transportation, including heavy-duty trucking, generates approximately 30% emissions of overall CO</w:t>
      </w:r>
      <w:r>
        <w:rPr>
          <w:rFonts w:ascii="MS PGothic" w:cs="MS PGothic" w:eastAsia="MS PGothic" w:hAnsi="MS PGothic"/>
          <w:sz w:val="16"/>
          <w:szCs w:val="16"/>
          <w:color w:val="auto"/>
        </w:rPr>
        <w:t>₂</w:t>
      </w:r>
      <w:r>
        <w:rPr>
          <w:rFonts w:ascii="Times New Roman" w:cs="Times New Roman" w:eastAsia="Times New Roman" w:hAnsi="Times New Roman"/>
          <w:sz w:val="16"/>
          <w:szCs w:val="16"/>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also exposed to the commodity prices of natural gas and diesel, which serve as alternative fuel for RNG and therefore impact the demand for RNG.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i w:val="1"/>
          <w:iCs w:val="1"/>
          <w:color w:val="auto"/>
        </w:rPr>
        <w:t>Renewable Power Markets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154" w:lineRule="exact"/>
        <w:rPr>
          <w:sz w:val="20"/>
          <w:szCs w:val="20"/>
          <w:color w:val="auto"/>
        </w:rPr>
      </w:pPr>
    </w:p>
    <w:p>
      <w:pPr>
        <w:ind w:left="560" w:hanging="282"/>
        <w:spacing w:after="0" w:line="278"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w:t>
      </w:r>
      <w:r>
        <w:rPr>
          <w:rFonts w:ascii="Times New Roman" w:cs="Times New Roman" w:eastAsia="Times New Roman" w:hAnsi="Times New Roman"/>
          <w:sz w:val="16"/>
          <w:szCs w:val="16"/>
          <w:color w:val="auto"/>
        </w:rPr>
        <w:t>The RNG Fuel segment includes RNG supply and dispensing activities as well as the associated generation and sale of commodity natural gas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environmental credits, and consists of</w:t>
      </w:r>
    </w:p>
    <w:p>
      <w:pPr>
        <w:spacing w:after="0" w:line="142"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RNG Production Facilities – the design, development, construction, maintenance and operation of facilities that convert raw biogas into pipeline quality natural gas.</w:t>
      </w:r>
    </w:p>
    <w:p>
      <w:pPr>
        <w:spacing w:after="0" w:line="205" w:lineRule="exact"/>
        <w:rPr>
          <w:rFonts w:ascii="Times New Roman" w:cs="Times New Roman" w:eastAsia="Times New Roman" w:hAnsi="Times New Roman"/>
          <w:sz w:val="15"/>
          <w:szCs w:val="15"/>
          <w:color w:val="auto"/>
        </w:rPr>
      </w:pPr>
    </w:p>
    <w:p>
      <w:pPr>
        <w:ind w:left="840" w:hanging="278"/>
        <w:spacing w:after="0"/>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here are the Company’s interests in both operating and construction projects.</w:t>
      </w:r>
    </w:p>
    <w:p>
      <w:pPr>
        <w:spacing w:after="0" w:line="194" w:lineRule="exact"/>
        <w:rPr>
          <w:rFonts w:ascii="Times New Roman" w:cs="Times New Roman" w:eastAsia="Times New Roman" w:hAnsi="Times New Roman"/>
          <w:sz w:val="16"/>
          <w:szCs w:val="16"/>
          <w:color w:val="auto"/>
        </w:rPr>
      </w:pPr>
    </w:p>
    <w:p>
      <w:pPr>
        <w:ind w:left="840" w:right="20" w:hanging="278"/>
        <w:spacing w:after="0" w:line="275" w:lineRule="auto"/>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RNG and CNG Fuel Dispensing Stations - This includes both the dispensing (or sale) of RNG, commodity natural gas, and environmental credit generation and monetization. The Company operates Fueling Stations that dispense both CNG and RNG fuel for vehicles.</w:t>
      </w:r>
    </w:p>
    <w:p>
      <w:pPr>
        <w:spacing w:after="0" w:line="14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Through its Fuel Station Services segment</w:t>
      </w:r>
      <w:r>
        <w:rPr>
          <w:rFonts w:ascii="Times New Roman" w:cs="Times New Roman" w:eastAsia="Times New Roman" w:hAnsi="Times New Roman"/>
          <w:sz w:val="16"/>
          <w:szCs w:val="16"/>
          <w:b w:val="1"/>
          <w:bCs w:val="1"/>
          <w:color w:val="auto"/>
        </w:rPr>
        <w:t>, t</w:t>
      </w:r>
      <w:r>
        <w:rPr>
          <w:rFonts w:ascii="Times New Roman" w:cs="Times New Roman" w:eastAsia="Times New Roman" w:hAnsi="Times New Roman"/>
          <w:sz w:val="16"/>
          <w:szCs w:val="16"/>
          <w:color w:val="auto"/>
        </w:rPr>
        <w:t>he Company provides construction and maintenance services to third-party owners of Fueling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Stations. This segment includes:</w:t>
      </w:r>
    </w:p>
    <w:p>
      <w:pPr>
        <w:spacing w:after="0" w:line="142"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and maintenance contracts for RNG/CNG Fueling Stations.</w:t>
      </w:r>
    </w:p>
    <w:p>
      <w:pPr>
        <w:spacing w:after="0" w:line="194"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division that builds Compact Fueling Systems and Defueling systems.</w:t>
      </w:r>
    </w:p>
    <w:p>
      <w:pPr>
        <w:spacing w:after="0" w:line="194" w:lineRule="exact"/>
        <w:rPr>
          <w:rFonts w:ascii="Times New Roman" w:cs="Times New Roman" w:eastAsia="Times New Roman" w:hAnsi="Times New Roman"/>
          <w:sz w:val="16"/>
          <w:szCs w:val="16"/>
          <w:color w:val="auto"/>
        </w:rPr>
      </w:pPr>
    </w:p>
    <w:p>
      <w:pPr>
        <w:ind w:left="840" w:right="20" w:hanging="278"/>
        <w:spacing w:after="0" w:line="275" w:lineRule="auto"/>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Design/Build contracts where the Company serves as general contractor for construction of Fueling Stations, typically structured as Guarantee Maximum Price or fixed priced contracts for customers, generally lasting less than one year.</w:t>
      </w:r>
    </w:p>
    <w:p>
      <w:pPr>
        <w:spacing w:after="0" w:line="14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Portfolio. </w:t>
      </w:r>
      <w:r>
        <w:rPr>
          <w:rFonts w:ascii="Times New Roman" w:cs="Times New Roman" w:eastAsia="Times New Roman" w:hAnsi="Times New Roman"/>
          <w:sz w:val="16"/>
          <w:szCs w:val="16"/>
          <w:color w:val="auto"/>
        </w:rPr>
        <w:t>The Renewable Power portfolio segment generates renewable power through combustion of biogas from landfills and digester gas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collection systems which is then sold to public utilities throughout the United States. The Renewable portfolio operates primarily in Southern California.</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costs of sales associated with each revenue category are as follows:</w:t>
      </w:r>
    </w:p>
    <w:p>
      <w:pPr>
        <w:spacing w:after="0" w:line="192" w:lineRule="exact"/>
        <w:rPr>
          <w:sz w:val="20"/>
          <w:szCs w:val="20"/>
          <w:color w:val="auto"/>
        </w:rPr>
      </w:pPr>
    </w:p>
    <w:p>
      <w:pPr>
        <w:ind w:left="560" w:right="20" w:hanging="282"/>
        <w:spacing w:after="0" w:line="278"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w:t>
      </w:r>
      <w:r>
        <w:rPr>
          <w:rFonts w:ascii="Times New Roman" w:cs="Times New Roman" w:eastAsia="Times New Roman" w:hAnsi="Times New Roman"/>
          <w:sz w:val="16"/>
          <w:szCs w:val="16"/>
          <w:color w:val="auto"/>
        </w:rPr>
        <w:t>Includes royalty payments to biogas site owners for the biogas we use; service provider costs; salaries and other indirect expenses related to the production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process, utilities, transportation, storage, and insurance; and depreciation of production facilities.</w:t>
      </w:r>
    </w:p>
    <w:p>
      <w:pPr>
        <w:spacing w:after="0" w:line="1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Includes equipment supplier costs; service provider costs; and salaries and other indirect expenses.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w:t>
      </w:r>
      <w:r>
        <w:rPr>
          <w:rFonts w:ascii="Times New Roman" w:cs="Times New Roman" w:eastAsia="Times New Roman" w:hAnsi="Times New Roman"/>
          <w:sz w:val="16"/>
          <w:szCs w:val="16"/>
          <w:color w:val="auto"/>
        </w:rPr>
        <w:t>Includes land usage costs; service provider costs; salaries and other indirect expenses related to the production process; utilities; and depreciation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production facilities.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30" w:right="319" w:bottom="1440" w:gutter="0" w:footer="0" w:header="0"/>
        </w:sectPr>
      </w:pPr>
    </w:p>
    <w:bookmarkStart w:id="94" w:name="page95"/>
    <w:bookmarkEnd w:id="94"/>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Selling, general, and administrative expense consists of costs involving corporate overhead functions, including the cost of services provided to us by an affiliate, and marketing costs.</w:t>
      </w:r>
    </w:p>
    <w:p>
      <w:pPr>
        <w:spacing w:after="0" w:line="145"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Operational data</w:t>
      </w:r>
    </w:p>
    <w:p>
      <w:pPr>
        <w:spacing w:after="0" w:line="198"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operational data achieved for the three and nine months ended September 30, 2022 and 2021:</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74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54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gridSpan w:val="7"/>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540" w:type="dxa"/>
            <w:vAlign w:val="bottom"/>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4"/>
        </w:trPr>
        <w:tc>
          <w:tcPr>
            <w:tcW w:w="59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volume produced (Million MMBtus)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w:t>
            </w:r>
          </w:p>
        </w:tc>
        <w:tc>
          <w:tcPr>
            <w:tcW w:w="13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RNG Fuel volume sold (Million GGEs)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w:t>
            </w: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volume delivered (Million GGEs)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30.7</w:t>
            </w:r>
          </w:p>
        </w:tc>
        <w:tc>
          <w:tcPr>
            <w:tcW w:w="13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68.8</w:t>
            </w:r>
          </w:p>
        </w:tc>
      </w:tr>
      <w:tr>
        <w:trPr>
          <w:trHeight w:val="37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RNG projects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6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RNG projects in operation and construction in our portfolio:</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5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Design capacity</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5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(MMbtus</w:t>
            </w: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Source of</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per year) (1)</w:t>
            </w: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bio gas</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Ownership (2)</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RNG projects in operation: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Greentree</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Imperial</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900,000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River</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Noble Road</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 Bend</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775,000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Sunoma</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200,000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193"/>
        </w:trPr>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 total</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4,175,000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RNG projects in construction:</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Biotown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375,000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Prince William</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Hilltop</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Vander Schaaf</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Emerald</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2,100,000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Sapphire</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England</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 total</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6,125,000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3"/>
        </w:trPr>
        <w:tc>
          <w:tcPr>
            <w:tcW w:w="59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10,300,000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95" w:name="page96"/>
    <w:bookmarkEnd w:id="95"/>
    <w:tbl>
      <w:tblPr>
        <w:tblLayout w:type="fixed"/>
        <w:tblInd w:w="5" w:type="dxa"/>
        <w:tblCellMar>
          <w:top w:w="0" w:type="dxa"/>
          <w:left w:w="0" w:type="dxa"/>
          <w:bottom w:w="0" w:type="dxa"/>
          <w:right w:w="0" w:type="dxa"/>
        </w:tblCellMar>
      </w:tblP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Renewable Power Projects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78"/>
        </w:trPr>
        <w:tc>
          <w:tcPr>
            <w:tcW w:w="6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Renewable Power projects in operation in our portfolio:</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9"/>
        </w:trPr>
        <w:tc>
          <w:tcPr>
            <w:tcW w:w="6300" w:type="dxa"/>
            <w:vAlign w:val="bottom"/>
          </w:tcPr>
          <w:p>
            <w:pPr>
              <w:spacing w:after="0"/>
              <w:rPr>
                <w:sz w:val="24"/>
                <w:szCs w:val="24"/>
                <w:color w:val="auto"/>
              </w:rPr>
            </w:pPr>
          </w:p>
        </w:tc>
        <w:tc>
          <w:tcPr>
            <w:tcW w:w="1960" w:type="dxa"/>
            <w:vAlign w:val="bottom"/>
            <w:gridSpan w:val="3"/>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8"/>
              </w:rPr>
              <w:t>Nameplate capacity</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9"/>
        </w:trPr>
        <w:tc>
          <w:tcPr>
            <w:tcW w:w="6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(MW</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RNG conversion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Stage of RNG</w:t>
            </w:r>
          </w:p>
        </w:tc>
      </w:tr>
      <w:tr>
        <w:trPr>
          <w:trHeight w:val="211"/>
        </w:trPr>
        <w:tc>
          <w:tcPr>
            <w:tcW w:w="6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 hour) (1)</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candidate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conversion</w:t>
            </w:r>
          </w:p>
        </w:tc>
      </w:tr>
      <w:tr>
        <w:trPr>
          <w:trHeight w:val="18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1</w:t>
            </w:r>
          </w:p>
        </w:tc>
        <w:tc>
          <w:tcPr>
            <w:tcW w:w="4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7</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Florida</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New England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Massachusetts 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Michigan 1E(2)</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28.9</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Michigan 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New York</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 1</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14.4</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Prince William 1E (3)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Prince William 2E (4)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2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Virginia - Richmond</w:t>
            </w: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00"/>
        </w:trPr>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45" w:lineRule="exact"/>
        <w:rPr>
          <w:rFonts w:ascii="Times New Roman" w:cs="Times New Roman" w:eastAsia="Times New Roman" w:hAnsi="Times New Roman"/>
          <w:sz w:val="16"/>
          <w:szCs w:val="16"/>
          <w:color w:val="auto"/>
        </w:rPr>
      </w:pPr>
    </w:p>
    <w:p>
      <w:pPr>
        <w:ind w:left="285" w:right="20"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4"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Nine Months Ended September 30, 2022, and 2021</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presents the period-over-period change for each line item in the Company’s statement of operations for the three and nine months ended September 30, 2022 and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6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17"/>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217"/>
              <w:spacing w:after="0" w:line="130" w:lineRule="exact"/>
              <w:rPr>
                <w:sz w:val="20"/>
                <w:szCs w:val="20"/>
                <w:color w:val="auto"/>
              </w:rPr>
            </w:pPr>
            <w:r>
              <w:rPr>
                <w:rFonts w:ascii="Times New Roman" w:cs="Times New Roman" w:eastAsia="Times New Roman" w:hAnsi="Times New Roman"/>
                <w:sz w:val="13"/>
                <w:szCs w:val="13"/>
                <w:b w:val="1"/>
                <w:bCs w:val="1"/>
                <w:color w:val="auto"/>
                <w:w w:val="84"/>
              </w:rPr>
              <w:t>2021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58"/>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40" w:type="dxa"/>
            <w:vAlign w:val="bottom"/>
            <w:gridSpan w:val="2"/>
          </w:tcPr>
          <w:p>
            <w:pPr>
              <w:jc w:val="right"/>
              <w:ind w:right="377"/>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7"/>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7"/>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58"/>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940" w:type="dxa"/>
            <w:vAlign w:val="bottom"/>
            <w:gridSpan w:val="3"/>
          </w:tcPr>
          <w:p>
            <w:pPr>
              <w:jc w:val="right"/>
              <w:ind w:right="340"/>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0"/>
        </w:trPr>
        <w:tc>
          <w:tcPr>
            <w:tcW w:w="3140" w:type="dxa"/>
            <w:vAlign w:val="bottom"/>
            <w:tcBorders>
              <w:top w:val="single" w:sz="8" w:color="auto"/>
            </w:tcBorders>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RNG fuel</w:t>
            </w:r>
          </w:p>
        </w:tc>
        <w:tc>
          <w:tcPr>
            <w:tcW w:w="300" w:type="dxa"/>
            <w:vAlign w:val="bottom"/>
            <w:gridSpan w:val="2"/>
            <w:shd w:val="clear" w:color="auto" w:fill="CCEEFF"/>
          </w:tcPr>
          <w:p>
            <w:pPr>
              <w:jc w:val="right"/>
              <w:ind w:right="37"/>
              <w:spacing w:after="0" w:line="130"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32,381</w:t>
            </w: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17,892</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14,489</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83,196</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37,066</w:t>
            </w:r>
          </w:p>
        </w:tc>
        <w:tc>
          <w:tcPr>
            <w:tcW w:w="1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46,130</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Fuel station services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23,227</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18,387</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4,840</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55,524</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35,560</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19,964</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Renewable Power</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10,942</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10,905</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37</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30,094</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32,342</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8"/>
              <w:spacing w:after="0" w:line="142" w:lineRule="exact"/>
              <w:rPr>
                <w:sz w:val="20"/>
                <w:szCs w:val="20"/>
                <w:color w:val="auto"/>
              </w:rPr>
            </w:pPr>
            <w:r>
              <w:rPr>
                <w:rFonts w:ascii="Times New Roman" w:cs="Times New Roman" w:eastAsia="Times New Roman" w:hAnsi="Times New Roman"/>
                <w:sz w:val="13"/>
                <w:szCs w:val="13"/>
                <w:color w:val="auto"/>
              </w:rPr>
              <w:t>(2,248)</w:t>
            </w:r>
          </w:p>
        </w:tc>
        <w:tc>
          <w:tcPr>
            <w:tcW w:w="9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17"/>
        </w:trPr>
        <w:tc>
          <w:tcPr>
            <w:tcW w:w="3140" w:type="dxa"/>
            <w:vAlign w:val="bottom"/>
            <w:tcBorders>
              <w:top w:val="single" w:sz="8" w:color="CCEEFF"/>
              <w:bottom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tcBorders>
              <w:top w:val="single" w:sz="8" w:color="CCEEFF"/>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66,550</w:t>
            </w:r>
          </w:p>
        </w:tc>
        <w:tc>
          <w:tcPr>
            <w:tcW w:w="220" w:type="dxa"/>
            <w:vAlign w:val="bottom"/>
            <w:tcBorders>
              <w:top w:val="single" w:sz="8" w:color="CCEEFF"/>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47,184</w:t>
            </w:r>
          </w:p>
        </w:tc>
        <w:tc>
          <w:tcPr>
            <w:tcW w:w="220" w:type="dxa"/>
            <w:vAlign w:val="bottom"/>
            <w:tcBorders>
              <w:top w:val="single" w:sz="8" w:color="CCEEFF"/>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19,366</w:t>
            </w:r>
          </w:p>
        </w:tc>
        <w:tc>
          <w:tcPr>
            <w:tcW w:w="20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41</w:t>
            </w:r>
          </w:p>
        </w:tc>
        <w:tc>
          <w:tcPr>
            <w:tcW w:w="260" w:type="dxa"/>
            <w:vAlign w:val="bottom"/>
            <w:tcBorders>
              <w:top w:val="single" w:sz="8" w:color="CCEEFF"/>
              <w:bottom w:val="single" w:sz="8" w:color="CCEEFF"/>
            </w:tcBorders>
          </w:tcPr>
          <w:p>
            <w:pPr>
              <w:jc w:val="right"/>
              <w:ind w:right="97"/>
              <w:spacing w:after="0" w:line="114"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168,814</w:t>
            </w:r>
          </w:p>
        </w:tc>
        <w:tc>
          <w:tcPr>
            <w:tcW w:w="220" w:type="dxa"/>
            <w:vAlign w:val="bottom"/>
            <w:tcBorders>
              <w:top w:val="single" w:sz="8" w:color="CCEEFF"/>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104,968</w:t>
            </w:r>
          </w:p>
        </w:tc>
        <w:tc>
          <w:tcPr>
            <w:tcW w:w="200" w:type="dxa"/>
            <w:vAlign w:val="bottom"/>
            <w:tcBorders>
              <w:top w:val="single" w:sz="8" w:color="CCEEFF"/>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63,846</w:t>
            </w:r>
          </w:p>
        </w:tc>
        <w:tc>
          <w:tcPr>
            <w:tcW w:w="22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61</w:t>
            </w:r>
          </w:p>
        </w:tc>
        <w:tc>
          <w:tcPr>
            <w:tcW w:w="160" w:type="dxa"/>
            <w:vAlign w:val="bottom"/>
            <w:tcBorders>
              <w:top w:val="single" w:sz="8" w:color="CCEEFF"/>
              <w:bottom w:val="single" w:sz="8" w:color="CCEEFF"/>
            </w:tcBorders>
            <w:gridSpan w:val="2"/>
          </w:tcPr>
          <w:p>
            <w:pPr>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Cost of sales - RNG fuel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20,959</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11,973</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8,986</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75%</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51,843</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23,053</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28,790</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Cost of sales - Fuel station services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20,886</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15,458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5,428</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35%</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49,643</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29,775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19,868</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Cost of sales - Renewable power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7,645</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6,064</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1,581</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23,593</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23,952</w:t>
            </w:r>
          </w:p>
        </w:tc>
        <w:tc>
          <w:tcPr>
            <w:tcW w:w="140" w:type="dxa"/>
            <w:vAlign w:val="bottom"/>
          </w:tcPr>
          <w:p>
            <w:pPr>
              <w:spacing w:after="0"/>
              <w:rPr>
                <w:sz w:val="11"/>
                <w:szCs w:val="11"/>
                <w:color w:val="auto"/>
              </w:rPr>
            </w:pPr>
          </w:p>
        </w:tc>
        <w:tc>
          <w:tcPr>
            <w:tcW w:w="86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(359)</w:t>
            </w:r>
          </w:p>
        </w:tc>
        <w:tc>
          <w:tcPr>
            <w:tcW w:w="940" w:type="dxa"/>
            <w:vAlign w:val="bottom"/>
            <w:gridSpan w:val="3"/>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15,751</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7,922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7,829</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34,561</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19,107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15,454</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45"/>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Depreciation, amortization, and accretion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3,258</w:t>
            </w:r>
          </w:p>
        </w:tc>
        <w:tc>
          <w:tcPr>
            <w:tcW w:w="28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2,613</w:t>
            </w: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645</w:t>
            </w:r>
          </w:p>
        </w:tc>
        <w:tc>
          <w:tcPr>
            <w:tcW w:w="200" w:type="dxa"/>
            <w:vAlign w:val="bottom"/>
          </w:tcPr>
          <w:p>
            <w:pPr>
              <w:spacing w:after="0"/>
              <w:rPr>
                <w:sz w:val="12"/>
                <w:szCs w:val="12"/>
                <w:color w:val="auto"/>
              </w:rPr>
            </w:pPr>
          </w:p>
        </w:tc>
        <w:tc>
          <w:tcPr>
            <w:tcW w:w="1040" w:type="dxa"/>
            <w:vAlign w:val="bottom"/>
            <w:gridSpan w:val="2"/>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2"/>
                <w:szCs w:val="12"/>
                <w:color w:val="auto"/>
              </w:rPr>
            </w:pPr>
          </w:p>
        </w:tc>
        <w:tc>
          <w:tcPr>
            <w:tcW w:w="84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9,816</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6,672</w:t>
            </w:r>
          </w:p>
        </w:tc>
        <w:tc>
          <w:tcPr>
            <w:tcW w:w="140" w:type="dxa"/>
            <w:vAlign w:val="bottom"/>
          </w:tcPr>
          <w:p>
            <w:pPr>
              <w:spacing w:after="0"/>
              <w:rPr>
                <w:sz w:val="12"/>
                <w:szCs w:val="12"/>
                <w:color w:val="auto"/>
              </w:rPr>
            </w:pPr>
          </w:p>
        </w:tc>
        <w:tc>
          <w:tcPr>
            <w:tcW w:w="86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3,144</w:t>
            </w:r>
          </w:p>
        </w:tc>
        <w:tc>
          <w:tcPr>
            <w:tcW w:w="9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0"/>
        </w:trPr>
        <w:tc>
          <w:tcPr>
            <w:tcW w:w="3140" w:type="dxa"/>
            <w:vAlign w:val="bottom"/>
            <w:tcBorders>
              <w:top w:val="single" w:sz="8" w:color="CCEEFF"/>
              <w:bottom w:val="single" w:sz="8" w:color="CCEEFF"/>
            </w:tcBorders>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68,499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44,030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24,469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w:t>
            </w:r>
          </w:p>
        </w:tc>
        <w:tc>
          <w:tcPr>
            <w:tcW w:w="260" w:type="dxa"/>
            <w:vAlign w:val="bottom"/>
            <w:tcBorders>
              <w:top w:val="single" w:sz="8" w:color="CCEEFF"/>
              <w:bottom w:val="single" w:sz="8" w:color="CCEEFF"/>
            </w:tcBorders>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169,456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102,559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66,897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65</w:t>
            </w:r>
          </w:p>
        </w:tc>
        <w:tc>
          <w:tcPr>
            <w:tcW w:w="160" w:type="dxa"/>
            <w:vAlign w:val="bottom"/>
            <w:tcBorders>
              <w:top w:val="single" w:sz="8" w:color="CCEEFF"/>
              <w:bottom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40" w:type="dxa"/>
            <w:vAlign w:val="bottom"/>
            <w:tcBorders>
              <w:bottom w:val="single" w:sz="8" w:color="CCEEFF"/>
            </w:tcBorders>
          </w:tcPr>
          <w:p>
            <w:pPr>
              <w:ind w:left="140"/>
              <w:spacing w:after="0" w:line="114" w:lineRule="exact"/>
              <w:rPr>
                <w:sz w:val="20"/>
                <w:szCs w:val="20"/>
                <w:color w:val="auto"/>
              </w:rPr>
            </w:pPr>
            <w:r>
              <w:rPr>
                <w:rFonts w:ascii="Times New Roman" w:cs="Times New Roman" w:eastAsia="Times New Roman" w:hAnsi="Times New Roman"/>
                <w:sz w:val="13"/>
                <w:szCs w:val="13"/>
                <w:color w:val="auto"/>
              </w:rPr>
              <w:t>Operating (loss) income</w:t>
            </w: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(1,949</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3,154</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(5,103</w:t>
            </w:r>
          </w:p>
        </w:tc>
        <w:tc>
          <w:tcPr>
            <w:tcW w:w="20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(162</w:t>
            </w:r>
          </w:p>
        </w:tc>
        <w:tc>
          <w:tcPr>
            <w:tcW w:w="260" w:type="dxa"/>
            <w:vAlign w:val="bottom"/>
            <w:tcBorders>
              <w:bottom w:val="single" w:sz="8" w:color="CCEEFF"/>
            </w:tcBorders>
          </w:tcPr>
          <w:p>
            <w:pPr>
              <w:jc w:val="right"/>
              <w:ind w:right="57"/>
              <w:spacing w:after="0" w:line="114" w:lineRule="exact"/>
              <w:rPr>
                <w:sz w:val="20"/>
                <w:szCs w:val="20"/>
                <w:color w:val="auto"/>
              </w:rPr>
            </w:pPr>
            <w:r>
              <w:rPr>
                <w:rFonts w:ascii="Times New Roman" w:cs="Times New Roman" w:eastAsia="Times New Roman" w:hAnsi="Times New Roman"/>
                <w:sz w:val="13"/>
                <w:szCs w:val="13"/>
                <w:color w:val="auto"/>
                <w:w w:val="78"/>
              </w:rPr>
              <w:t>)%</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(642</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2,409</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(3,051</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(127</w:t>
            </w:r>
          </w:p>
        </w:tc>
        <w:tc>
          <w:tcPr>
            <w:tcW w:w="160" w:type="dxa"/>
            <w:vAlign w:val="bottom"/>
            <w:tcBorders>
              <w:bottom w:val="single" w:sz="8" w:color="CCEEFF"/>
            </w:tcBorders>
            <w:gridSpan w:val="2"/>
          </w:tcPr>
          <w:p>
            <w:pPr>
              <w:spacing w:after="0" w:line="114" w:lineRule="exact"/>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Interest and financing expense, net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(776)</w:t>
            </w:r>
          </w:p>
        </w:tc>
        <w:tc>
          <w:tcPr>
            <w:tcW w:w="280" w:type="dxa"/>
            <w:vAlign w:val="bottom"/>
          </w:tcPr>
          <w:p>
            <w:pPr>
              <w:spacing w:after="0"/>
              <w:rPr>
                <w:sz w:val="11"/>
                <w:szCs w:val="11"/>
                <w:color w:val="auto"/>
              </w:rPr>
            </w:pPr>
          </w:p>
        </w:tc>
        <w:tc>
          <w:tcPr>
            <w:tcW w:w="7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3"/>
                <w:szCs w:val="13"/>
                <w:color w:val="auto"/>
              </w:rPr>
              <w:t>(2,354)</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1,578</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67%</w:t>
            </w:r>
          </w:p>
        </w:tc>
        <w:tc>
          <w:tcPr>
            <w:tcW w:w="160" w:type="dxa"/>
            <w:vAlign w:val="bottom"/>
          </w:tcPr>
          <w:p>
            <w:pPr>
              <w:spacing w:after="0"/>
              <w:rPr>
                <w:sz w:val="11"/>
                <w:szCs w:val="11"/>
                <w:color w:val="auto"/>
              </w:rPr>
            </w:pPr>
          </w:p>
        </w:tc>
        <w:tc>
          <w:tcPr>
            <w:tcW w:w="84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(7,184)</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(5,659)</w:t>
            </w:r>
          </w:p>
        </w:tc>
        <w:tc>
          <w:tcPr>
            <w:tcW w:w="140" w:type="dxa"/>
            <w:vAlign w:val="bottom"/>
          </w:tcPr>
          <w:p>
            <w:pPr>
              <w:spacing w:after="0"/>
              <w:rPr>
                <w:sz w:val="11"/>
                <w:szCs w:val="11"/>
                <w:color w:val="auto"/>
              </w:rPr>
            </w:pPr>
          </w:p>
        </w:tc>
        <w:tc>
          <w:tcPr>
            <w:tcW w:w="86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(1,525)</w:t>
            </w:r>
          </w:p>
        </w:tc>
        <w:tc>
          <w:tcPr>
            <w:tcW w:w="940" w:type="dxa"/>
            <w:vAlign w:val="bottom"/>
            <w:gridSpan w:val="3"/>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Change in fair value of derivative instruments, net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(1,908)</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0" w:lineRule="exact"/>
              <w:rPr>
                <w:sz w:val="20"/>
                <w:szCs w:val="20"/>
                <w:color w:val="auto"/>
              </w:rPr>
            </w:pPr>
            <w:r>
              <w:rPr>
                <w:rFonts w:ascii="Times New Roman" w:cs="Times New Roman" w:eastAsia="Times New Roman" w:hAnsi="Times New Roman"/>
                <w:sz w:val="13"/>
                <w:szCs w:val="13"/>
                <w:color w:val="auto"/>
              </w:rPr>
              <w:t>(1,881)</w:t>
            </w:r>
          </w:p>
        </w:tc>
        <w:tc>
          <w:tcPr>
            <w:tcW w:w="1040" w:type="dxa"/>
            <w:vAlign w:val="bottom"/>
            <w:gridSpan w:val="2"/>
            <w:shd w:val="clear" w:color="auto" w:fill="CCEEFF"/>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(6967)%</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(1,580)</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(1,570)</w:t>
            </w:r>
          </w:p>
        </w:tc>
        <w:tc>
          <w:tcPr>
            <w:tcW w:w="940" w:type="dxa"/>
            <w:vAlign w:val="bottom"/>
            <w:gridSpan w:val="3"/>
            <w:shd w:val="clear" w:color="auto" w:fill="CCEEFF"/>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(15700)%</w:t>
            </w: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Income (loss) from equity method investments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3,694</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3,694</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3,658</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2,392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1,266</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45"/>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Gain on acquisition of equity method investment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5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19,818</w:t>
            </w:r>
          </w:p>
        </w:tc>
        <w:tc>
          <w:tcPr>
            <w:tcW w:w="140" w:type="dxa"/>
            <w:vAlign w:val="bottom"/>
          </w:tcPr>
          <w:p>
            <w:pPr>
              <w:spacing w:after="0"/>
              <w:rPr>
                <w:sz w:val="12"/>
                <w:szCs w:val="12"/>
                <w:color w:val="auto"/>
              </w:rPr>
            </w:pPr>
          </w:p>
        </w:tc>
        <w:tc>
          <w:tcPr>
            <w:tcW w:w="860" w:type="dxa"/>
            <w:vAlign w:val="bottom"/>
            <w:gridSpan w:val="2"/>
          </w:tcPr>
          <w:p>
            <w:pPr>
              <w:jc w:val="right"/>
              <w:ind w:right="138"/>
              <w:spacing w:after="0" w:line="142" w:lineRule="exact"/>
              <w:rPr>
                <w:sz w:val="20"/>
                <w:szCs w:val="20"/>
                <w:color w:val="auto"/>
              </w:rPr>
            </w:pPr>
            <w:r>
              <w:rPr>
                <w:rFonts w:ascii="Times New Roman" w:cs="Times New Roman" w:eastAsia="Times New Roman" w:hAnsi="Times New Roman"/>
                <w:sz w:val="13"/>
                <w:szCs w:val="13"/>
                <w:color w:val="auto"/>
              </w:rPr>
              <w:t>(19,818)</w:t>
            </w:r>
          </w:p>
        </w:tc>
        <w:tc>
          <w:tcPr>
            <w:tcW w:w="9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0"/>
        </w:trPr>
        <w:tc>
          <w:tcPr>
            <w:tcW w:w="314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Net (loss) income before provision for income taxes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5,369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773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4,596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595</w:t>
            </w:r>
          </w:p>
        </w:tc>
        <w:tc>
          <w:tcPr>
            <w:tcW w:w="260" w:type="dxa"/>
            <w:vAlign w:val="bottom"/>
            <w:tcBorders>
              <w:top w:val="single" w:sz="8" w:color="CCEEFF"/>
              <w:bottom w:val="single" w:sz="8" w:color="CCEEFF"/>
            </w:tcBorders>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18,950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(18,390</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top w:val="single" w:sz="8" w:color="CCEEFF"/>
              <w:bottom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17"/>
        </w:trPr>
        <w:tc>
          <w:tcPr>
            <w:tcW w:w="3140" w:type="dxa"/>
            <w:vAlign w:val="bottom"/>
            <w:tcBorders>
              <w:bottom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color w:val="auto"/>
              </w:rPr>
              <w:t>Provision for income taxes</w:t>
            </w: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tcPr>
          <w:p>
            <w:pPr>
              <w:jc w:val="right"/>
              <w:ind w:right="97"/>
              <w:spacing w:after="0" w:line="114"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gridSpan w:val="2"/>
          </w:tcPr>
          <w:p>
            <w:pPr>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3140" w:type="dxa"/>
            <w:vAlign w:val="bottom"/>
            <w:tcBorders>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Net (loss) income</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5,369</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773</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4,596</w:t>
            </w: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595</w:t>
            </w:r>
          </w:p>
        </w:tc>
        <w:tc>
          <w:tcPr>
            <w:tcW w:w="260" w:type="dxa"/>
            <w:vAlign w:val="bottom"/>
            <w:tcBorders>
              <w:bottom w:val="single" w:sz="8" w:color="CCEEFF"/>
            </w:tcBorders>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560</w:t>
            </w: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18,950</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(18,390</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bottom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82"/>
        </w:trPr>
        <w:tc>
          <w:tcPr>
            <w:tcW w:w="314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rPr>
              <w:t>Net income (loss) attributable to redeemable non-controlling</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auto"/>
              </w:rPr>
              <w:t>4,161</w:t>
            </w:r>
          </w:p>
        </w:tc>
        <w:tc>
          <w:tcPr>
            <w:tcW w:w="280" w:type="dxa"/>
            <w:vAlign w:val="bottom"/>
          </w:tcPr>
          <w:p>
            <w:pPr>
              <w:spacing w:after="0"/>
              <w:rPr>
                <w:sz w:val="7"/>
                <w:szCs w:val="7"/>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7"/>
                <w:szCs w:val="7"/>
                <w:color w:val="auto"/>
              </w:rPr>
            </w:pPr>
          </w:p>
        </w:tc>
        <w:tc>
          <w:tcPr>
            <w:tcW w:w="86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3"/>
                <w:szCs w:val="13"/>
                <w:color w:val="auto"/>
              </w:rPr>
              <w:t>4,161</w:t>
            </w:r>
          </w:p>
        </w:tc>
        <w:tc>
          <w:tcPr>
            <w:tcW w:w="10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7"/>
                <w:szCs w:val="7"/>
                <w:color w:val="auto"/>
              </w:rPr>
            </w:pPr>
          </w:p>
        </w:tc>
        <w:tc>
          <w:tcPr>
            <w:tcW w:w="84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3"/>
                <w:szCs w:val="13"/>
                <w:color w:val="auto"/>
              </w:rPr>
              <w:t>(2,584)</w:t>
            </w:r>
          </w:p>
        </w:tc>
        <w:tc>
          <w:tcPr>
            <w:tcW w:w="160" w:type="dxa"/>
            <w:vAlign w:val="bottom"/>
          </w:tcPr>
          <w:p>
            <w:pPr>
              <w:spacing w:after="0"/>
              <w:rPr>
                <w:sz w:val="7"/>
                <w:szCs w:val="7"/>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7"/>
                <w:szCs w:val="7"/>
                <w:color w:val="auto"/>
              </w:rPr>
            </w:pPr>
          </w:p>
        </w:tc>
        <w:tc>
          <w:tcPr>
            <w:tcW w:w="86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3"/>
                <w:szCs w:val="13"/>
                <w:color w:val="auto"/>
              </w:rPr>
              <w:t>(2,584)</w:t>
            </w:r>
          </w:p>
        </w:tc>
        <w:tc>
          <w:tcPr>
            <w:tcW w:w="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0"/>
        </w:trPr>
        <w:tc>
          <w:tcPr>
            <w:tcW w:w="3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1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Net loss attributable to non-redeemable non-controlling</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(325)</w:t>
            </w:r>
          </w:p>
        </w:tc>
        <w:tc>
          <w:tcPr>
            <w:tcW w:w="2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(216)</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(109)</w:t>
            </w:r>
          </w:p>
        </w:tc>
        <w:tc>
          <w:tcPr>
            <w:tcW w:w="104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(824)</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(414)</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(410)</w:t>
            </w:r>
          </w:p>
        </w:tc>
        <w:tc>
          <w:tcPr>
            <w:tcW w:w="9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Paid-in-kind preferred dividends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2,658</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2,658</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5,093</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5,093</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income attributable to OPAL Fuels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989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18"/>
              <w:spacing w:after="0" w:line="142" w:lineRule="exact"/>
              <w:rPr>
                <w:sz w:val="20"/>
                <w:szCs w:val="20"/>
                <w:color w:val="auto"/>
              </w:rPr>
            </w:pPr>
            <w:r>
              <w:rPr>
                <w:rFonts w:ascii="Times New Roman" w:cs="Times New Roman" w:eastAsia="Times New Roman" w:hAnsi="Times New Roman"/>
                <w:sz w:val="13"/>
                <w:szCs w:val="13"/>
                <w:color w:val="auto"/>
              </w:rPr>
              <w:t>(989)</w:t>
            </w:r>
          </w:p>
        </w:tc>
        <w:tc>
          <w:tcPr>
            <w:tcW w:w="1040" w:type="dxa"/>
            <w:vAlign w:val="bottom"/>
            <w:gridSpan w:val="2"/>
            <w:shd w:val="clear" w:color="auto" w:fill="CCEEFF"/>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19,364</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8"/>
              <w:spacing w:after="0" w:line="142" w:lineRule="exact"/>
              <w:rPr>
                <w:sz w:val="20"/>
                <w:szCs w:val="20"/>
                <w:color w:val="auto"/>
              </w:rPr>
            </w:pPr>
            <w:r>
              <w:rPr>
                <w:rFonts w:ascii="Times New Roman" w:cs="Times New Roman" w:eastAsia="Times New Roman" w:hAnsi="Times New Roman"/>
                <w:sz w:val="13"/>
                <w:szCs w:val="13"/>
                <w:color w:val="auto"/>
              </w:rPr>
              <w:t>(19,364)</w:t>
            </w:r>
          </w:p>
        </w:tc>
        <w:tc>
          <w:tcPr>
            <w:tcW w:w="94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1"/>
        </w:trPr>
        <w:tc>
          <w:tcPr>
            <w:tcW w:w="3140" w:type="dxa"/>
            <w:vAlign w:val="bottom"/>
            <w:tcBorders>
              <w:top w:val="single" w:sz="8" w:color="CCEEFF"/>
            </w:tcBorders>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Net loss attributable to Common stockholders</w:t>
            </w: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jc w:val="right"/>
              <w:ind w:right="37"/>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00" w:type="dxa"/>
            <w:vAlign w:val="bottom"/>
            <w:tcBorders>
              <w:top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100</w:t>
            </w:r>
          </w:p>
        </w:tc>
        <w:tc>
          <w:tcPr>
            <w:tcW w:w="260" w:type="dxa"/>
            <w:vAlign w:val="bottom"/>
            <w:tcBorders>
              <w:top w:val="single" w:sz="8" w:color="CCEEFF"/>
            </w:tcBorders>
          </w:tcPr>
          <w:p>
            <w:pPr>
              <w:jc w:val="right"/>
              <w:ind w:right="97"/>
              <w:spacing w:after="0" w:line="126"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top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RNG Fuel</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Revenue from RNG Fuel increased by $14.5 million, or 81%, for the three months ended September 30, 2022 compared to the three months ended September 30, 2021. This change was attributable primarily due to an increase in RIN sales and brown gas sales driven by additional volumes and higher prices.</w:t>
      </w:r>
    </w:p>
    <w:p>
      <w:pPr>
        <w:spacing w:after="0" w:line="145"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Revenue from RNG Fuel increased by $46.1 million, or 124%, for the nine months ended September 30, 2022 compared to the nine months ended September 30, 2021. $28.0 million of this increase was attributable primarily to the impact of nine months of Beacon revenues in 2022 versus only five months in 2021. Additionally, revenues increased by $12.0 million from the sale of environmental credits, $3.8 million due to higher brown gas sales and $3.2 million in fuel dispensing primarily due to increased volumes.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Renewable Power</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Revenue from Renewable Power remained flat for the three months ended September 30, 2022 compared to the three months ended September 30, 2021.</w:t>
      </w:r>
    </w:p>
    <w:p>
      <w:pPr>
        <w:spacing w:after="0" w:line="19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Revenue from Renewable Power decreased by $2.2 million, or 7%, for the nine months ended September 30, 2022 compared to the nine months ended September 30, 2021. This change was attributable primarily to a decrease of $4.0 million from the reduction in energy capacity at one of our electricity generation facilities offset by positive mark to market change in commodity swaps of $2.0 million.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i w:val="1"/>
          <w:iCs w:val="1"/>
          <w:color w:val="auto"/>
        </w:rPr>
        <w:t>Fuel Station Service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Revenue from Fuel Station Services increased by $4.8 million, or 26%, for the three months ended September 30, 2022 compared to the three months ended September 30, 2021. This change was primarily attributable to an increase of $4.3 million in construction revenue from additional fuel station projects and an increase of $0.5 million from incremental service volumes from the addition of four new fueling service sites.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Revenue from Fuel Station Services increased by $20.0 million, or 56%, for the nine months ended September 30, 2022 compared to the nine months ended September 30, 2021. This was primarily attributable to an increase of $18.8 million from fuel station construction projects which were delayed into 2022, coupled with an incremental $1.9 million as we built new fuel stations during the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RNG Fuel</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Cost of sales from RNG Fuel increased by $9.0 million, or 75%, for the three months ended September 30, 2022 compared to the three months ended September 30, 2021. This change was attributable primarily due to increase in costs of $3.4 million from new RNG facilities including but not limited to Emerald, Sunoma, New River and Sapphire. Additionally, there was an increase of $2.6 million due to increased royalty expense from increased RIN sales, $0.6 million write down charges relating to our brown gas inventory to its net realizable value due to decrease in prices and unplanned repairs at one of our RNG facilities.</w:t>
      </w:r>
    </w:p>
    <w:p>
      <w:pPr>
        <w:spacing w:after="0" w:line="160"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Cost of sales from RNG Fuel increased by $28.8 million, or 125%, for the nine months ended September 30, 2022 compared to the nine months ended September 30, 2021. This change was attributable primarily to the introduction of Beacon’s cost of sales upon consolidation in May 2021 resulting in an increase of $12.9 million, a $1.9 million increase in development costs for building new RNG facilities, $2.9 million increase from new RNG facilities such as Sunoma and New River, $10.3 million increase relating to increased dispensing fees from an increased volume of environmental credits generated, $0.6 million write down charges relating to our brown gas inventory to its net realizable value due to decrease in prices and $1.8 million due to unplanned repairs. Additionally, there were savings of $0.8 million from deconsolidation of Pine Bend and Noble Road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Renewable Power</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Renewable Power increased by $1.6 million, or 26%, for the three months ended September 30, 2022 compared to the three months ended September 30, 2021. The increase was primarily attributable to a $0.7 million in major maintenance at two of our facilities due to timing and a $0.3 million increase in unplanned maintenance, workers compensation expense of $0.1 million and increase of $0.2 million routine maintenance.</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Cost of sales from Renewable Power marginally decreased by $0.4 million, or 1%, for the nine months ended September 30, 2022 compared to the nine months ended September 30,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Fuel Station Service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Fuel Station Services increased by $5.4 million, or 35%, for the three months ended September 30, 2022 compared to the three months ended September 30, 2021. This change was primarily attributable to an increase of $5.0 million from construction of additional projects and an increase of $0.4 million increase in service from higher volumes.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Fuel Station Services increased by $19.9 million, or 67%, for the nine months ended September 30, 2022 compared to the nine months ended September 30, 2021. This change was attributable primarily to an increase in costs of $18.2 million for third-party construction projects due to delays into 2022 and an increase of $1.7 million in service from higher volumes dispensed.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Selling, general, and administrative expenses increased by a total of $7.8 million, or 99%, for the three months ended September 30, 2022 compared to the three months ended September 30, 2021. This change was attributable primarily to an increase in insurance expense of $5.0 million related to a directors and officers tail policy for Arclight’s former directors and new directors and officers policy for the Company’s current management, higher employee headcount and related compensation and benefit expenses of $1.3 million to support our organic growth, an increase of $0.6 million in professional fees and audit fees relating becoming a publicly traded company, an increase of $0.7 million in IT- related expenses as we invested to improve our technology platforms and $0.2 million related to filing a registration statement for the resale of Class A common stock on behalf of certain of our equity holders.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Selling, general, and administrative expenses increased by a total of $15.5 million, or 81%, for the nine months ended September 30, 2022 compared to the nine months ended September 30, 2021. This change was attributable primarily to higher insurance expense of $5.1 million relating to the insurance policies for Arclight’s former directors and the Company’s current management, higher employee headcount and related compensation and benefit expenses of $6.6 million to support our organic growth year-over-year, a $2.6 million increase in professional fees related to audit, tax, legal and consulting fees, a $2.5 million increase in IT-related expenses and $0.2 million related to filing of the registration statement.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amortization, and accretion</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Depreciation, amortization, and accretion increased by a total of $0.6 million, or 25%, for the three months ended September 30, 2022 compared to the three months ended September 30, 2021. This change was primarily due to increase in depreciation from the Sunoma and New River RNG facilities coming online.</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Depreciation, amortization, and accretion increased by a total of $3.1 million, or 47%, for the nine months ended September 30, 2022 compared to the nine months ended September 30, 2021. This change was attributable primarily to the introduction of Beacon’s property, plant and equipment balances upon consolidation in 2021 increasing our depreciation expense by $0.8 million, a $0.4 million increase from new downstream dispensing sites becoming operational, a $1.0 million increase from one additional RNG facility becoming operational during the fourth quarter of 2021 and $0.8 million increase due to accelerated depreciation on two facilities in our Renewable Power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financing expense, net</w:t>
      </w:r>
    </w:p>
    <w:p>
      <w:pPr>
        <w:spacing w:after="0" w:line="198"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Interest and financing expenses, net, decreased by $1.6 million, or 67%, for the three months ended September 30, 2022 compared to the three months ended September 30, 2021. This change was primarily due to an increase in interest income of $0.4 million due to interest earned on the short term investments (cash received from completion of Business Combination), a $0.7 million saving on interest on Convertible Note Payable as 50% of the debt was converted to equity on July 21, 2022 and change in fair value of Convertible note of $2.9 million. This was offset by an increase in outstanding debt from the OPAL Term Loan resulting in an increase in an interest expense of $1.1 million (including $0.4 million of amortization of deferred financing costs), a $0.2 million increase in commitment fees on our OPAL Term Loan II facility and a $0.7 million increase from the Sunoma Loan as the interest expense was expensed for the three months ended September 30, 2022 whereas the interest was capitalized in the same prior-year period because the construction was completed during the first quarter of 2022.</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99" w:name="page100"/>
    <w:bookmarkEnd w:id="99"/>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Interest and financing expenses, net increased by $1.5 million, or 27%, for the nine months ended September 30, 2022 compared to the nine months ended September 30, 2021. The increase is primarily attributable to the increase in outstanding debt versus the prior period. the $1.5 million increase was driven by a $0.5 million increase interest on Senior Secured Credit Facility, $2.9 million increase in interest on the OPAL Term Loan, $0.8 million increase in amortization of deferred financing costs, $1.3 million increase in Sunoma Loan( interest on Sunoma Loan was capitalized in 2021), partially offset by $2.4 million decrease on Convertible payable which includes a decrease of $2.9 million in change in fair market value, increase in interest income of $1.3 million from the Note receivable and short term investments and $0.5 million savings in interest on the Trustar revolver facility since it was repaid in October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Income from equity method investment</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Net income attributable to equity method investments increased by $3.7 million, or 100%, for the three months ended September 30, 2022, compared to the three months ended September 30, 2021. This change was attributable primarily to an increase of $3.7 million from equity method investments in the Pine Bend, Noble Road and GREP. For the three months ended September 30, 2021, there was no income from equity method investments.</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income attributable to equity method investments increased by $1.3 million, or 53%, for the nine ended September 30, 2022 compared to the nine ended September 30, 2021. This change was attributable primarily to the increase in net income from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Gain on acquisition of equity method investment</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was no gain on equity method investment for the three months ended September 30, 2022 and 2021.</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gain on acquisition of equity method investment decreased by $19.8 million, or 100%, for the nine ended September 30, 2022 compared to the nine months ended September 30, 2021. This change was attributable primarily to our step acquisition of the remaining interest in Beacon in May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derivatives, net</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Change in fair value of derivatives, net increased by $1.9 million, or 6967%, for the three months ended September 30, 2022 compared to the three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Change in fair value of derivatives, net increased by $1.6 million, or 15700%, for the nine months ended September 30, 2022 compared to the nine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Other income increased by $6.3 million, or 100%, for the three and nine months ended September 30, 2022 compared to the three and nine months ended September 30, 2021. This change is primarily related $4.4 million recognized on reversal of a contingent payment to a non-controlling interest of one of our VIEs we consolidated in our financial statements as the applicable criteria for payment are no longer met as of September 30, 2022 and $1.9 million gain recognized on repayment of Note receivable.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redeemable non-controlling interests</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Net gain (loss) attributable to redeemable non-controlling interests for the three and nine months ended September 30, 2022 is $4.2 million and ($2.6 million), respectively. The net loss for the three and nine months ended September 30, 2022 reflects the portion of earnings belonging to OPAL Fuels equity holders prior to Business Combination for the period January 1, 2022 till July 21, 2022.</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non-redeemable non-controlling interests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loss attributable to non-redeemable non-controlling interests for the three months ended September 30, 2022 increased by $0.1 million or 50%, compared to the three months ended September 30, 2021. This reflects the joint venture partners’ loss in those entities we sold a portion of our membership interests in certain RNG facilities which are consolidated in our financial statements. These entities for the three months ended September 30, 2022, were Sunoma, Emerald, Sapphire and Central Valley. The entities accounted for as non-redeemable non-controlling interests for the three months ended September 30, 2021 were Pine Bend, Noble Road, Sunoma and Central Valley.</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loss attributable to non-redeemable non-controlling interests for the nine months ended September 30, 2022 increased by $0.4 million or 99%, compared to nine months ended September 30, 2021. This reflects the joint venture partners’ loss in those entities we sold a portion of our membership interests in certain RNG facilities which are consolidated in our financial statements. These entities for the nine months ended September 30, 2022, were Sunoma, Emerald, Sapphire and Central Valley. The entities accounted for as non-redeemable non-controlling interests for the nine months ended September 30, 2021 were Pine Bend, Noble Road, Sunoma and Central Valley.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Paid-in-kind preferred dividends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Redeemable preferred non-controlling interests carry an interest of 8% dividend payable quarterly either in cash or paid-in-kind for the first eight quarters at the option of the Company. The Company recorded the dividend payable of $2.7 million and $5.1 million for the three and nine months ended September 30, 2022, respectively as to be paid-in-kind.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was no paid-in-kind preferred dividend for the three and nine months ended September 30, 2021.</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Fiscal Years Ended December 31, 2021 and 2020</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presents the period-over-period change for each line item in the Company’s statement of operations for the fiscal years ended December 31, 2021 and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80" w:type="dxa"/>
            <w:vAlign w:val="bottom"/>
          </w:tcPr>
          <w:p>
            <w:pPr>
              <w:spacing w:after="0"/>
              <w:rPr>
                <w:sz w:val="16"/>
                <w:szCs w:val="16"/>
                <w:color w:val="auto"/>
              </w:rPr>
            </w:pPr>
          </w:p>
        </w:tc>
        <w:tc>
          <w:tcPr>
            <w:tcW w:w="920" w:type="dxa"/>
            <w:vAlign w:val="bottom"/>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10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70,360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58,815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45,324</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51,250</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50,440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(4,471)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8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166,124</w:t>
            </w:r>
          </w:p>
        </w:tc>
        <w:tc>
          <w:tcPr>
            <w:tcW w:w="2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117,706</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48,418</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41</w:t>
            </w:r>
          </w:p>
        </w:tc>
        <w:tc>
          <w:tcPr>
            <w:tcW w:w="20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41,075</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7,376</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31,152</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37,755</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(6,603)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Fuel station service</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42,838</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45,037</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29,380</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20,474</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10,653</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8,338</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assets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17,689</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(17,689)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Gain on termination of PPA</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(1,292)</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sale/disposal of assets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expenses</w:t>
            </w:r>
          </w:p>
        </w:tc>
        <w:tc>
          <w:tcPr>
            <w:tcW w:w="8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155,098</w:t>
            </w:r>
          </w:p>
        </w:tc>
        <w:tc>
          <w:tcPr>
            <w:tcW w:w="2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135,542</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19,556</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28,862</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3"/>
        </w:trPr>
        <w:tc>
          <w:tcPr>
            <w:tcW w:w="500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Other income (expense)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(7,467)</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(6,655)</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gain (loss) on derivative financial instruments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(2,197)</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from equity method investments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2,268</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(475)</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19,818</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PPP loan forgiveness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1,792</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(1,792)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(loss) income</w:t>
            </w:r>
          </w:p>
        </w:tc>
        <w:tc>
          <w:tcPr>
            <w:tcW w:w="8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40,769</w:t>
            </w:r>
          </w:p>
        </w:tc>
        <w:tc>
          <w:tcPr>
            <w:tcW w:w="2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(25,371</w:t>
            </w:r>
          </w:p>
        </w:tc>
        <w:tc>
          <w:tcPr>
            <w:tcW w:w="220" w:type="dxa"/>
            <w:vAlign w:val="bottom"/>
            <w:tcBorders>
              <w:top w:val="single" w:sz="8" w:color="CCEEFF"/>
              <w:bottom w:val="single" w:sz="8" w:color="CCEEFF"/>
            </w:tcBorders>
          </w:tcPr>
          <w:p>
            <w:pPr>
              <w:jc w:val="right"/>
              <w:ind w:right="8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66,140</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261</w:t>
            </w:r>
          </w:p>
        </w:tc>
        <w:tc>
          <w:tcPr>
            <w:tcW w:w="20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preferred dividends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1"/>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(804)</w:t>
            </w:r>
          </w:p>
        </w:tc>
        <w:tc>
          <w:tcPr>
            <w:tcW w:w="380" w:type="dxa"/>
            <w:vAlign w:val="bottom"/>
          </w:tcPr>
          <w:p>
            <w:pPr>
              <w:spacing w:after="0"/>
              <w:rPr>
                <w:sz w:val="17"/>
                <w:szCs w:val="17"/>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0" w:type="dxa"/>
            <w:vAlign w:val="bottom"/>
          </w:tcPr>
          <w:p>
            <w:pPr>
              <w:spacing w:after="0"/>
              <w:rPr>
                <w:sz w:val="1"/>
                <w:szCs w:val="1"/>
                <w:color w:val="auto"/>
              </w:rPr>
            </w:pPr>
          </w:p>
        </w:tc>
      </w:tr>
      <w:tr>
        <w:trPr>
          <w:trHeight w:val="24"/>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OPAL Fuels Inc.</w:t>
            </w: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line="20" w:lineRule="exact"/>
              <w:rPr>
                <w:sz w:val="1"/>
                <w:szCs w:val="1"/>
                <w:color w:val="auto"/>
              </w:rPr>
            </w:pPr>
          </w:p>
        </w:tc>
      </w:tr>
      <w:tr>
        <w:trPr>
          <w:trHeight w:val="216"/>
        </w:trPr>
        <w:tc>
          <w:tcPr>
            <w:tcW w:w="5000" w:type="dxa"/>
            <w:vAlign w:val="bottom"/>
            <w:vMerge w:val="continue"/>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41,363</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(25,358</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66,721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4"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Fuel</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 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Fuel Station Service</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sales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Fuel</w:t>
      </w:r>
    </w:p>
    <w:p>
      <w:pPr>
        <w:spacing w:after="0" w:line="198"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Fuel Station Service</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02" w:name="page103"/>
    <w:bookmarkEnd w:id="102"/>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Depreciation, amortization, and accretion</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Gain on termination of PPA</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Loss on sale/disposal of assets</w:t>
      </w:r>
    </w:p>
    <w:p>
      <w:pPr>
        <w:spacing w:after="0" w:line="198" w:lineRule="exact"/>
        <w:rPr>
          <w:sz w:val="20"/>
          <w:szCs w:val="20"/>
          <w:color w:val="auto"/>
        </w:rPr>
      </w:pPr>
    </w:p>
    <w:p>
      <w:pPr>
        <w:jc w:val="both"/>
        <w:ind w:firstLine="354"/>
        <w:spacing w:after="0" w:line="275" w:lineRule="auto"/>
        <w:rPr>
          <w:sz w:val="20"/>
          <w:szCs w:val="20"/>
          <w:color w:val="auto"/>
        </w:rPr>
      </w:pPr>
      <w:r>
        <w:rPr>
          <w:rFonts w:ascii="Times New Roman" w:cs="Times New Roman" w:eastAsia="Times New Roman" w:hAnsi="Times New Roman"/>
          <w:sz w:val="16"/>
          <w:szCs w:val="16"/>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financing expense, net</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Realized and unrealized gain on interest rate swaps</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Net (Loss) Income from equity method investment</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3" w:name="page104"/>
    <w:bookmarkEnd w:id="103"/>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Gain on acquisition of equity method investment</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Gain on deconsolidation of entities</w:t>
      </w:r>
    </w:p>
    <w:p>
      <w:pPr>
        <w:spacing w:after="0" w:line="196" w:lineRule="exact"/>
        <w:rPr>
          <w:sz w:val="20"/>
          <w:szCs w:val="20"/>
          <w:color w:val="auto"/>
        </w:rPr>
      </w:pPr>
    </w:p>
    <w:p>
      <w:pPr>
        <w:jc w:val="both"/>
        <w:ind w:right="20"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of December 31, 2021, we re-assessed our equity interests in Pine Bend and Noble Road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Times New Roman" w:cs="Times New Roman" w:eastAsia="Times New Roman" w:hAnsi="Times New Roman"/>
          <w:sz w:val="16"/>
          <w:szCs w:val="16"/>
          <w:i w:val="1"/>
          <w:iCs w:val="1"/>
          <w:color w:val="auto"/>
        </w:rPr>
        <w:t>Investments Equity Method and Joint Ventures</w:t>
      </w:r>
      <w:r>
        <w:rPr>
          <w:rFonts w:ascii="Times New Roman" w:cs="Times New Roman" w:eastAsia="Times New Roman" w:hAnsi="Times New Roman"/>
          <w:sz w:val="16"/>
          <w:szCs w:val="16"/>
          <w:color w:val="auto"/>
        </w:rPr>
        <w:t>, prospectively, as we have the ability to exercise significant influence, but not control, over both entities.</w:t>
      </w:r>
    </w:p>
    <w:p>
      <w:pPr>
        <w:spacing w:after="0" w:line="157"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Prior to December 31, 2021, we consolidated these entities in accordance with the variable interest entity model guidance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Upon deconsolidation, we remeasured the fair value of the retained investment and recognized a gain of $3.1 million on Pine Bend and $11.9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Paid-in-kind preferred dividends</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There was $0.2 million and $- paid-in-kind preferred dividend pursuant to the Series A Preferred Units and Series A-1 Preferred Units for the years ended December 31, 2021 and 2020,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 xml:space="preserve">As of September 30, 2022, our liquidity consisted of cash and cash equivalents including restricted cash of $71.4 million and short term investments of $146.9 million. Additionally, we entered into a Senior Secured Credit Facility which provides an approximately two year delayed term loan facility (the </w:t>
      </w:r>
      <w:r>
        <w:rPr>
          <w:rFonts w:ascii="Times New Roman" w:cs="Times New Roman" w:eastAsia="Times New Roman" w:hAnsi="Times New Roman"/>
          <w:sz w:val="16"/>
          <w:szCs w:val="16"/>
          <w:b w:val="1"/>
          <w:bCs w:val="1"/>
          <w:i w:val="1"/>
          <w:iCs w:val="1"/>
          <w:color w:val="auto"/>
        </w:rPr>
        <w:t>“DDTL Facility”</w:t>
      </w:r>
      <w:r>
        <w:rPr>
          <w:rFonts w:ascii="Times New Roman" w:cs="Times New Roman" w:eastAsia="Times New Roman" w:hAnsi="Times New Roman"/>
          <w:sz w:val="16"/>
          <w:szCs w:val="16"/>
          <w:color w:val="auto"/>
        </w:rPr>
        <w:t xml:space="preserve">) of up to a maximum aggregate principal amount of $100.0 million and Debt Service Reserve facility (the </w:t>
      </w:r>
      <w:r>
        <w:rPr>
          <w:rFonts w:ascii="Times New Roman" w:cs="Times New Roman" w:eastAsia="Times New Roman" w:hAnsi="Times New Roman"/>
          <w:sz w:val="16"/>
          <w:szCs w:val="16"/>
          <w:b w:val="1"/>
          <w:bCs w:val="1"/>
          <w:i w:val="1"/>
          <w:iCs w:val="1"/>
          <w:color w:val="auto"/>
        </w:rPr>
        <w:t>“DSR Facility”</w:t>
      </w:r>
      <w:r>
        <w:rPr>
          <w:rFonts w:ascii="Times New Roman" w:cs="Times New Roman" w:eastAsia="Times New Roman" w:hAnsi="Times New Roman"/>
          <w:sz w:val="16"/>
          <w:szCs w:val="16"/>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We have recently drawn $25.0 million under the OPAL Term Loan. Additionally, we have entered into an amendment to the OPAL Term Loan which extended commitment available date to March 2023 for the remaining $10.0 million.</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Prospectus/Offer to Exchange. Any reduction in demand for our products or our ability to manage our production facilities may result in lower cash flows from operations which may impact our ability to make investments and may require changes to our growth plan.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4" w:name="page105"/>
    <w:bookmarkEnd w:id="104"/>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connection with the Business Combination, holders of Arclight’s Class A ordinary shares representing an aggregate redemption amount of $274,186,522 exercised their right to redeem their shares for cash. In addition, for the nine months ended September 30, 2022, we received revenue of approximately $168.8 million, which is lower than the revenue we expected to receive toward the full year numbers previously disclosed as part of the unaudited prospective financial information our management prepared and provided to the ArcLight board of directors in connection with the evaluation of the Business Combination (the “Prior Projections”). This has resulted primarily from lower than anticipated levels of gas collection at certain operating facilities, delays in completion of construction of certain RNG facilities, (which are now in commercial operation) and delays in commencement of construction of Fueling Stations. While the second half of 2022 has shown improvement to date and we expect revenue to be higher than that in the first half of the year, we currently anticipate that our full year revenue for 2022 will be lower than anticipated in the Prior Projections as a result of these factors. We are continuing to evaluate our business plan but we expect that the factors described above that we experienced during the nine months ended September 30, 2022 will continue during 2023. In this regard, we remind investors that we have not updated the Prior Projections. Certain of the assumptions underlying the Prior Projections are no longer correct and, as a result, investors should not rely on the Prior Projections.</w:t>
      </w:r>
    </w:p>
    <w:p>
      <w:pPr>
        <w:spacing w:after="0" w:line="17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Notwithstanding these developments, we continue to expect that our currently available cash on hand, together with expected cash flows from operations, available credit under existing debt facilities, as well as other sources of capital we expect to be accessible, will be sufficient to meet our existing commitments and anticipated capital expenditures associated with our growth plan for a period of at least twelve months from the date of this Prospectus/Offer to Exchange.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“Risk Factors” and “Cautionary Statement Regarding Forward-Looking Statements.”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we had total indebtedness excluding deferred financing costs of $220.0 million in principal amount which primarily consists of $77.7 million under Senior Secured Credit Facility, $28.0 million under the Convertible Note Payable, $91.2 million under the OPAL Term Loan, $0.1 million under the Municipality loan and $23.0 million under Sunoma Loan.</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intend to make payments under our various debt instruments when due and pursue opportunities for earlier repayment and/or refinancing if and when these opportunities arise.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See Note 8.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 xml:space="preserve"> to our condensed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Company’s cash flows for the nine months ended September 30, 2022 and 2021, and the years ended December 31, 2021 and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6"/>
                <w:szCs w:val="16"/>
                <w:color w:val="auto"/>
              </w:rPr>
            </w:pPr>
          </w:p>
        </w:tc>
        <w:tc>
          <w:tcPr>
            <w:tcW w:w="230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211"/>
        </w:trPr>
        <w:tc>
          <w:tcPr>
            <w:tcW w:w="4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Borders>
              <w:bottom w:val="single" w:sz="8" w:color="CCEEFF"/>
            </w:tcBorders>
          </w:tcPr>
          <w:p>
            <w:pPr>
              <w:spacing w:after="0"/>
              <w:rPr>
                <w:sz w:val="17"/>
                <w:szCs w:val="17"/>
                <w:color w:val="auto"/>
              </w:rPr>
            </w:pPr>
          </w:p>
        </w:tc>
      </w:tr>
      <w:tr>
        <w:trPr>
          <w:trHeight w:val="18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from operating activities</w:t>
            </w: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shd w:val="clear" w:color="auto" w:fill="CCEEFF"/>
          </w:tcPr>
          <w:p>
            <w:pPr>
              <w:spacing w:after="0"/>
              <w:rPr>
                <w:sz w:val="16"/>
                <w:szCs w:val="16"/>
                <w:color w:val="auto"/>
              </w:rPr>
            </w:pPr>
          </w:p>
        </w:tc>
      </w:tr>
      <w:tr>
        <w:trPr>
          <w:trHeight w:val="189"/>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(218,930)</w:t>
            </w:r>
          </w:p>
        </w:tc>
        <w:tc>
          <w:tcPr>
            <w:tcW w:w="3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(69,763)</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(117,204)</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(22,179)</w:t>
            </w:r>
          </w:p>
        </w:tc>
      </w:tr>
      <w:tr>
        <w:trPr>
          <w:trHeight w:val="22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from financing activities</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270,525</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52,729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125,014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21,453</w:t>
            </w:r>
          </w:p>
        </w:tc>
      </w:tr>
      <w:tr>
        <w:trPr>
          <w:trHeight w:val="190"/>
        </w:trPr>
        <w:tc>
          <w:tcPr>
            <w:tcW w:w="4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 in cash, restricted cash, and cash equivalents</w:t>
            </w:r>
          </w:p>
        </w:tc>
        <w:tc>
          <w:tcPr>
            <w:tcW w:w="12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29,306</w:t>
            </w: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11,863</w:t>
            </w: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26,666</w:t>
            </w: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tcBorders>
              <w:top w:val="single" w:sz="8" w:color="CCEEFF"/>
            </w:tcBorders>
          </w:tcPr>
          <w:p>
            <w:pPr>
              <w:spacing w:after="0"/>
              <w:rPr>
                <w:sz w:val="16"/>
                <w:szCs w:val="16"/>
                <w:color w:val="auto"/>
              </w:rPr>
            </w:pPr>
          </w:p>
        </w:tc>
      </w:tr>
      <w:tr>
        <w:trPr>
          <w:trHeight w:val="553"/>
        </w:trPr>
        <w:tc>
          <w:tcPr>
            <w:tcW w:w="4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8"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i w:val="1"/>
          <w:iCs w:val="1"/>
          <w:color w:val="auto"/>
        </w:rPr>
        <w:t>Net Cash Provided by Operating Activities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Net cash used in operating activities for the nine months ended September 30, 2022 was $22.3 million, a decrease of $51.2 million compared to net cash provided of $28.9 million for the nine months ended September 30, 2021. The decrease in cash provided by operating activities was primarily attributable to an increase in net operating losses year over year and negative working capital changes.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Net cash used in investing activities for the nine months ended September 30, 2022 was $218.9 million, an increase of $149.2 million thousand compared to the $69.8 million used in investing activities for the nine months ended September 30, 2021. This was primarily driven by cash invested in short term investments of $146.9 million (cash received from Business Combination), payments made for the construction of various RNG generation and dispensing facilities of $84.9 million offset by proceeds from repayment of Note receivable of $10.9 million and distribution from equity method investment of $2.1 million.</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Provided by Financing Activities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Net cash provided from financing activities for the nine months ended September 30, 2022 was $270.5 million, an increase of $217.8 million compared to the $52.7 million provided from financing activities for the nine months ended September 30, 2021. This was primarily driven by proceeds received from consummation of Business Combination of $138.9 million, issuance of redeemable preferred non-controlling interests for total proceeds of $100.0 million, proceeds from OPAL Term Loan of $27.5 million, proceeds from Sunoma Loan$4.6 million, capital contribution from a joint venture $23.2 million offset by debt repayments of $3.7 million and $11.3 million on the Senior Secured Credit Facility and the OPAL Term Loan, respectively, and $8.5 million paid as financing costs.</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we have budgeted for $412,342 thousand in capital expenditures for the next 12 months, of which $220,184 thousand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 w:cs="Times New Roman" w:eastAsia="Times New Roman" w:hAnsi="Times New Roman"/>
          <w:sz w:val="16"/>
          <w:szCs w:val="16"/>
          <w:b w:val="1"/>
          <w:bCs w:val="1"/>
          <w:color w:val="auto"/>
        </w:rPr>
        <w:t>.</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addition to the above, we also have lease commitments on our vehicle fleets and office leases and quarterly amortization payment obligations under various debt facilities.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Please see Note 8.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 xml:space="preserve"> and Note 9.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to our condensed consolidated financial statements for additional information.</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plan to fund these expenditures primarily through cash on hand, cash generated from operations, and cash from the Business Combination and PIPE Investment.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generally accepted accounting principles in the United States (“</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requires management to make estimates and assumptions that affect the reported amounts and disclosures in our financial statements.</w:t>
      </w:r>
    </w:p>
    <w:p>
      <w:pPr>
        <w:spacing w:after="0" w:line="143"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5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 xml:space="preserve">The critical accounting policies discussed below are a subset of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to our condensed consolidated financial statements. The policies outlined in this section involve a significant level of estimation uncertainty and are reasonably likely to have a material impact on our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Gas — Fuel Purchase Agreements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Interstate Gas Pipeline Delivery</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Environmental Attributes</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Operation and Maintenance</w:t>
      </w:r>
    </w:p>
    <w:p>
      <w:pPr>
        <w:spacing w:after="0" w:line="194" w:lineRule="exact"/>
        <w:rPr>
          <w:sz w:val="20"/>
          <w:szCs w:val="20"/>
          <w:color w:val="auto"/>
        </w:rPr>
      </w:pPr>
    </w:p>
    <w:p>
      <w:pPr>
        <w:jc w:val="both"/>
        <w:ind w:firstLine="283"/>
        <w:spacing w:after="0" w:line="280" w:lineRule="auto"/>
        <w:rPr>
          <w:sz w:val="20"/>
          <w:szCs w:val="20"/>
          <w:color w:val="auto"/>
        </w:rPr>
      </w:pPr>
      <w:r>
        <w:rPr>
          <w:rFonts w:ascii="Times New Roman" w:cs="Times New Roman" w:eastAsia="Times New Roman" w:hAnsi="Times New Roman"/>
          <w:sz w:val="15"/>
          <w:szCs w:val="15"/>
          <w:color w:val="auto"/>
        </w:rPr>
        <w:t>We have operating and maintenance (“</w:t>
      </w:r>
      <w:r>
        <w:rPr>
          <w:rFonts w:ascii="Times New Roman" w:cs="Times New Roman" w:eastAsia="Times New Roman" w:hAnsi="Times New Roman"/>
          <w:sz w:val="15"/>
          <w:szCs w:val="15"/>
          <w:b w:val="1"/>
          <w:bCs w:val="1"/>
          <w:i w:val="1"/>
          <w:iCs w:val="1"/>
          <w:color w:val="auto"/>
        </w:rPr>
        <w:t>O&amp;M</w:t>
      </w:r>
      <w:r>
        <w:rPr>
          <w:rFonts w:ascii="Times New Roman" w:cs="Times New Roman" w:eastAsia="Times New Roman" w:hAnsi="Times New Roman"/>
          <w:sz w:val="15"/>
          <w:szCs w:val="15"/>
          <w:color w:val="auto"/>
        </w:rPr>
        <w:t>”) agreements in which we are contracted to operate, maintain, and repair landfill site gas collection systems. Revenue is based on the volume of per million British thermal units (“</w:t>
      </w:r>
      <w:r>
        <w:rPr>
          <w:rFonts w:ascii="Times New Roman" w:cs="Times New Roman" w:eastAsia="Times New Roman" w:hAnsi="Times New Roman"/>
          <w:sz w:val="15"/>
          <w:szCs w:val="15"/>
          <w:b w:val="1"/>
          <w:bCs w:val="1"/>
          <w:i w:val="1"/>
          <w:iCs w:val="1"/>
          <w:color w:val="auto"/>
        </w:rPr>
        <w:t>MMBtu</w:t>
      </w:r>
      <w:r>
        <w:rPr>
          <w:rFonts w:ascii="Times New Roman" w:cs="Times New Roman" w:eastAsia="Times New Roman" w:hAnsi="Times New Roman"/>
          <w:sz w:val="15"/>
          <w:szCs w:val="15"/>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Construction Type Contracts — Third Party</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07" w:name="page108"/>
    <w:bookmarkEnd w:id="107"/>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Impairment of Goodwill and Long-Lived Assets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auto"/>
        </w:rPr>
        <w:t>Impairment of Goodwill</w:t>
      </w:r>
    </w:p>
    <w:p>
      <w:pPr>
        <w:spacing w:after="0" w:line="194"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auto"/>
        </w:rPr>
        <w:t>Impairment of Long-Lived Assets</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Based on our assessment for the nine months ended September 30, 2022, there is no impairment recorded on our Plant, Property and Equipment.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8" w:name="page109"/>
    <w:bookmarkEnd w:id="108"/>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6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 xml:space="preserve">Refer to Note 9, </w:t>
      </w:r>
      <w:r>
        <w:rPr>
          <w:rFonts w:ascii="Times New Roman" w:cs="Times New Roman" w:eastAsia="Times New Roman" w:hAnsi="Times New Roman"/>
          <w:sz w:val="16"/>
          <w:szCs w:val="16"/>
          <w:i w:val="1"/>
          <w:iCs w:val="1"/>
          <w:color w:val="auto"/>
        </w:rPr>
        <w:t>Derivative Financial Instruments and Fair Value Measurements,</w:t>
      </w:r>
      <w:r>
        <w:rPr>
          <w:rFonts w:ascii="Times New Roman" w:cs="Times New Roman" w:eastAsia="Times New Roman" w:hAnsi="Times New Roman"/>
          <w:sz w:val="16"/>
          <w:szCs w:val="16"/>
          <w:color w:val="auto"/>
        </w:rPr>
        <w:t xml:space="preserve"> to our condensed consolidated financial statements, for details on our assets and liabilities regularly recorded at fair value and the respective placements in the fair value hierarchy.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COVID-19</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response to the COVID-19 pandemic, we instituted a safety committee that oversees our compliance with federal, state, and local government mandates, and ensures that the Company adheres to Centers for Disease Control (“</w:t>
      </w:r>
      <w:r>
        <w:rPr>
          <w:rFonts w:ascii="Times New Roman" w:cs="Times New Roman" w:eastAsia="Times New Roman" w:hAnsi="Times New Roman"/>
          <w:sz w:val="16"/>
          <w:szCs w:val="16"/>
          <w:b w:val="1"/>
          <w:bCs w:val="1"/>
          <w:i w:val="1"/>
          <w:iCs w:val="1"/>
          <w:color w:val="auto"/>
        </w:rPr>
        <w:t>CDC</w:t>
      </w:r>
      <w:r>
        <w:rPr>
          <w:rFonts w:ascii="Times New Roman" w:cs="Times New Roman" w:eastAsia="Times New Roman" w:hAnsi="Times New Roman"/>
          <w:sz w:val="16"/>
          <w:szCs w:val="16"/>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of the date of this Prospectus/Offer to Exchange,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Times New Roman" w:cs="Times New Roman" w:eastAsia="Times New Roman" w:hAnsi="Times New Roman"/>
          <w:sz w:val="16"/>
          <w:szCs w:val="16"/>
          <w:i w:val="1"/>
          <w:iCs w:val="1"/>
          <w:color w:val="auto"/>
        </w:rPr>
        <w:t>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 and Directors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Board</w:t>
      </w:r>
    </w:p>
    <w:p>
      <w:pPr>
        <w:spacing w:after="0" w:line="19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w:t>
      </w:r>
      <w:r>
        <w:rPr>
          <w:rFonts w:ascii="Times New Roman" w:cs="Times New Roman" w:eastAsia="Times New Roman" w:hAnsi="Times New Roman"/>
          <w:sz w:val="16"/>
          <w:szCs w:val="16"/>
          <w:i w:val="1"/>
          <w:iCs w:val="1"/>
          <w:color w:val="auto"/>
        </w:rPr>
        <w:t>independent director</w:t>
      </w:r>
      <w:r>
        <w:rPr>
          <w:rFonts w:ascii="Times New Roman" w:cs="Times New Roman" w:eastAsia="Times New Roman" w:hAnsi="Times New Roman"/>
          <w:sz w:val="16"/>
          <w:szCs w:val="16"/>
          <w:color w:val="auto"/>
        </w:rPr>
        <w:t>”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w:t>
      </w:r>
      <w:r>
        <w:rPr>
          <w:rFonts w:ascii="Times New Roman" w:cs="Times New Roman" w:eastAsia="Times New Roman" w:hAnsi="Times New Roman"/>
          <w:sz w:val="16"/>
          <w:szCs w:val="16"/>
          <w:i w:val="1"/>
          <w:iCs w:val="1"/>
          <w:color w:val="auto"/>
        </w:rPr>
        <w:t>independent</w:t>
      </w:r>
      <w:r>
        <w:rPr>
          <w:rFonts w:ascii="Times New Roman" w:cs="Times New Roman" w:eastAsia="Times New Roman" w:hAnsi="Times New Roman"/>
          <w:sz w:val="16"/>
          <w:szCs w:val="16"/>
          <w:color w:val="auto"/>
        </w:rPr>
        <w:t>” as that term is defined under the applicable rules and regulations of the SEC and the listing requirements and rules of Nasdaq.</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Position with</w:t>
            </w:r>
          </w:p>
        </w:tc>
        <w:tc>
          <w:tcPr>
            <w:tcW w:w="1240" w:type="dxa"/>
            <w:vAlign w:val="bottom"/>
          </w:tcPr>
          <w:p>
            <w:pPr>
              <w:spacing w:after="0"/>
              <w:rPr>
                <w:sz w:val="16"/>
                <w:szCs w:val="16"/>
                <w:color w:val="auto"/>
              </w:rPr>
            </w:pPr>
          </w:p>
        </w:tc>
      </w:t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OPAL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r>
      <w:tr>
        <w:trPr>
          <w:trHeight w:val="189"/>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 Comora</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Chairman</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89"/>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Nadeem Nisar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8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Marco F. Gatti</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89"/>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Kevin M. Fogarty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8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Betsy L. Battle</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r>
      <w:tr>
        <w:trPr>
          <w:trHeight w:val="189"/>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Dols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r>
      <w:tr>
        <w:trPr>
          <w:trHeight w:val="18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Ashok Vemuri</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brief biography of each director of our board.</w:t>
      </w:r>
    </w:p>
    <w:p>
      <w:pPr>
        <w:spacing w:after="0" w:line="19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Mark S. Comora </w:t>
      </w:r>
      <w:r>
        <w:rPr>
          <w:rFonts w:ascii="Times New Roman" w:cs="Times New Roman" w:eastAsia="Times New Roman" w:hAnsi="Times New Roman"/>
          <w:sz w:val="16"/>
          <w:szCs w:val="16"/>
          <w:color w:val="auto"/>
        </w:rPr>
        <w:t>is the Founder and President of Fortistar. Since founding Fortistar in 1993, Mr. Comora has led Fortistar’s growth in the decarbonization of power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Times New Roman" w:cs="Times New Roman" w:eastAsia="Times New Roman" w:hAnsi="Times New Roman"/>
          <w:sz w:val="16"/>
          <w:szCs w:val="16"/>
          <w:i w:val="1"/>
          <w:iCs w:val="1"/>
          <w:color w:val="auto"/>
        </w:rPr>
        <w:t>Braven Environmental</w:t>
      </w:r>
      <w:r>
        <w:rPr>
          <w:rFonts w:ascii="Times New Roman" w:cs="Times New Roman" w:eastAsia="Times New Roman" w:hAnsi="Times New Roman"/>
          <w:sz w:val="16"/>
          <w:szCs w:val="16"/>
          <w:color w:val="auto"/>
        </w:rPr>
        <w:t>”). Mr. Comora is an Officer and Member of the Board of the American Museum of Fly Fishing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59"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Nadeem Nisar </w:t>
      </w:r>
      <w:r>
        <w:rPr>
          <w:rFonts w:ascii="Times New Roman" w:cs="Times New Roman" w:eastAsia="Times New Roman" w:hAnsi="Times New Roman"/>
          <w:sz w:val="16"/>
          <w:szCs w:val="16"/>
          <w:color w:val="auto"/>
        </w:rPr>
        <w:t>has been serving as a Managing Director of Fortistar since July 2008, where he serves as Head of Fortistar’s Investment Team. Mr. Nisar is a member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10" w:name="page111"/>
    <w:bookmarkEnd w:id="110"/>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Marco F. Gatti </w:t>
      </w:r>
      <w:r>
        <w:rPr>
          <w:rFonts w:ascii="Times New Roman" w:cs="Times New Roman" w:eastAsia="Times New Roman" w:hAnsi="Times New Roman"/>
          <w:sz w:val="16"/>
          <w:szCs w:val="16"/>
          <w:color w:val="auto"/>
        </w:rPr>
        <w:t>currently serves as a Managing Director of ArcLight Capital. Mr. Gatti joined ArcLight Capital in 2018 and has 11 years of energy and private equity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60" w:lineRule="exact"/>
        <w:rPr>
          <w:sz w:val="20"/>
          <w:szCs w:val="20"/>
          <w:color w:val="auto"/>
        </w:rPr>
      </w:pPr>
    </w:p>
    <w:p>
      <w:pPr>
        <w:jc w:val="both"/>
        <w:ind w:right="20" w:firstLine="283"/>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Kevin M. Fogarty </w:t>
      </w:r>
      <w:r>
        <w:rPr>
          <w:rFonts w:ascii="Times New Roman" w:cs="Times New Roman" w:eastAsia="Times New Roman" w:hAnsi="Times New Roman"/>
          <w:sz w:val="16"/>
          <w:szCs w:val="16"/>
          <w:color w:val="auto"/>
        </w:rPr>
        <w:t>recently retired from Kraton Corporation, Inc. (“</w:t>
      </w:r>
      <w:r>
        <w:rPr>
          <w:rFonts w:ascii="Times New Roman" w:cs="Times New Roman" w:eastAsia="Times New Roman" w:hAnsi="Times New Roman"/>
          <w:sz w:val="16"/>
          <w:szCs w:val="16"/>
          <w:i w:val="1"/>
          <w:iCs w:val="1"/>
          <w:color w:val="auto"/>
        </w:rPr>
        <w:t>Kraton</w:t>
      </w:r>
      <w:r>
        <w:rPr>
          <w:rFonts w:ascii="Times New Roman" w:cs="Times New Roman" w:eastAsia="Times New Roman" w:hAnsi="Times New Roman"/>
          <w:sz w:val="16"/>
          <w:szCs w:val="16"/>
          <w:color w:val="auto"/>
        </w:rPr>
        <w:t>”), where he served as President, Chief Executive Officer and Director, since 2008, following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6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Betsy L. Battle </w:t>
      </w:r>
      <w:r>
        <w:rPr>
          <w:rFonts w:ascii="Times New Roman" w:cs="Times New Roman" w:eastAsia="Times New Roman" w:hAnsi="Times New Roman"/>
          <w:sz w:val="16"/>
          <w:szCs w:val="16"/>
          <w:color w:val="auto"/>
        </w:rPr>
        <w:t>has served since 2009 as Founding Partner and Chief Investment Officer of Lone Peak Partners Management, LP, an investment firm registered with the SEC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62"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Scott Dols </w:t>
      </w:r>
      <w:r>
        <w:rPr>
          <w:rFonts w:ascii="Times New Roman" w:cs="Times New Roman" w:eastAsia="Times New Roman" w:hAnsi="Times New Roman"/>
          <w:sz w:val="16"/>
          <w:szCs w:val="16"/>
          <w:color w:val="auto"/>
        </w:rPr>
        <w:t>is the CEO of several waste-related companies. Mr. Dols is the Founder and, since 2002, has served as CEO of Big Truck Rental, which is a provider of new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5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Ashok Vemuri </w:t>
      </w:r>
      <w:r>
        <w:rPr>
          <w:rFonts w:ascii="Times New Roman" w:cs="Times New Roman" w:eastAsia="Times New Roman" w:hAnsi="Times New Roman"/>
          <w:sz w:val="16"/>
          <w:szCs w:val="16"/>
          <w:color w:val="auto"/>
        </w:rPr>
        <w:t>served as Chief Executive Officer and a Director of Conduent Incorporated, a global digital interactions company, from the company’s inception as a result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378"/>
        </w:trPr>
        <w:tc>
          <w:tcPr>
            <w:tcW w:w="38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The following persons serve as our executive officers:</w:t>
            </w: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Position with OPAL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r>
      <w:tr>
        <w:trPr>
          <w:trHeight w:val="189"/>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Adam Comora</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Co-Chief Executive Officer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Maurer</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Co-Chief Executive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8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 Anthony</w:t>
            </w:r>
          </w:p>
        </w:tc>
        <w:tc>
          <w:tcPr>
            <w:tcW w:w="3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Chief Financial Officer</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Unger</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Executive Vice President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8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Falbo</w:t>
            </w: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Chief Operating Officer</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Edelbach</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Executive Vice President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8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Hugh Donnell</w:t>
            </w: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Senior Vice President</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r>
      <w:tr>
        <w:trPr>
          <w:trHeight w:val="206"/>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Coghlin</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General Counsel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bl>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brief biography of each of our executive officers.</w:t>
      </w:r>
    </w:p>
    <w:p>
      <w:pPr>
        <w:spacing w:after="0" w:line="19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Adam Comora </w:t>
      </w:r>
      <w:r>
        <w:rPr>
          <w:rFonts w:ascii="Times New Roman" w:cs="Times New Roman" w:eastAsia="Times New Roman" w:hAnsi="Times New Roman"/>
          <w:sz w:val="16"/>
          <w:szCs w:val="16"/>
          <w:color w:val="auto"/>
        </w:rPr>
        <w:t>served in the role as Co-Chief Executive Officer of Opco from December 2020 up to the closing of the Business Combination. Mr. Comora was also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62"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Jonathan Maurer </w:t>
      </w:r>
      <w:r>
        <w:rPr>
          <w:rFonts w:ascii="Times New Roman" w:cs="Times New Roman" w:eastAsia="Times New Roman" w:hAnsi="Times New Roman"/>
          <w:sz w:val="16"/>
          <w:szCs w:val="16"/>
          <w:color w:val="auto"/>
        </w:rPr>
        <w:t>served in the role as Co-Chief Executive Officer of Opco from December 2020 up to the closing of the Business Combination where Mr. Maurer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LFG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Ann Anthony </w:t>
      </w:r>
      <w:r>
        <w:rPr>
          <w:rFonts w:ascii="Times New Roman" w:cs="Times New Roman" w:eastAsia="Times New Roman" w:hAnsi="Times New Roman"/>
          <w:sz w:val="16"/>
          <w:szCs w:val="16"/>
          <w:color w:val="auto"/>
        </w:rPr>
        <w:t>served as the Chief Financial Officer of Opco from April 2021 up to the closing of the Business Combination where Ms. Anthony transitioned in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12" w:name="page113"/>
    <w:bookmarkEnd w:id="112"/>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Unger </w:t>
      </w:r>
      <w:r>
        <w:rPr>
          <w:rFonts w:ascii="Times New Roman" w:cs="Times New Roman" w:eastAsia="Times New Roman" w:hAnsi="Times New Roman"/>
          <w:sz w:val="16"/>
          <w:szCs w:val="16"/>
          <w:color w:val="auto"/>
        </w:rPr>
        <w:t>served in the role as Executive Vice President of Opco from December 2020 up to the closing of the Business Combination where Mr. Unger transitioned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60" w:lineRule="exact"/>
        <w:rPr>
          <w:sz w:val="20"/>
          <w:szCs w:val="20"/>
          <w:color w:val="auto"/>
        </w:rPr>
      </w:pPr>
    </w:p>
    <w:p>
      <w:pPr>
        <w:jc w:val="both"/>
        <w:ind w:right="20" w:firstLine="283"/>
        <w:spacing w:after="0" w:line="273"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Anthony Falbo </w:t>
      </w:r>
      <w:r>
        <w:rPr>
          <w:rFonts w:ascii="Times New Roman" w:cs="Times New Roman" w:eastAsia="Times New Roman" w:hAnsi="Times New Roman"/>
          <w:sz w:val="15"/>
          <w:szCs w:val="15"/>
          <w:color w:val="auto"/>
        </w:rPr>
        <w:t>served in the role as Chief Operating Officer of Opco from December 2020 up to the closing of the Business Combination where Mr. Falbo transitioned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LFG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14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Scott Edelbach </w:t>
      </w:r>
      <w:r>
        <w:rPr>
          <w:rFonts w:ascii="Times New Roman" w:cs="Times New Roman" w:eastAsia="Times New Roman" w:hAnsi="Times New Roman"/>
          <w:sz w:val="16"/>
          <w:szCs w:val="16"/>
          <w:color w:val="auto"/>
        </w:rPr>
        <w:t>has served in the role as the Executive Vice President of Opco from December 2020 up to the closing of the Business Combination where Mr. Edelbach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15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Hugh Donnell </w:t>
      </w:r>
      <w:r>
        <w:rPr>
          <w:rFonts w:ascii="Times New Roman" w:cs="Times New Roman" w:eastAsia="Times New Roman" w:hAnsi="Times New Roman"/>
          <w:sz w:val="16"/>
          <w:szCs w:val="16"/>
          <w:color w:val="auto"/>
        </w:rPr>
        <w:t>served as Senior Vice President, Business Development and Sustainability at Opco and has been with the company from April 2022 up to the closing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5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John Coghlin </w:t>
      </w:r>
      <w:r>
        <w:rPr>
          <w:rFonts w:ascii="Times New Roman" w:cs="Times New Roman" w:eastAsia="Times New Roman" w:hAnsi="Times New Roman"/>
          <w:sz w:val="16"/>
          <w:szCs w:val="16"/>
          <w:color w:val="auto"/>
        </w:rPr>
        <w:t>has served as the General Counsel of Opco from June 2021 up to the closing of the Business Combination where Mr. Coghlin transitioned in the same capacity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color w:val="auto"/>
        </w:rPr>
        <w:t>Independence of the Board</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w:t>
      </w:r>
      <w:r>
        <w:rPr>
          <w:rFonts w:ascii="Times New Roman" w:cs="Times New Roman" w:eastAsia="Times New Roman" w:hAnsi="Times New Roman"/>
          <w:sz w:val="16"/>
          <w:szCs w:val="16"/>
          <w:i w:val="1"/>
          <w:iCs w:val="1"/>
          <w:color w:val="auto"/>
        </w:rPr>
        <w:t>independent</w:t>
      </w:r>
      <w:r>
        <w:rPr>
          <w:rFonts w:ascii="Times New Roman" w:cs="Times New Roman" w:eastAsia="Times New Roman" w:hAnsi="Times New Roman"/>
          <w:sz w:val="16"/>
          <w:szCs w:val="16"/>
          <w:color w:val="auto"/>
        </w:rPr>
        <w:t>” as that term is defined under the applicable rules and regulations of the SEC and the listing requirements and rules of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Controlled Company Exemption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Mr. Comora, through his control of OPAL Holdco, beneficially owns a majority of the voting power of all outstanding shares of our common stock. As a result, we are a “</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within the meaning of the Nasdaq Listing Rules. Under the Nasdaq Listing Rules, a company of which more than 50% of the voting power for the election of directors is held by an individual, group or another company is a “</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Our board maintains a standing audit committee (“</w:t>
      </w:r>
      <w:r>
        <w:rPr>
          <w:rFonts w:ascii="Times New Roman" w:cs="Times New Roman" w:eastAsia="Times New Roman" w:hAnsi="Times New Roman"/>
          <w:sz w:val="16"/>
          <w:szCs w:val="16"/>
          <w:i w:val="1"/>
          <w:iCs w:val="1"/>
          <w:color w:val="auto"/>
        </w:rPr>
        <w:t>Audit Committee</w:t>
      </w:r>
      <w:r>
        <w:rPr>
          <w:rFonts w:ascii="Times New Roman" w:cs="Times New Roman" w:eastAsia="Times New Roman" w:hAnsi="Times New Roman"/>
          <w:sz w:val="16"/>
          <w:szCs w:val="16"/>
          <w:color w:val="auto"/>
        </w:rPr>
        <w:t>”), but does not currently maintain a standing compensation committee or nominating/governance committee based upon the exceptions from the Nasdaq Listing Rules for “</w:t>
      </w:r>
      <w:r>
        <w:rPr>
          <w:rFonts w:ascii="Times New Roman" w:cs="Times New Roman" w:eastAsia="Times New Roman" w:hAnsi="Times New Roman"/>
          <w:sz w:val="16"/>
          <w:szCs w:val="16"/>
          <w:i w:val="1"/>
          <w:iCs w:val="1"/>
          <w:color w:val="auto"/>
        </w:rPr>
        <w:t>controlled companies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w:t>
      </w:r>
      <w:r>
        <w:rPr>
          <w:rFonts w:ascii="Times New Roman" w:cs="Times New Roman" w:eastAsia="Times New Roman" w:hAnsi="Times New Roman"/>
          <w:sz w:val="15"/>
          <w:szCs w:val="15"/>
          <w:i w:val="1"/>
          <w:iCs w:val="1"/>
          <w:color w:val="auto"/>
        </w:rPr>
        <w:t>audit committee financial expert</w:t>
      </w:r>
      <w:r>
        <w:rPr>
          <w:rFonts w:ascii="Times New Roman" w:cs="Times New Roman" w:eastAsia="Times New Roman" w:hAnsi="Times New Roman"/>
          <w:sz w:val="15"/>
          <w:szCs w:val="15"/>
          <w:color w:val="auto"/>
        </w:rPr>
        <w:t>” as such term is defined in Item 407(d)(5) of Regulation S-K and possesses financial sophistication, as defined under the rules of Nasdaq.</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purpose and responsibilities of the Audit Committee are set forth in the Audit Committee Charter adopted by our board on July 21,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94" w:lineRule="exact"/>
        <w:rPr>
          <w:sz w:val="20"/>
          <w:szCs w:val="20"/>
          <w:color w:val="auto"/>
        </w:rPr>
      </w:pPr>
    </w:p>
    <w:p>
      <w:pPr>
        <w:jc w:val="both"/>
        <w:ind w:right="20" w:firstLine="283"/>
        <w:spacing w:after="0" w:line="287" w:lineRule="auto"/>
        <w:rPr>
          <w:sz w:val="20"/>
          <w:szCs w:val="20"/>
          <w:color w:val="auto"/>
        </w:rPr>
      </w:pPr>
      <w:r>
        <w:rPr>
          <w:rFonts w:ascii="Times New Roman" w:cs="Times New Roman" w:eastAsia="Times New Roman" w:hAnsi="Times New Roman"/>
          <w:sz w:val="15"/>
          <w:szCs w:val="15"/>
          <w:color w:val="auto"/>
        </w:rPr>
        <w:t>Our Board adopted a Code of Business Conduct and Ethics on July 21, 2022 (the “</w:t>
      </w:r>
      <w:r>
        <w:rPr>
          <w:rFonts w:ascii="Times New Roman" w:cs="Times New Roman" w:eastAsia="Times New Roman" w:hAnsi="Times New Roman"/>
          <w:sz w:val="15"/>
          <w:szCs w:val="15"/>
          <w:i w:val="1"/>
          <w:iCs w:val="1"/>
          <w:color w:val="auto"/>
        </w:rPr>
        <w:t>Code of Conduct</w:t>
      </w:r>
      <w:r>
        <w:rPr>
          <w:rFonts w:ascii="Times New Roman" w:cs="Times New Roman" w:eastAsia="Times New Roman" w:hAnsi="Times New Roman"/>
          <w:sz w:val="15"/>
          <w:szCs w:val="15"/>
          <w:color w:val="auto"/>
        </w:rPr>
        <w:t>”) that applies to all of our directors, officers and employees, including our principal executive officers, principal financial officer and principal accounting officer, which is available on our website. Our Code of Conduct is a “</w:t>
      </w:r>
      <w:r>
        <w:rPr>
          <w:rFonts w:ascii="Times New Roman" w:cs="Times New Roman" w:eastAsia="Times New Roman" w:hAnsi="Times New Roman"/>
          <w:sz w:val="15"/>
          <w:szCs w:val="15"/>
          <w:i w:val="1"/>
          <w:iCs w:val="1"/>
          <w:color w:val="auto"/>
        </w:rPr>
        <w:t>code of ethics</w:t>
      </w:r>
      <w:r>
        <w:rPr>
          <w:rFonts w:ascii="Times New Roman" w:cs="Times New Roman" w:eastAsia="Times New Roman" w:hAnsi="Times New Roman"/>
          <w:sz w:val="15"/>
          <w:szCs w:val="15"/>
          <w:color w:val="auto"/>
        </w:rPr>
        <w:t>,” as defined in Item 406(b) of Regulation S-K. We will make any legally required disclosures regarding amendments to, or waivers of, provisions of our code of ethics on our website.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14" w:name="page115"/>
    <w:bookmarkEnd w:id="11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4" w:lineRule="exact"/>
        <w:rPr>
          <w:sz w:val="20"/>
          <w:szCs w:val="20"/>
          <w:color w:val="auto"/>
        </w:rPr>
      </w:pPr>
    </w:p>
    <w:p>
      <w:pPr>
        <w:jc w:val="both"/>
        <w:ind w:left="5" w:right="20"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Unless the context otherwise requires, any reference in this section of this Prospectus/Offer to Exchange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59"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Times New Roman" w:cs="Times New Roman" w:eastAsia="Times New Roman" w:hAnsi="Times New Roman"/>
          <w:sz w:val="16"/>
          <w:szCs w:val="16"/>
          <w:i w:val="1"/>
          <w:iCs w:val="1"/>
          <w:color w:val="auto"/>
        </w:rPr>
        <w:t>Named Executive Officers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NEOs</w:t>
      </w:r>
      <w:r>
        <w:rPr>
          <w:rFonts w:ascii="Times New Roman" w:cs="Times New Roman" w:eastAsia="Times New Roman" w:hAnsi="Times New Roman"/>
          <w:sz w:val="16"/>
          <w:szCs w:val="16"/>
          <w:color w:val="auto"/>
        </w:rPr>
        <w:t>”) during 2021. Our executive officers are listed below (of which Mr. Comora, Mr. Mauer, Mr. Unger and Mr. Edelbach are Named Executive Officers):</w:t>
      </w:r>
    </w:p>
    <w:p>
      <w:pPr>
        <w:spacing w:after="0" w:line="156" w:lineRule="exact"/>
        <w:rPr>
          <w:sz w:val="20"/>
          <w:szCs w:val="20"/>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Adam Comora, Co-Chief Executive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Jonathan Maurer, Co-Chief Executive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 Anthony, Chief Financial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Anthony Falbo, Chief Operating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Unger, Executive Vice President</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Scott Edelbach, Executive Vice President</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Hugh Donnell, Senior Vice President</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John Coghlin, General Counsel</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paid by us to our principal executive officers during the fiscal year ended December 31, 2021 (the “</w:t>
      </w:r>
      <w:r>
        <w:rPr>
          <w:rFonts w:ascii="Times New Roman" w:cs="Times New Roman" w:eastAsia="Times New Roman" w:hAnsi="Times New Roman"/>
          <w:sz w:val="16"/>
          <w:szCs w:val="16"/>
          <w:i w:val="1"/>
          <w:iCs w:val="1"/>
          <w:color w:val="auto"/>
        </w:rPr>
        <w:t>2021 Fiscal Year</w:t>
      </w:r>
      <w:r>
        <w:rPr>
          <w:rFonts w:ascii="Times New Roman" w:cs="Times New Roman" w:eastAsia="Times New Roman" w:hAnsi="Times New Roman"/>
          <w:sz w:val="16"/>
          <w:szCs w:val="16"/>
          <w:color w:val="auto"/>
        </w:rPr>
        <w:t>”) and the other Named Executive Officers during the 2021 Fiscal Year.</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2021 SUMMARY COMPENSATION TABLE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5"/>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0"/>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20" w:type="dxa"/>
            <w:vAlign w:val="bottom"/>
          </w:tcPr>
          <w:p>
            <w:pPr>
              <w:spacing w:after="0"/>
              <w:rPr>
                <w:sz w:val="20"/>
                <w:szCs w:val="20"/>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4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321"/>
              <w:spacing w:after="0" w:line="236"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6"/>
                <w:szCs w:val="26"/>
                <w:b w:val="1"/>
                <w:bCs w:val="1"/>
                <w:color w:val="auto"/>
                <w:vertAlign w:val="superscript"/>
              </w:rPr>
              <w:t>(1)</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20"/>
                <w:szCs w:val="20"/>
                <w:color w:val="auto"/>
              </w:rPr>
            </w:pPr>
          </w:p>
        </w:tc>
        <w:tc>
          <w:tcPr>
            <w:tcW w:w="1100" w:type="dxa"/>
            <w:vAlign w:val="bottom"/>
          </w:tcPr>
          <w:p>
            <w:pPr>
              <w:jc w:val="center"/>
              <w:spacing w:after="0" w:line="23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(2)</w:t>
            </w:r>
          </w:p>
        </w:tc>
        <w:tc>
          <w:tcPr>
            <w:tcW w:w="2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r>
      <w:tr>
        <w:trPr>
          <w:trHeight w:val="189"/>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Adam Comora,</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396,366</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3"/>
              </w:rPr>
              <w:t>1,165,866</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w w:val="97"/>
              </w:rPr>
              <w:t>Co- Chief Executive Officer</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0"/>
        </w:trPr>
        <w:tc>
          <w:tcPr>
            <w:tcW w:w="190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Jonathan Maurer,</w:t>
            </w:r>
          </w:p>
        </w:tc>
        <w:tc>
          <w:tcPr>
            <w:tcW w:w="1360" w:type="dxa"/>
            <w:vAlign w:val="bottom"/>
            <w:gridSpan w:val="2"/>
          </w:tcPr>
          <w:p>
            <w:pPr>
              <w:ind w:left="580"/>
              <w:spacing w:after="0" w:line="171"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4"/>
                <w:szCs w:val="14"/>
                <w:color w:val="auto"/>
              </w:rPr>
            </w:pPr>
          </w:p>
        </w:tc>
        <w:tc>
          <w:tcPr>
            <w:tcW w:w="136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380,519</w:t>
            </w:r>
          </w:p>
        </w:tc>
        <w:tc>
          <w:tcPr>
            <w:tcW w:w="132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6"/>
                <w:szCs w:val="16"/>
                <w:color w:val="auto"/>
              </w:rPr>
              <w:t>750,000</w:t>
            </w:r>
          </w:p>
        </w:tc>
        <w:tc>
          <w:tcPr>
            <w:tcW w:w="1340" w:type="dxa"/>
            <w:vAlign w:val="bottom"/>
            <w:gridSpan w:val="2"/>
          </w:tcPr>
          <w:p>
            <w:pPr>
              <w:ind w:left="96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26,000</w:t>
            </w:r>
          </w:p>
        </w:tc>
        <w:tc>
          <w:tcPr>
            <w:tcW w:w="122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6"/>
                <w:szCs w:val="16"/>
                <w:color w:val="auto"/>
              </w:rPr>
              <w:t>1,156,519</w:t>
            </w:r>
          </w:p>
        </w:tc>
      </w:tr>
      <w:tr>
        <w:trPr>
          <w:trHeight w:val="208"/>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w w:val="97"/>
              </w:rPr>
              <w:t>Co- Chief Executive Officer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Scott Edelbach,</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293,623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202,366</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11,593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507,582</w:t>
            </w:r>
          </w:p>
        </w:tc>
      </w:tr>
      <w:tr>
        <w:trPr>
          <w:trHeight w:val="189"/>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0"/>
        </w:trPr>
        <w:tc>
          <w:tcPr>
            <w:tcW w:w="190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David Unger,</w:t>
            </w:r>
          </w:p>
        </w:tc>
        <w:tc>
          <w:tcPr>
            <w:tcW w:w="1360" w:type="dxa"/>
            <w:vAlign w:val="bottom"/>
            <w:gridSpan w:val="2"/>
          </w:tcPr>
          <w:p>
            <w:pPr>
              <w:ind w:left="580"/>
              <w:spacing w:after="0" w:line="171"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4"/>
                <w:szCs w:val="14"/>
                <w:color w:val="auto"/>
              </w:rPr>
            </w:pPr>
          </w:p>
        </w:tc>
        <w:tc>
          <w:tcPr>
            <w:tcW w:w="136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325,923</w:t>
            </w:r>
          </w:p>
        </w:tc>
        <w:tc>
          <w:tcPr>
            <w:tcW w:w="132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6"/>
                <w:szCs w:val="16"/>
                <w:color w:val="auto"/>
              </w:rPr>
              <w:t>340,000</w:t>
            </w:r>
          </w:p>
        </w:tc>
        <w:tc>
          <w:tcPr>
            <w:tcW w:w="1340" w:type="dxa"/>
            <w:vAlign w:val="bottom"/>
            <w:gridSpan w:val="2"/>
          </w:tcPr>
          <w:p>
            <w:pPr>
              <w:ind w:left="96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19,835</w:t>
            </w:r>
          </w:p>
        </w:tc>
        <w:tc>
          <w:tcPr>
            <w:tcW w:w="122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6"/>
                <w:szCs w:val="16"/>
                <w:color w:val="auto"/>
              </w:rPr>
              <w:t>685,758</w:t>
            </w:r>
          </w:p>
        </w:tc>
      </w:tr>
      <w:tr>
        <w:trPr>
          <w:trHeight w:val="208"/>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70" w:lineRule="exact"/>
        <w:rPr>
          <w:sz w:val="20"/>
          <w:szCs w:val="20"/>
          <w:color w:val="auto"/>
        </w:rPr>
      </w:pPr>
    </w:p>
    <w:p>
      <w:pPr>
        <w:ind w:left="285" w:hanging="285"/>
        <w:spacing w:after="0"/>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cash discretionary bonuses paid to NEOs for 2021. Please see additional information below in the section entitled “</w:t>
      </w:r>
      <w:r>
        <w:rPr>
          <w:rFonts w:ascii="Times New Roman" w:cs="Times New Roman" w:eastAsia="Times New Roman" w:hAnsi="Times New Roman"/>
          <w:sz w:val="16"/>
          <w:szCs w:val="16"/>
          <w:i w:val="1"/>
          <w:iCs w:val="1"/>
          <w:color w:val="auto"/>
        </w:rPr>
        <w:t>Annual Incentives</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color w:val="auto"/>
        </w:rPr>
        <w:t>Narrative Disclosure to the Summary Compensation Table</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2021 fiscal year, our compensation program consisted primarily of the following elements: base salary, short-term annual incentive awards, long-term equity incentives and benefit and perquisite programs.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Annual Incentives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Long-Term Incentives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5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w:t>
      </w:r>
      <w:r>
        <w:rPr>
          <w:rFonts w:ascii="Times New Roman" w:cs="Times New Roman" w:eastAsia="Times New Roman" w:hAnsi="Times New Roman"/>
          <w:sz w:val="16"/>
          <w:szCs w:val="16"/>
          <w:i w:val="1"/>
          <w:iCs w:val="1"/>
          <w:color w:val="auto"/>
        </w:rPr>
        <w:t>profits interests</w:t>
      </w:r>
      <w:r>
        <w:rPr>
          <w:rFonts w:ascii="Times New Roman" w:cs="Times New Roman" w:eastAsia="Times New Roman" w:hAnsi="Times New Roman"/>
          <w:sz w:val="16"/>
          <w:szCs w:val="16"/>
          <w:color w:val="auto"/>
        </w:rPr>
        <w:t>” for U.S. federal income tax purposes to certain of Opco executives through one of its feeder entities with such profits interests awards tracking the performance of the applicable predecessor companies of Opco (such awards, the “</w:t>
      </w:r>
      <w:r>
        <w:rPr>
          <w:rFonts w:ascii="Times New Roman" w:cs="Times New Roman" w:eastAsia="Times New Roman" w:hAnsi="Times New Roman"/>
          <w:sz w:val="16"/>
          <w:szCs w:val="16"/>
          <w:i w:val="1"/>
          <w:iCs w:val="1"/>
          <w:color w:val="auto"/>
        </w:rPr>
        <w:t>Parent Equity Awards</w:t>
      </w:r>
      <w:r>
        <w:rPr>
          <w:rFonts w:ascii="Times New Roman" w:cs="Times New Roman" w:eastAsia="Times New Roman" w:hAnsi="Times New Roman"/>
          <w:sz w:val="16"/>
          <w:szCs w:val="16"/>
          <w:color w:val="auto"/>
        </w:rPr>
        <w:t xml:space="preserve">”). Participants were entitled to participate in </w:t>
      </w:r>
      <w:r>
        <w:rPr>
          <w:rFonts w:ascii="Times New Roman" w:cs="Times New Roman" w:eastAsia="Times New Roman" w:hAnsi="Times New Roman"/>
          <w:sz w:val="16"/>
          <w:szCs w:val="16"/>
          <w:i w:val="1"/>
          <w:iCs w:val="1"/>
          <w:color w:val="auto"/>
        </w:rPr>
        <w:t>pro-rata</w:t>
      </w:r>
      <w:r>
        <w:rPr>
          <w:rFonts w:ascii="Times New Roman" w:cs="Times New Roman" w:eastAsia="Times New Roman" w:hAnsi="Times New Roman"/>
          <w:sz w:val="16"/>
          <w:szCs w:val="16"/>
          <w:color w:val="auto"/>
        </w:rPr>
        <w:t xml:space="preserve"> distributions from such predecessors of Opco during their employment. Effective as of December 31, 2020, the Parent Equity Awards were restructured to track the 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Employee Benefits.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16" w:name="page117"/>
    <w:bookmarkEnd w:id="116"/>
    <w:p>
      <w:pPr>
        <w:ind w:left="5"/>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w:t>
      </w:r>
      <w:r>
        <w:rPr>
          <w:rFonts w:ascii="Times New Roman" w:cs="Times New Roman" w:eastAsia="Times New Roman" w:hAnsi="Times New Roman"/>
          <w:sz w:val="16"/>
          <w:szCs w:val="16"/>
          <w:i w:val="1"/>
          <w:iCs w:val="1"/>
          <w:color w:val="auto"/>
        </w:rPr>
        <w:t>Outstanding Equity Awards at 2021 Fiscal Year End</w:t>
      </w:r>
      <w:r>
        <w:rPr>
          <w:rFonts w:ascii="Times New Roman" w:cs="Times New Roman" w:eastAsia="Times New Roman" w:hAnsi="Times New Roman"/>
          <w:sz w:val="16"/>
          <w:szCs w:val="16"/>
          <w:color w:val="auto"/>
        </w:rPr>
        <w:t>” (assuming such change in control occurred on December 31, 2021, and other conditions described in footnote 3 to such table are met).</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Outstanding Equity Awards at 2021 Fiscal Year End</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sets forth information concerning outstanding profits interest equity awards as of December 31, 2021 for each NEO.</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Market Value of</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Shares 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Units of 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Or Units Of</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That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r>
      <w:tr>
        <w:trPr>
          <w:trHeight w:val="193"/>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Parent Equity Awards</w:t>
            </w:r>
          </w:p>
        </w:tc>
        <w:tc>
          <w:tcPr>
            <w:tcW w:w="2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Have</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1"/>
                <w:szCs w:val="21"/>
                <w:color w:val="auto"/>
              </w:rPr>
            </w:pPr>
          </w:p>
        </w:tc>
        <w:tc>
          <w:tcPr>
            <w:tcW w:w="3160" w:type="dxa"/>
            <w:vAlign w:val="bottom"/>
          </w:tcPr>
          <w:p>
            <w:pPr>
              <w:jc w:val="center"/>
              <w:spacing w:after="0" w:line="240" w:lineRule="exact"/>
              <w:rPr>
                <w:sz w:val="20"/>
                <w:szCs w:val="20"/>
                <w:color w:val="auto"/>
              </w:rPr>
            </w:pPr>
            <w:r>
              <w:rPr>
                <w:rFonts w:ascii="Times New Roman" w:cs="Times New Roman" w:eastAsia="Times New Roman" w:hAnsi="Times New Roman"/>
                <w:sz w:val="16"/>
                <w:szCs w:val="16"/>
                <w:b w:val="1"/>
                <w:bCs w:val="1"/>
                <w:color w:val="auto"/>
                <w:w w:val="93"/>
              </w:rPr>
              <w:t>Grant Date</w:t>
            </w:r>
            <w:r>
              <w:rPr>
                <w:rFonts w:ascii="Times New Roman" w:cs="Times New Roman" w:eastAsia="Times New Roman" w:hAnsi="Times New Roman"/>
                <w:sz w:val="26"/>
                <w:szCs w:val="26"/>
                <w:b w:val="1"/>
                <w:bCs w:val="1"/>
                <w:color w:val="auto"/>
                <w:w w:val="93"/>
                <w:vertAlign w:val="superscript"/>
              </w:rPr>
              <w:t>(1)</w:t>
            </w:r>
          </w:p>
        </w:tc>
        <w:tc>
          <w:tcPr>
            <w:tcW w:w="220" w:type="dxa"/>
            <w:vAlign w:val="bottom"/>
          </w:tcPr>
          <w:p>
            <w:pPr>
              <w:spacing w:after="0"/>
              <w:rPr>
                <w:sz w:val="21"/>
                <w:szCs w:val="21"/>
                <w:color w:val="auto"/>
              </w:rPr>
            </w:pPr>
          </w:p>
        </w:tc>
        <w:tc>
          <w:tcPr>
            <w:tcW w:w="1300" w:type="dxa"/>
            <w:vAlign w:val="bottom"/>
            <w:gridSpan w:val="2"/>
          </w:tcPr>
          <w:p>
            <w:pPr>
              <w:jc w:val="center"/>
              <w:ind w:right="200"/>
              <w:spacing w:after="0" w:line="240" w:lineRule="exact"/>
              <w:rPr>
                <w:sz w:val="20"/>
                <w:szCs w:val="20"/>
                <w:color w:val="auto"/>
              </w:rPr>
            </w:pPr>
            <w:r>
              <w:rPr>
                <w:rFonts w:ascii="Times New Roman" w:cs="Times New Roman" w:eastAsia="Times New Roman" w:hAnsi="Times New Roman"/>
                <w:sz w:val="16"/>
                <w:szCs w:val="16"/>
                <w:b w:val="1"/>
                <w:bCs w:val="1"/>
                <w:color w:val="auto"/>
                <w:w w:val="92"/>
              </w:rPr>
              <w:t>Vested (%)</w:t>
            </w:r>
            <w:r>
              <w:rPr>
                <w:rFonts w:ascii="Times New Roman" w:cs="Times New Roman" w:eastAsia="Times New Roman" w:hAnsi="Times New Roman"/>
                <w:sz w:val="26"/>
                <w:szCs w:val="26"/>
                <w:b w:val="1"/>
                <w:bCs w:val="1"/>
                <w:color w:val="auto"/>
                <w:w w:val="92"/>
                <w:vertAlign w:val="superscript"/>
              </w:rPr>
              <w:t>(2)</w:t>
            </w:r>
          </w:p>
        </w:tc>
        <w:tc>
          <w:tcPr>
            <w:tcW w:w="60" w:type="dxa"/>
            <w:vAlign w:val="bottom"/>
          </w:tcPr>
          <w:p>
            <w:pPr>
              <w:spacing w:after="0"/>
              <w:rPr>
                <w:sz w:val="21"/>
                <w:szCs w:val="21"/>
                <w:color w:val="auto"/>
              </w:rPr>
            </w:pPr>
          </w:p>
        </w:tc>
        <w:tc>
          <w:tcPr>
            <w:tcW w:w="1220" w:type="dxa"/>
            <w:vAlign w:val="bottom"/>
            <w:gridSpan w:val="3"/>
          </w:tcPr>
          <w:p>
            <w:pPr>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Not Vested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6"/>
                <w:szCs w:val="26"/>
                <w:b w:val="1"/>
                <w:bCs w:val="1"/>
                <w:color w:val="auto"/>
                <w:vertAlign w:val="superscript"/>
              </w:rPr>
              <w:t>(3)</w:t>
            </w:r>
          </w:p>
        </w:tc>
      </w:tr>
      <w:tr>
        <w:trPr>
          <w:trHeight w:val="18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Adam Comora,</w:t>
            </w:r>
          </w:p>
        </w:tc>
        <w:tc>
          <w:tcPr>
            <w:tcW w:w="1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Co-Chief Executive Officer</w:t>
            </w: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February 25, 2019</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0.78%</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11,172,566</w:t>
            </w:r>
          </w:p>
        </w:tc>
      </w:tr>
      <w:tr>
        <w:trPr>
          <w:trHeight w:val="189"/>
        </w:trPr>
        <w:tc>
          <w:tcPr>
            <w:tcW w:w="5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May 15, 2019</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3,720,271</w:t>
            </w:r>
          </w:p>
        </w:tc>
      </w:tr>
      <w:tr>
        <w:trPr>
          <w:trHeight w:val="189"/>
        </w:trPr>
        <w:tc>
          <w:tcPr>
            <w:tcW w:w="5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6"/>
              </w:rPr>
              <w:t>July 24, 2020</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3,784,434</w:t>
            </w:r>
          </w:p>
        </w:tc>
      </w:tr>
      <w:tr>
        <w:trPr>
          <w:trHeight w:val="189"/>
        </w:trPr>
        <w:tc>
          <w:tcPr>
            <w:tcW w:w="5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7"/>
              </w:rPr>
              <w:t>August 4, 2020</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3,784,434</w:t>
            </w:r>
          </w:p>
        </w:tc>
      </w:tr>
      <w:tr>
        <w:trPr>
          <w:trHeight w:val="170"/>
        </w:trPr>
        <w:tc>
          <w:tcPr>
            <w:tcW w:w="51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Jonathan Maurer,</w:t>
            </w: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518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Co-Chief Executive Officer</w:t>
            </w: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February 25,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0.52%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7,448,595</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May 15,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2,480,253</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6"/>
              </w:rPr>
              <w:t>July 24,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0.18%</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2,523,439</w:t>
            </w:r>
          </w:p>
        </w:tc>
      </w:tr>
      <w:tr>
        <w:trPr>
          <w:trHeight w:val="206"/>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7"/>
              </w:rPr>
              <w:t>August 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0.18%</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2,523,439</w:t>
            </w:r>
          </w:p>
        </w:tc>
      </w:tr>
      <w:tr>
        <w:trPr>
          <w:trHeight w:val="170"/>
        </w:trPr>
        <w:tc>
          <w:tcPr>
            <w:tcW w:w="51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Scott Edelbach,</w:t>
            </w: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0"/>
        </w:trPr>
        <w:tc>
          <w:tcPr>
            <w:tcW w:w="51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David Unger,</w:t>
            </w: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518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February 25,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0.13%</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1,861,986</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May 15,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0.04%</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620,009</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6"/>
              </w:rPr>
              <w:t>July 24,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0.14%</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1,963,832</w:t>
            </w:r>
          </w:p>
        </w:tc>
      </w:tr>
      <w:tr>
        <w:trPr>
          <w:trHeight w:val="206"/>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7"/>
              </w:rPr>
              <w:t>August 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0.11%</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1,583,334</w:t>
            </w:r>
          </w:p>
        </w:tc>
      </w:tr>
    </w:tbl>
    <w:p>
      <w:pPr>
        <w:spacing w:after="0" w:line="172" w:lineRule="exact"/>
        <w:rPr>
          <w:sz w:val="20"/>
          <w:szCs w:val="20"/>
          <w:color w:val="auto"/>
        </w:rPr>
      </w:pPr>
    </w:p>
    <w:p>
      <w:pPr>
        <w:ind w:left="285" w:hanging="285"/>
        <w:spacing w:after="0"/>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Parent Equity Awards vest ratably on each of the first five anniversaries of the Grant Date.</w:t>
      </w:r>
    </w:p>
    <w:p>
      <w:pPr>
        <w:spacing w:after="0" w:line="192" w:lineRule="exact"/>
        <w:rPr>
          <w:rFonts w:ascii="Times New Roman" w:cs="Times New Roman" w:eastAsia="Times New Roman" w:hAnsi="Times New Roman"/>
          <w:sz w:val="16"/>
          <w:szCs w:val="16"/>
          <w:color w:val="auto"/>
        </w:rPr>
      </w:pPr>
    </w:p>
    <w:p>
      <w:pPr>
        <w:ind w:left="285" w:right="20" w:hanging="285"/>
        <w:spacing w:after="0" w:line="312" w:lineRule="auto"/>
        <w:tabs>
          <w:tab w:leader="none" w:pos="285"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Equity Awards entitle recipients to indirectly receive a percentage of the profits (“</w:t>
      </w:r>
      <w:r>
        <w:rPr>
          <w:rFonts w:ascii="Times New Roman" w:cs="Times New Roman" w:eastAsia="Times New Roman" w:hAnsi="Times New Roman"/>
          <w:sz w:val="15"/>
          <w:szCs w:val="15"/>
          <w:i w:val="1"/>
          <w:iCs w:val="1"/>
          <w:color w:val="auto"/>
        </w:rPr>
        <w:t>Profits Portion</w:t>
      </w:r>
      <w:r>
        <w:rPr>
          <w:rFonts w:ascii="Times New Roman" w:cs="Times New Roman" w:eastAsia="Times New Roman" w:hAnsi="Times New Roman"/>
          <w:sz w:val="15"/>
          <w:szCs w:val="15"/>
          <w:color w:val="auto"/>
        </w:rPr>
        <w:t>”) received by Fortistar from investment in Opco after the repayment of the capital contributed to Opco by Fortistar. This column represents, as of December 31, 2021, a percentage of Opco which is approximately equal to such Profits Portion.</w:t>
      </w:r>
    </w:p>
    <w:p>
      <w:pPr>
        <w:spacing w:after="0" w:line="120" w:lineRule="exact"/>
        <w:rPr>
          <w:rFonts w:ascii="Times New Roman" w:cs="Times New Roman" w:eastAsia="Times New Roman" w:hAnsi="Times New Roman"/>
          <w:sz w:val="15"/>
          <w:szCs w:val="15"/>
          <w:color w:val="auto"/>
        </w:rPr>
      </w:pPr>
    </w:p>
    <w:p>
      <w:pPr>
        <w:jc w:val="both"/>
        <w:ind w:left="285" w:right="20" w:hanging="285"/>
        <w:spacing w:after="0" w:line="261" w:lineRule="auto"/>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color w:val="auto"/>
        </w:rPr>
        <w:t>Compensation of Directors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4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Each member of our board is entitled to reimbursement for reasonable travel and other expenses incurred in connection with attending board meetings and meetings for any committee on which he or she serves.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18" w:name="page119"/>
    <w:bookmarkEnd w:id="118"/>
    <w:p>
      <w:pPr>
        <w:ind w:left="2540"/>
        <w:spacing w:after="0"/>
        <w:rPr>
          <w:sz w:val="20"/>
          <w:szCs w:val="20"/>
          <w:color w:val="auto"/>
        </w:rPr>
      </w:pPr>
      <w:r>
        <w:rPr>
          <w:rFonts w:ascii="Times New Roman" w:cs="Times New Roman" w:eastAsia="Times New Roman" w:hAnsi="Times New Roman"/>
          <w:sz w:val="16"/>
          <w:szCs w:val="16"/>
          <w:b w:val="1"/>
          <w:bCs w:val="1"/>
          <w:color w:val="auto"/>
        </w:rPr>
        <w:t>MARKET INFORMATION, DIVIDENDS, AND RELATED STOCKHOLDER MATTERS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 of Class A Common Stock and Warrants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Our Class A common stock and public warrants are listed on the Nasdaq under the symbols “OPAL” and “OPALW,” respectively. As of November 16, 2022, 25,671,390 shares of Class A common stock, 6,223,233 public warrants, and 9,223,261 private placement warrants were outstanding. The closing price of our Class A common stock and public warrants on November 16, 2022 was $7.77 and $1.2387, respectively.</w:t>
      </w:r>
    </w:p>
    <w:p>
      <w:pPr>
        <w:spacing w:after="0" w:line="156" w:lineRule="exact"/>
        <w:rPr>
          <w:sz w:val="20"/>
          <w:szCs w:val="20"/>
          <w:color w:val="auto"/>
        </w:rPr>
      </w:pPr>
    </w:p>
    <w:p>
      <w:pPr>
        <w:ind w:right="360"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there were approximately 23 holders of record of our Class A common stock, one holder of record of our public warrants, and five holders of record of our private placement warrants. Such numbers do not include DTCC participants or beneficial owners holding securities through nominee names.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 and Amount of Funds</w:t>
      </w:r>
    </w:p>
    <w:p>
      <w:pPr>
        <w:spacing w:after="0" w:line="196"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Because this transaction is an offer to holders to exchange their existing warrants for our Class A common stock,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Offer and Consent Solicitation and the payment of cash in lieu of fractional shares, will be approximately $2.5 million. We expect to have sufficient funds to complete the transactions contemplated by the Offer and Consent Solicitation and to pay fees, expenses, and other related amounts from our cash on hand.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 Agent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Continental Stock Transfer &amp; Trust Company has been appointed as the exchange agent for the Offer and Consent Solicitation. The Letter of Transmittal and Consent and all correspondence in connection with the Offer should be sent or delivered by each holder of the warrants,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Information Agent</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D.F. King &amp; Co., Inc. has been appointed as the information agent for the Offer and Consent Solicitation, and will receive customary compensation for its services.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i w:val="1"/>
          <w:iCs w:val="1"/>
          <w:color w:val="auto"/>
        </w:rPr>
        <w:t>Dealer Manager</w:t>
      </w:r>
    </w:p>
    <w:p>
      <w:pPr>
        <w:spacing w:after="0" w:line="196"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5"/>
          <w:szCs w:val="15"/>
          <w:color w:val="auto"/>
        </w:rPr>
        <w:t>We have retained BofA Securities, Inc. to act as dealer manager in connection with the Offer and Consent Solicitation and will pay the dealer manager a customary fee as compensation for its services. We will also reimburse the dealer manager for certain expenses.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w:t>
      </w:r>
    </w:p>
    <w:p>
      <w:pPr>
        <w:spacing w:after="0" w:line="14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 The dealer manager acts as administrative agent and lender under our for our $125 million term loan entered into on October 22, 2021.</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In the ordinary course of its business, the dealer manager or its affiliates may at any time hold long or short positions, and may trade for their own accounts or the accounts of customers, in securities of the Company, including warrants, and, to the extent that the dealer manager or its affiliates own warrants during the Offer and Consent Solicitation, they may tender such warrants under the terms of the Offer and Consent Solicitation.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Fees and Expenses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expenses of soliciting tenders of the warrants and the Consent Solicitation will be borne by us. The principal solicitations are being made by mail; however, additional solicitations may be made by facsimile transmission, telephone, or in person by the dealer manager and the information agent, as well as by our officers and other employees and affiliates.</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Transactions and Agreements Concerning Our Securities</w:t>
      </w:r>
    </w:p>
    <w:p>
      <w:pPr>
        <w:spacing w:after="0" w:line="194" w:lineRule="exact"/>
        <w:rPr>
          <w:sz w:val="20"/>
          <w:szCs w:val="20"/>
          <w:color w:val="auto"/>
        </w:rPr>
      </w:pPr>
    </w:p>
    <w:p>
      <w:pPr>
        <w:jc w:val="both"/>
        <w:ind w:right="20" w:firstLine="283"/>
        <w:spacing w:after="0" w:line="262" w:lineRule="auto"/>
        <w:rPr>
          <w:sz w:val="20"/>
          <w:szCs w:val="20"/>
          <w:color w:val="auto"/>
        </w:rPr>
      </w:pPr>
      <w:r>
        <w:rPr>
          <w:rFonts w:ascii="Times New Roman" w:cs="Times New Roman" w:eastAsia="Times New Roman" w:hAnsi="Times New Roman"/>
          <w:sz w:val="16"/>
          <w:szCs w:val="16"/>
          <w:color w:val="auto"/>
        </w:rPr>
        <w:t>Other than as set forth below and (i) in the section of this Prospectus/Offer to Exchange entitled “</w:t>
      </w:r>
      <w:r>
        <w:rPr>
          <w:rFonts w:ascii="Times New Roman" w:cs="Times New Roman" w:eastAsia="Times New Roman" w:hAnsi="Times New Roman"/>
          <w:sz w:val="16"/>
          <w:szCs w:val="16"/>
          <w:i w:val="1"/>
          <w:iCs w:val="1"/>
          <w:color w:val="auto"/>
        </w:rPr>
        <w:t>Description of Securities</w:t>
      </w:r>
      <w:r>
        <w:rPr>
          <w:rFonts w:ascii="Times New Roman" w:cs="Times New Roman" w:eastAsia="Times New Roman" w:hAnsi="Times New Roman"/>
          <w:sz w:val="16"/>
          <w:szCs w:val="16"/>
          <w:color w:val="auto"/>
        </w:rPr>
        <w:t>” and (ii) as set forth in our certificate of incorporation (our “</w:t>
      </w:r>
      <w:r>
        <w:rPr>
          <w:rFonts w:ascii="Times New Roman" w:cs="Times New Roman" w:eastAsia="Times New Roman" w:hAnsi="Times New Roman"/>
          <w:sz w:val="16"/>
          <w:szCs w:val="16"/>
          <w:i w:val="1"/>
          <w:iCs w:val="1"/>
          <w:color w:val="auto"/>
        </w:rPr>
        <w:t>Charter</w:t>
      </w:r>
      <w:r>
        <w:rPr>
          <w:rFonts w:ascii="Times New Roman" w:cs="Times New Roman" w:eastAsia="Times New Roman" w:hAnsi="Times New Roman"/>
          <w:sz w:val="16"/>
          <w:szCs w:val="16"/>
          <w:color w:val="auto"/>
        </w:rPr>
        <w:t>”), there are no agreements, arrangements, or understandings between the Company, or any of our directors or executive officers, and any other person with respect to our securities that are the subject of the Offer and Consent Solicitation.</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Neither we, nor any of our directors, executive officers, or controlling persons, or any executive officers, directors, managers, or partners of any of our controlling persons, has engaged in any transactions in our warrants in the last 60 days.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i w:val="1"/>
          <w:iCs w:val="1"/>
          <w:color w:val="auto"/>
        </w:rPr>
        <w:t>Tender and Support Agreement</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Parties representing approximately 53.3% of the outstanding public warrants and 100% of the outstanding private placement warrants have agreed to tender their public warrants and private placement warrants (as applicable) in the Offer and consent to the Warrant Amendment in the Consent Solicitation pursuant to the Tender and Support Agreement.</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Accordingly, if holders of an additional approximately 11.7% of the outstanding public warrants consent to the Warrant Amendment in the Consent Solicitation, and the other conditions described herein are satisfied or waived, then the Warrant Amendment will be adopted.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Registration Under the Exchange Act</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warrants currently are registered under the Exchange Act. This registration may be terminated upon application by us to the SEC if there are fewer than 300 record holders of the warrants. We currently do not intend to terminate the registration of the warrants, if any, that remain outstanding after completion of the Offer and Consent Solicitation. Notwithstanding any termination of the registration of our warrants, we will continue to be subject to the reporting requirements under the Exchange Act as a result of the continuing registration of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Treatment</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will account for the exchange of warrants as a Class A common stock issuance for no additional value. The par value of each share of Class A common stock issued in the Offer will be recorded as a decrease in Class A common stock and an increase in additional paid-in capital. Any cash paid in lieu of fractional shares will be recorded as a decrease in cash and an increase in additional paid-in capital. The Offer will not modify the current accounting treatment for the unexchanged warrants.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Absence of Appraisal or Dissenters’ Rights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Holders of the warrants do not have any appraisal or dissenters’ rights under applicable law in connection with the Offer and Consent Solicitation.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 Agent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depositary and exchange agent for the Offer and Consent Solicitation is: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 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Additional Information; Amendments</w:t>
      </w:r>
    </w:p>
    <w:p>
      <w:pPr>
        <w:spacing w:after="0" w:line="196"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w:t>
      </w:r>
    </w:p>
    <w:p>
      <w:pPr>
        <w:spacing w:after="0" w:line="121"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Our board of directors recognizes that the decision to accept or reject the Offer and Consent Solicitation is an individual one that should be based on a variety of factors and warrant holders should consult with personal advisors if they have questions about their financial or tax situation.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21" w:name="page122"/>
    <w:bookmarkEnd w:id="121"/>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S-4 relating to the Offer and Consent Solicitation, or will file or furnish with the SEC in the future, can be accessed electronically on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If you have any questions regarding the Offer and Consent Solicitation or need assistance, you should contact the information agent for the Offer and Consent Solicitation. You may request additional copies of this document, the Letter of Transmittal and Consent, or the Notice of Guaranteed Delivery from the information agent. All such questions or requests should be directed 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D.F. King &amp; Co.,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7"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following is a discussion of certain material U.S. federal income tax consequences of the receipt of Class A common stock in exchange for our warrants pursuant to the Offer or pursuant to the terms of the Warrant Amendment, the deemed exchange of warrants not exchanged for Class A common stock in the Offer for “new” warrants as a result of the Warrant Amendment, and the ownership and disposition of Class A common stock received in any such exchange, but does not purport to be a complete analysis of all potential tax effects. This discussion is limited to certain U.S. federal income tax considerations to beneficial owners of our Class A common stock and warrants (which are referred to collectively in this discussion as our securities) that hold those securities as capital assets within the meaning of Section 1221 of the U.S.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This discussion assumes that any distributions made by us on our Class A common stock and any consideration received by a holder in consideration for the sale or other disposition of our Class A common stock will be in U.S. dollars.</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60" w:lineRule="exact"/>
        <w:rPr>
          <w:sz w:val="20"/>
          <w:szCs w:val="20"/>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financial institutions or financial services entities;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governments or agencies or instrumentalities thereof;</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expatriates or former citizens or long-term residents of the United States;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actually or constructively own five percent or more (by vote or value) of our shares;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acquired our Class A common stock or warrants pursuant to an exercise of employee share options, in connection with employee share incentive plans or otherwise as compensation;</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subject to a mark-to-market method of tax accounting with respect to our Class A common stock or warrants;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our Class A common stock or warrants as part of a “straddle,” constructive sale, hedge, conversion or other integrated or similar transaction;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holders (as defined below) whose functional currency is not the U.S. dollar;</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partnerships (or entities or arrangements classified as partnerships or other pass-through entities for U.S. federal income tax purposes) and any beneficial owners of such entities or arrangements;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controlled foreign corporations;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passive foreign investment companies and other corporations that accumulate earnings to avoid U.S. federal income tax.</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23" w:name="page124"/>
    <w:bookmarkEnd w:id="123"/>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a partnership (including an entity or arrangement treated as a partnership or other pass-through entity for U.S. federal income tax purposes) holds our Class A common stock or warrants,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Class A common stock or warrants, you are urged to consult your own tax advisor regarding the tax consequences of the acquisition, ownership and disposition of our Class A common stock or warrants.</w:t>
      </w:r>
    </w:p>
    <w:p>
      <w:pPr>
        <w:spacing w:after="0" w:line="164"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135" w:lineRule="exact"/>
        <w:rPr>
          <w:sz w:val="20"/>
          <w:szCs w:val="20"/>
          <w:color w:val="auto"/>
        </w:rPr>
      </w:pPr>
    </w:p>
    <w:p>
      <w:pPr>
        <w:jc w:val="both"/>
        <w:ind w:firstLine="283"/>
        <w:spacing w:after="0" w:line="280" w:lineRule="auto"/>
        <w:rPr>
          <w:sz w:val="20"/>
          <w:szCs w:val="20"/>
          <w:color w:val="auto"/>
        </w:rPr>
      </w:pPr>
      <w:r>
        <w:rPr>
          <w:rFonts w:ascii="Times New Roman" w:cs="Times New Roman" w:eastAsia="Times New Roman" w:hAnsi="Times New Roman"/>
          <w:sz w:val="15"/>
          <w:szCs w:val="15"/>
          <w:color w:val="auto"/>
        </w:rPr>
        <w:t>We have not sought, and do not expect to seek, a ruling from the U.S. Internal Revenue Service (the “</w:t>
      </w:r>
      <w:r>
        <w:rPr>
          <w:rFonts w:ascii="Times New Roman" w:cs="Times New Roman" w:eastAsia="Times New Roman" w:hAnsi="Times New Roman"/>
          <w:sz w:val="15"/>
          <w:szCs w:val="15"/>
          <w:b w:val="1"/>
          <w:bCs w:val="1"/>
          <w:i w:val="1"/>
          <w:iCs w:val="1"/>
          <w:color w:val="auto"/>
        </w:rPr>
        <w:t>IRS</w:t>
      </w:r>
      <w:r>
        <w:rPr>
          <w:rFonts w:ascii="Times New Roman" w:cs="Times New Roman" w:eastAsia="Times New Roman" w:hAnsi="Times New Roman"/>
          <w:sz w:val="15"/>
          <w:szCs w:val="15"/>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4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THIS DISCUSSION IS ONLY A SUMMARY OF CERTAIN U.S. FEDERAL INCOME TAX CONSIDERATIONS ASSOCIATED WITH THE ACQUISITION, OWNERSHIP AND DISPOSITION OF OUR CLASS A COMMON STOCK OR WARRANTS.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Holders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This section applies to you if you are a “U.S. holder.” A U.S. holder is a beneficial owner of our shares of Class A common stock or warrants that is, for U.S. federal income tax purposes:</w:t>
      </w:r>
    </w:p>
    <w:p>
      <w:pPr>
        <w:spacing w:after="0" w:line="145" w:lineRule="exact"/>
        <w:rPr>
          <w:sz w:val="20"/>
          <w:szCs w:val="20"/>
          <w:color w:val="auto"/>
        </w:rPr>
      </w:pPr>
    </w:p>
    <w:p>
      <w:pPr>
        <w:ind w:left="560" w:hanging="282"/>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in or under the laws of the United States, any state thereof or the District of Columbia;</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194"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24" w:name="page125"/>
    <w:bookmarkEnd w:id="124"/>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Exchange of Warrants for Class A Common Stock</w:t>
      </w:r>
    </w:p>
    <w:p>
      <w:pPr>
        <w:spacing w:after="0" w:line="198" w:lineRule="exact"/>
        <w:rPr>
          <w:sz w:val="20"/>
          <w:szCs w:val="20"/>
          <w:color w:val="auto"/>
        </w:rPr>
      </w:pPr>
    </w:p>
    <w:p>
      <w:pPr>
        <w:jc w:val="both"/>
        <w:ind w:left="5" w:firstLine="283"/>
        <w:spacing w:after="0" w:line="249" w:lineRule="auto"/>
        <w:rPr>
          <w:sz w:val="20"/>
          <w:szCs w:val="20"/>
          <w:color w:val="auto"/>
        </w:rPr>
      </w:pPr>
      <w:r>
        <w:rPr>
          <w:rFonts w:ascii="Times New Roman" w:cs="Times New Roman" w:eastAsia="Times New Roman" w:hAnsi="Times New Roman"/>
          <w:sz w:val="16"/>
          <w:szCs w:val="16"/>
          <w:color w:val="auto"/>
        </w:rPr>
        <w:t>For those U.S. holders of our warrants participating in the Offer and for any U.S. holders of our warrants subsequently exchanged for Class A common stock pursuant to the terms of the Warrant Amendment, we intend to treat the exchange of warrants for our Class A common stock as a “recapitalization” within the meaning of Section 368(a)(1)(E) of the Code. Under such treatment, (i) you should not recognize any gain or loss on the exchange of warrants for shares of our Class A common stock (except to the extent of any cash payment received in lieu of a fractional share in connection with the Offer or such subsequent exchange), (ii) your aggregate tax basis in the Class A common stock received in the exchange should equal your aggregate tax basis in your warrants surrendered in the exchange (except to the extent of any tax basis allocated to a fractional share for which a cash payment is received in connection with the Offer or such subsequent exchange), and (iii) your holding period for the Class A common stock received in the exchange should include your holding period for the surrendered warrants. Special tax basis and holding period rules apply to U.S. holders that acquired different blocks of warrants at different prices or at different times. You should consult your tax advisor as to the applicability of these special rules to your particular circumstances. Any cash you receive in lieu of a fractional share of our Class A common stock pursuant to the Offer or a subsequent exchange pursuant to the terms of the Warrant Amendment should generally result in gain or loss to you equal to the difference between the cash received and your tax basis in the fractional share as described below under “—Gain or Loss on Sale, Taxable Exchange or Other Taxable Disposition of Class A Common Stock.”</w:t>
      </w:r>
    </w:p>
    <w:p>
      <w:pPr>
        <w:spacing w:after="0" w:line="169"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Because there is a lack of direct legal authority regarding the U.S. federal income tax consequences of the exchange of our warrants for our Class A common stock, there can be no assurance in this regard, and alternative characterizations by the IRS or a court are possible, including ones that would require U.S. holders to recognize taxable income. If our treatment of the exchange of our warrants for our Class A common stock were successfully challenged by the IRS and such exchange were not treated as a recapitalization for United States federal income tax purposes, exchanging U.S. holders may be subject to taxation in a manner analogous to the rules applicable to dispositions of our Class A common stock described below under “—Gain or Loss on Sale, Taxable Exchange or Other Taxable Disposition of Class A Common Stock.”</w:t>
      </w:r>
    </w:p>
    <w:p>
      <w:pPr>
        <w:spacing w:after="0" w:line="164"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Although we believe the exchange of our warrants for our Class A common stock pursuant to the Offer or any subsequent exchange pursuant to the terms of the Warrant Amendment is a value-for-value transaction, because of the uncertainty inherent in any valuation, there can be no assurance that the IRS or a court would agree. If the IRS or a court were to view the exchange pursuant to the Offer or any subsequent exchange pursuant to the terms of the Warrant Amendment as the issuance of Class A common stock to an exchanging holder having a value in excess of the warrants surrendered by such holder, such excess value could be viewed as a constructive dividend or a fee received in consideration for consenting to the Warrant Amendment (which constructive dividend or fee may be taxable to you and may be taxable as ordinary income).</w:t>
      </w:r>
    </w:p>
    <w:p>
      <w:pPr>
        <w:spacing w:after="0" w:line="164"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If you exchange our warrants for our Class A common stock pursuant to the Offer or if your warrants are subsequently exchanged for our Class A common stock pursuant to the terms of the Warrant Amendment, and if you hold 5% or more of our Class A common stock prior to the exchange, or if you hold warrants and other securities of ours prior to the exchange with a tax basis of $1 million or more, you will be required to file with your U.S. federal income tax return for the year in which the exchange occurs a statement setting forth certain information relating to the exchange (including the fair market value, immediately prior to the exchange, of the warrants transferred in the exchange and your tax basis, immediately prior to the exchange, in such warrants), and to maintain permanent records containing such information.</w:t>
      </w:r>
    </w:p>
    <w:p>
      <w:pPr>
        <w:spacing w:after="0" w:line="16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Warrants not Exchanged for Class A Common Stock</w:t>
      </w:r>
    </w:p>
    <w:p>
      <w:pPr>
        <w:spacing w:after="0" w:line="198"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5"/>
          <w:szCs w:val="15"/>
          <w:color w:val="auto"/>
        </w:rPr>
        <w:t>If the Warrant Amendment is approved, we intend to treat all warrants not exchanged for Class A common stock in the Offer as having been exchanged for “new” warrants pursuant to the Warrant Amendment and to treat such deemed exchange as a “recapitalization” within the meaning of Section 368(a)(1)(E) of the Code. Under such treatment,</w:t>
      </w:r>
    </w:p>
    <w:p>
      <w:pPr>
        <w:jc w:val="both"/>
        <w:ind w:left="5" w:right="20" w:hanging="5"/>
        <w:spacing w:after="0" w:line="248" w:lineRule="auto"/>
        <w:tabs>
          <w:tab w:leader="none" w:pos="19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should not recognize any gain or loss on the deemed exchange of warrants for “new” warrants, (ii) your aggregate tax basis in the “new” warrants deemed to be received in the exchange should equal your aggregate tax basis in your existing warrants deemed surrendered in the exchange, and (iii) your holding period for the “new” warrants deemed to be received in the exchange should include your holding period for the warrants deemed surrendered. Special tax basis and holding period rules apply to holders that acquired different blocks of our warrants at different prices or at different times. You should consult your tax advisor as to the applicability of these special rules to your particular circumstances.</w:t>
      </w:r>
    </w:p>
    <w:p>
      <w:pPr>
        <w:spacing w:after="0" w:line="3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4" w:right="319" w:bottom="1440" w:gutter="0" w:footer="0" w:header="0"/>
        </w:sectPr>
      </w:pPr>
    </w:p>
    <w:bookmarkStart w:id="125" w:name="page126"/>
    <w:bookmarkEnd w:id="125"/>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Because there is a lack of direct legal authority regarding the U.S. federal income tax consequences of a deemed exchange of our warrants for “new” warrants pursuant to the Warrant Amendment, there can be no assurance in this regard, and alternative characterizations by the IRS or a court are possible, including ones that would require U.S. holders to recognize taxable income. If our treatment of the deemed exchange of our warrants for “new” warrants pursuant to the Warrant Amendment were successfully challenged by the IRS and such exchange were not treated as a recapitalization for United States federal income tax purposes, exchanging U.S. holders may be subject to taxation in a manner analogous to the rules applicable to dispositions of Class A common stock described below under “—Gain or Loss on Sale, Taxable Exchange or Other Taxable Disposition of our Class A Common Stock.”</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Taxation of Distributions on our Class A Common Stock</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do not expect to pay any distributions on our Class A common stock in the foreseeable future. If we pay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distributions in 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6"/>
          <w:szCs w:val="16"/>
          <w:i w:val="1"/>
          <w:iCs w:val="1"/>
          <w:color w:val="auto"/>
        </w:rPr>
        <w:t>U.S. Holders—Gain or Loss on Sale, Taxable Exchange or Other Taxable Disposition of Class A 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below.</w:t>
      </w:r>
    </w:p>
    <w:p>
      <w:pPr>
        <w:spacing w:after="0" w:line="164"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Gain or Loss on Sale, Taxable Exchange or Other Taxable Disposition of Class A Common Stock. </w:t>
      </w:r>
      <w:r>
        <w:rPr>
          <w:rFonts w:ascii="Times New Roman" w:cs="Times New Roman" w:eastAsia="Times New Roman" w:hAnsi="Times New Roman"/>
          <w:sz w:val="16"/>
          <w:szCs w:val="16"/>
          <w:color w:val="auto"/>
        </w:rPr>
        <w:t>Upon a sale or other taxable disposition of our Class A common stock,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other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63"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w:t>
      </w:r>
    </w:p>
    <w:p>
      <w:pPr>
        <w:spacing w:after="0" w:line="152"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general, information reporting requirements may apply to dividends paid to a U.S. holder and to the proceeds of the sale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other disposition of our shares of Class A common stock, unless the U.S. holder is an exempt recipient. Backup withholding may apply to such payments if the U.S. holder fails to provide a taxpayer identification number (which for an individual is ordinarily his or her social security number), a certification of exempt status or has been notified by the IRS that it is subject to backup withholding (and such notification has not been withdrawn).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26" w:name="page127"/>
    <w:bookmarkEnd w:id="126"/>
    <w:p>
      <w:pPr>
        <w:ind w:firstLine="283"/>
        <w:spacing w:after="0" w:line="275" w:lineRule="auto"/>
        <w:rPr>
          <w:sz w:val="20"/>
          <w:szCs w:val="20"/>
          <w:color w:val="auto"/>
        </w:rPr>
      </w:pPr>
      <w:r>
        <w:rPr>
          <w:rFonts w:ascii="Times New Roman" w:cs="Times New Roman" w:eastAsia="Times New Roman" w:hAnsi="Times New Roman"/>
          <w:sz w:val="16"/>
          <w:szCs w:val="16"/>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 holders should consult their tax advisors regarding their qualification for an exemption from backup withholding and the procedures for obtaining such an exemption.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Holders</w:t>
      </w:r>
    </w:p>
    <w:p>
      <w:pPr>
        <w:spacing w:after="0" w:line="196"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This section applies to you if you are a “non-U.S. holder.” As used herein, the term “non-U.S. holder” means a beneficial owner of our Class A common stock or warrants who or that is for U.S. federal income tax purposes:</w:t>
      </w:r>
    </w:p>
    <w:p>
      <w:pPr>
        <w:spacing w:after="0" w:line="145" w:lineRule="exact"/>
        <w:rPr>
          <w:sz w:val="20"/>
          <w:szCs w:val="20"/>
          <w:color w:val="auto"/>
        </w:rPr>
      </w:pPr>
    </w:p>
    <w:p>
      <w:pPr>
        <w:ind w:left="560" w:hanging="282"/>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non-resident alien individual (other than certain former citizens and residents of the United States subject to U.S. tax as expatriates);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foreign corporation; or</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that is not a U.S. holder;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but generally does not include an individual who is present in the United States for 183 days or more in the taxable year of the disposition of our securities. If you are such an individual, you should consult your own tax advisor regarding the U.S. federal income tax consequences of the acquisition, ownership or sale or other disposition of our securities.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Exchange of Warrants for our Class A Common Stock</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A non-U.S. holder’s exchange of our warrants for our Class A common stock pursuant to the Offer or the terms of the Warrant Amendment, and the deemed exchange of warrants not exchanged for Class A common stock in the Offer for “new” warrants pursuant to the Warrant Amendment, should generally have the same tax consequences as described above with respect to U.S. holders, except that if a non-U.S. holder is not engaged in the conduct of a trade or business within the United States, such non-U.S. holder should not be required to make the U.S. federal income tax filings required of U.S. holders described above solely on account of the exchange of warrants for our Class A common stock pursuant to the Offer or the terms of the Warrant Amendment. Any cash received by a non-U.S. holder in lieu of a fractional share of our Class A common stock pursuant to the Offer should generally be treated as gain from the sale or other taxable disposition of our Class A common stock, which will be treated as described under “—Gain on Sale, Taxable Exchange or Other Taxable Disposition of Class A Common Stock.”</w:t>
      </w:r>
    </w:p>
    <w:p>
      <w:pPr>
        <w:spacing w:after="0" w:line="161"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Taxation of Distributions on our Class A Common Stock</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general, any distributions (other than certain distributions of our stock and rights to acquire our stock) we make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5"/>
          <w:szCs w:val="15"/>
          <w:i w:val="1"/>
          <w:iCs w:val="1"/>
          <w:color w:val="auto"/>
        </w:rPr>
        <w:t>Non-U.S. Holders—Gain on Sale, Taxable Exchange or Other Taxable Disposition of Class A Common Stock</w:t>
      </w:r>
      <w:r>
        <w:rPr>
          <w:rFonts w:ascii="Times New Roman" w:cs="Times New Roman" w:eastAsia="Times New Roman" w:hAnsi="Times New Roman"/>
          <w:sz w:val="15"/>
          <w:szCs w:val="15"/>
          <w:color w:val="auto"/>
        </w:rPr>
        <w:t>,” below.</w:t>
      </w:r>
    </w:p>
    <w:p>
      <w:pPr>
        <w:spacing w:after="0" w:line="153"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27" w:name="page128"/>
    <w:bookmarkEnd w:id="127"/>
    <w:p>
      <w:pPr>
        <w:ind w:left="280"/>
        <w:spacing w:after="0"/>
        <w:rPr>
          <w:sz w:val="20"/>
          <w:szCs w:val="20"/>
          <w:color w:val="auto"/>
        </w:rPr>
      </w:pPr>
      <w:r>
        <w:rPr>
          <w:rFonts w:ascii="Times New Roman" w:cs="Times New Roman" w:eastAsia="Times New Roman" w:hAnsi="Times New Roman"/>
          <w:sz w:val="16"/>
          <w:szCs w:val="16"/>
          <w:color w:val="auto"/>
        </w:rPr>
        <w:t>Non-U.S. holders should consult their tax advisors regarding any applicable tax treaties that may provide for different rules.</w:t>
      </w:r>
    </w:p>
    <w:p>
      <w:pPr>
        <w:spacing w:after="0" w:line="190"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Gain on Sale, Taxable Exchange or Other Taxable Disposition of Class A Common Stock</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non-U.S. holder generally will not be subject to U.S. federal income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withholding tax in respect of gain recognized on a sale, taxable exchange or other taxable disposition of our Class A common stock or an expiration or redemption of our warrants, unless:</w:t>
      </w:r>
    </w:p>
    <w:p>
      <w:pPr>
        <w:spacing w:after="0" w:line="155" w:lineRule="exact"/>
        <w:rPr>
          <w:sz w:val="20"/>
          <w:szCs w:val="20"/>
          <w:color w:val="auto"/>
        </w:rPr>
      </w:pPr>
    </w:p>
    <w:p>
      <w:pPr>
        <w:ind w:left="560" w:right="20" w:hanging="282"/>
        <w:spacing w:after="0" w:line="275" w:lineRule="auto"/>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52" w:lineRule="auto"/>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withhold U.S. federal income tax at a rate of 15% of the amount realized upon such disposition. We believe that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Non-U.S. holders should consult their tax advisors regarding potentially applicable income tax treaties that may provide for different rules.</w:t>
      </w:r>
    </w:p>
    <w:p>
      <w:pPr>
        <w:spacing w:after="0" w:line="19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Information returns will be filed with the IRS in connection with payments of dividends and may be filed with the IRS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connection with the payment of the proceeds from a sale or other disposition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Copies of information returns that are filed with the IRS may also be made available under the provisions of an applicable treaty or agreement to the tax authorities of the country in which the non-U.S. holder resides or is established.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0"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FATCA</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Provisions commonly referred to as “FATCA” impose withholding of 30% on payments of dividends (including constructive dividends) on our Class A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All holders should consult their own tax advisors regarding the effects of FATCA on their investment in our Class A common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94" w:lineRule="exact"/>
        <w:rPr>
          <w:sz w:val="20"/>
          <w:szCs w:val="20"/>
          <w:color w:val="auto"/>
        </w:rPr>
      </w:pPr>
    </w:p>
    <w:p>
      <w:pPr>
        <w:ind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Capitalization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total number of shares of all classes of stock that OPAL has the authority to issue is 1,120,000,000 shares, consisting of:</w:t>
      </w:r>
    </w:p>
    <w:p>
      <w:pPr>
        <w:spacing w:after="0" w:line="194" w:lineRule="exact"/>
        <w:rPr>
          <w:sz w:val="20"/>
          <w:szCs w:val="20"/>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820,000,000 shares of Common Stock, par value of $0.0001 per share, divided into:</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340,000,000 shares of Class A common stock;</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160,000,000 shares of Class B common stock;</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160,000,000 shares of Class C common stock;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160,000,000 shares of Class D common stock;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300,000,000 shares of OPAL Preferred Stock, par value $0.0001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November 16, 2022, OPAL had 25,671,390 shares of Class A common stock issued and outstanding.</w:t>
      </w:r>
    </w:p>
    <w:p>
      <w:pPr>
        <w:spacing w:after="0" w:line="190"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A common stock is entitled to one vote for each share of Class A common stock held of record by such holder on all matters on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 w:cs="Times New Roman" w:eastAsia="Times New Roman" w:hAnsi="Times New Roman"/>
          <w:sz w:val="16"/>
          <w:szCs w:val="16"/>
          <w:i w:val="1"/>
          <w:iCs w:val="1"/>
          <w:color w:val="auto"/>
        </w:rPr>
        <w:t>DGCL</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or Combinations. </w:t>
      </w:r>
      <w:r>
        <w:rPr>
          <w:rFonts w:ascii="Times New Roman" w:cs="Times New Roman" w:eastAsia="Times New Roman" w:hAnsi="Times New Roman"/>
          <w:sz w:val="16"/>
          <w:szCs w:val="16"/>
          <w:color w:val="auto"/>
        </w:rPr>
        <w:t>Subject to applicable law and the rights, if any, of the holders of any outstanding series of OPAL Preferred Stock or any class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29" w:name="page130"/>
    <w:bookmarkEnd w:id="129"/>
    <w:p>
      <w:pPr>
        <w:ind w:firstLine="283"/>
        <w:spacing w:after="0" w:line="275" w:lineRule="auto"/>
        <w:rPr>
          <w:sz w:val="20"/>
          <w:szCs w:val="20"/>
          <w:color w:val="auto"/>
        </w:rPr>
      </w:pPr>
      <w:r>
        <w:rPr>
          <w:rFonts w:ascii="Times New Roman" w:cs="Times New Roman" w:eastAsia="Times New Roman" w:hAnsi="Times New Roman"/>
          <w:sz w:val="16"/>
          <w:szCs w:val="16"/>
          <w:color w:val="auto"/>
        </w:rPr>
        <w:t>In no event will any stock dividend, stock split, reverse stock split, combination of stock, reclassification or recapitalization be declared or made on any series of Common Stock (each, a “</w:t>
      </w:r>
      <w:r>
        <w:rPr>
          <w:rFonts w:ascii="Times New Roman" w:cs="Times New Roman" w:eastAsia="Times New Roman" w:hAnsi="Times New Roman"/>
          <w:sz w:val="16"/>
          <w:szCs w:val="16"/>
          <w:i w:val="1"/>
          <w:iCs w:val="1"/>
          <w:color w:val="auto"/>
        </w:rPr>
        <w:t>Stock Adjustment</w:t>
      </w:r>
      <w:r>
        <w:rPr>
          <w:rFonts w:ascii="Times New Roman" w:cs="Times New Roman" w:eastAsia="Times New Roman" w:hAnsi="Times New Roman"/>
          <w:sz w:val="16"/>
          <w:szCs w:val="16"/>
          <w:color w:val="auto"/>
        </w:rPr>
        <w:t>”) unless:</w:t>
      </w:r>
    </w:p>
    <w:p>
      <w:pPr>
        <w:spacing w:after="0" w:line="145" w:lineRule="exact"/>
        <w:rPr>
          <w:sz w:val="20"/>
          <w:szCs w:val="20"/>
          <w:color w:val="auto"/>
        </w:rPr>
      </w:pPr>
    </w:p>
    <w:p>
      <w:pPr>
        <w:ind w:left="560" w:hanging="282"/>
        <w:spacing w:after="0"/>
        <w:tabs>
          <w:tab w:leader="none" w:pos="5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 (as defined in the Second A&amp;R LLC Agreement).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190" w:lineRule="exact"/>
        <w:rPr>
          <w:sz w:val="20"/>
          <w:szCs w:val="20"/>
          <w:color w:val="auto"/>
        </w:rPr>
      </w:pPr>
    </w:p>
    <w:p>
      <w:pPr>
        <w:jc w:val="both"/>
        <w:ind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B common stock</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41" w:lineRule="exact"/>
        <w:rPr>
          <w:sz w:val="20"/>
          <w:szCs w:val="20"/>
          <w:color w:val="auto"/>
        </w:rPr>
      </w:pPr>
    </w:p>
    <w:p>
      <w:pPr>
        <w:jc w:val="both"/>
        <w:ind w:right="20"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B common stock will be entitled to one vote for each share of Class B common stock held of record by such holder on all matters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or Combinations. </w:t>
      </w:r>
      <w:r>
        <w:rPr>
          <w:rFonts w:ascii="Times New Roman" w:cs="Times New Roman" w:eastAsia="Times New Roman" w:hAnsi="Times New Roman"/>
          <w:sz w:val="16"/>
          <w:szCs w:val="16"/>
          <w:color w:val="auto"/>
        </w:rPr>
        <w:t>Dividends of cash or property may not be declared or paid on shares of Class B common stock.</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Further, in no event will any Stock Adjustment be declared or made on any series of Common Stock unless:</w:t>
      </w:r>
    </w:p>
    <w:p>
      <w:pPr>
        <w:spacing w:after="0" w:line="194" w:lineRule="exact"/>
        <w:rPr>
          <w:sz w:val="20"/>
          <w:szCs w:val="20"/>
          <w:color w:val="auto"/>
        </w:rPr>
      </w:pPr>
    </w:p>
    <w:p>
      <w:pPr>
        <w:ind w:left="560" w:hanging="282"/>
        <w:spacing w:after="0"/>
        <w:tabs>
          <w:tab w:leader="none" w:pos="5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30" w:name="page131"/>
    <w:bookmarkEnd w:id="130"/>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59" w:lineRule="exact"/>
        <w:rPr>
          <w:sz w:val="20"/>
          <w:szCs w:val="20"/>
          <w:color w:val="auto"/>
        </w:rPr>
      </w:pPr>
    </w:p>
    <w:p>
      <w:pPr>
        <w:jc w:val="both"/>
        <w:ind w:right="20"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Subscription Rights. </w:t>
      </w:r>
      <w:r>
        <w:rPr>
          <w:rFonts w:ascii="Times New Roman" w:cs="Times New Roman" w:eastAsia="Times New Roman" w:hAnsi="Times New Roman"/>
          <w:sz w:val="16"/>
          <w:szCs w:val="16"/>
          <w:color w:val="auto"/>
        </w:rPr>
        <w:t>To the extent Class B Units are issued pursuant to the Second A&amp;R LLC Agreement to any stockholder of OPAL other than a Qualified Stockholder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C common stock</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OPAL did not have any shares of Class C common stock issued and outstanding. Shares of Class C common stock may be converted to shares of Class A common stock, as discussed further below.</w:t>
      </w:r>
    </w:p>
    <w:p>
      <w:pPr>
        <w:spacing w:after="0" w:line="141"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C common stock will be entitled to five votes for each share of Class C common stock held of record by such holder on all matters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0" w:lineRule="exact"/>
        <w:rPr>
          <w:sz w:val="20"/>
          <w:szCs w:val="20"/>
          <w:color w:val="auto"/>
        </w:rPr>
      </w:pPr>
    </w:p>
    <w:p>
      <w:pPr>
        <w:jc w:val="both"/>
        <w:ind w:right="20"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or Combinations. </w:t>
      </w:r>
      <w:r>
        <w:rPr>
          <w:rFonts w:ascii="Times New Roman" w:cs="Times New Roman" w:eastAsia="Times New Roman" w:hAnsi="Times New Roman"/>
          <w:sz w:val="16"/>
          <w:szCs w:val="16"/>
          <w:color w:val="auto"/>
        </w:rPr>
        <w:t>Subject to applicable law and the rights, if any, of the holders of outstanding series of OPAL Preferred Stock or any class or series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no event will any Stock Adjustment be declared or made on any series of Common Stock unless:</w:t>
      </w:r>
    </w:p>
    <w:p>
      <w:pPr>
        <w:spacing w:after="0" w:line="194" w:lineRule="exact"/>
        <w:rPr>
          <w:sz w:val="20"/>
          <w:szCs w:val="20"/>
          <w:color w:val="auto"/>
        </w:rPr>
      </w:pPr>
    </w:p>
    <w:p>
      <w:pPr>
        <w:ind w:left="560" w:hanging="282"/>
        <w:spacing w:after="0"/>
        <w:tabs>
          <w:tab w:leader="none" w:pos="5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190" w:lineRule="exact"/>
        <w:rPr>
          <w:sz w:val="20"/>
          <w:szCs w:val="20"/>
          <w:color w:val="auto"/>
        </w:rPr>
      </w:pPr>
    </w:p>
    <w:p>
      <w:pPr>
        <w:jc w:val="both"/>
        <w:ind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31" w:name="page132"/>
    <w:bookmarkEnd w:id="131"/>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Conversion.</w:t>
      </w:r>
    </w:p>
    <w:p>
      <w:pPr>
        <w:spacing w:after="0" w:line="196" w:lineRule="exact"/>
        <w:rPr>
          <w:sz w:val="20"/>
          <w:szCs w:val="20"/>
          <w:color w:val="auto"/>
        </w:rPr>
      </w:pPr>
    </w:p>
    <w:p>
      <w:pPr>
        <w:jc w:val="both"/>
        <w:ind w:left="560" w:hanging="282"/>
        <w:spacing w:after="0" w:line="262"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Voluntary Conversion</w:t>
      </w:r>
      <w:r>
        <w:rPr>
          <w:rFonts w:ascii="Times New Roman" w:cs="Times New Roman" w:eastAsia="Times New Roman" w:hAnsi="Times New Roman"/>
          <w:sz w:val="16"/>
          <w:szCs w:val="16"/>
          <w:color w:val="auto"/>
        </w:rPr>
        <w:t>. Each share of Class C common stock shall be convertible into one share of Class A common stock at the option of the holder thereof,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5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Automatic Conversion</w:t>
      </w:r>
      <w:r>
        <w:rPr>
          <w:rFonts w:ascii="Times New Roman" w:cs="Times New Roman" w:eastAsia="Times New Roman" w:hAnsi="Times New Roman"/>
          <w:sz w:val="16"/>
          <w:szCs w:val="16"/>
          <w:color w:val="auto"/>
        </w:rPr>
        <w:t>. Each share of Class C common stock shall automatically, without any further action, convert into one share of Class A common stock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(as defined in the Charter), other than a Transfer to a Qualified Stockholder (as defined in the Charter).</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D common stock</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As of November 16, 2022, OPAL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56"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D common stock will be entitled to five votes for each share of Class D common stock held of record by such holder on all matters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and Combinations. </w:t>
      </w:r>
      <w:r>
        <w:rPr>
          <w:rFonts w:ascii="Times New Roman" w:cs="Times New Roman" w:eastAsia="Times New Roman" w:hAnsi="Times New Roman"/>
          <w:sz w:val="16"/>
          <w:szCs w:val="16"/>
          <w:color w:val="auto"/>
        </w:rPr>
        <w:t>Dividends of cash or property may not be declared or paid on shares of Class D common stock.</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Further, in no event will any Stock Adjustment be declared or made on any series of Common Stock unless:</w:t>
      </w:r>
    </w:p>
    <w:p>
      <w:pPr>
        <w:spacing w:after="0" w:line="194" w:lineRule="exact"/>
        <w:rPr>
          <w:sz w:val="20"/>
          <w:szCs w:val="20"/>
          <w:color w:val="auto"/>
        </w:rPr>
      </w:pPr>
    </w:p>
    <w:p>
      <w:pPr>
        <w:ind w:left="560" w:hanging="282"/>
        <w:spacing w:after="0"/>
        <w:tabs>
          <w:tab w:leader="none" w:pos="5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19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32" w:name="page133"/>
    <w:bookmarkEnd w:id="132"/>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Subscription Rights. </w:t>
      </w:r>
      <w:r>
        <w:rPr>
          <w:rFonts w:ascii="Times New Roman" w:cs="Times New Roman" w:eastAsia="Times New Roman" w:hAnsi="Times New Roman"/>
          <w:sz w:val="16"/>
          <w:szCs w:val="16"/>
          <w:color w:val="auto"/>
        </w:rPr>
        <w:t>To the extent that Class B Units are issued pursuant to the Second A&amp;R LLC Agreement to any Qualified Stockholder, such Qualified Stockholder shall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Conversion.</w:t>
      </w:r>
    </w:p>
    <w:p>
      <w:pPr>
        <w:spacing w:after="0" w:line="196" w:lineRule="exact"/>
        <w:rPr>
          <w:sz w:val="20"/>
          <w:szCs w:val="20"/>
          <w:color w:val="auto"/>
        </w:rPr>
      </w:pPr>
    </w:p>
    <w:p>
      <w:pPr>
        <w:jc w:val="both"/>
        <w:ind w:left="560" w:right="20" w:hanging="282"/>
        <w:spacing w:after="0" w:line="262"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Voluntary Conversion</w:t>
      </w:r>
      <w:r>
        <w:rPr>
          <w:rFonts w:ascii="Times New Roman" w:cs="Times New Roman" w:eastAsia="Times New Roman" w:hAnsi="Times New Roman"/>
          <w:sz w:val="16"/>
          <w:szCs w:val="16"/>
          <w:color w:val="auto"/>
        </w:rPr>
        <w:t>. Each share of Class D common stock shall be convertible into one share of Class B common stock at the option of the holder thereof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pacing w:after="0" w:line="15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Automatic Conversion</w:t>
      </w:r>
      <w:r>
        <w:rPr>
          <w:rFonts w:ascii="Times New Roman" w:cs="Times New Roman" w:eastAsia="Times New Roman" w:hAnsi="Times New Roman"/>
          <w:sz w:val="16"/>
          <w:szCs w:val="16"/>
          <w:color w:val="auto"/>
        </w:rPr>
        <w:t>. Each share of Class D common stock shall automatically, without any further action, convert into one share of Class B common stock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other than a Transfer to a Qualified Stockholder.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Cancellation of Class B common stock and Class D common stock</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Preferred Stock</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rights of the Common Stock, the OPAL Preferred Stock or any future class or series of OPAL Preferred Stock or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But Unissued OPAL Capital Stock</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33" w:name="page134"/>
    <w:bookmarkEnd w:id="133"/>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5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Anti-Takeover Effects of Provisions of Delaware Law and the Organizational Documents</w:t>
      </w:r>
    </w:p>
    <w:p>
      <w:pPr>
        <w:spacing w:after="0" w:line="196"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6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These provisions include:</w:t>
      </w:r>
    </w:p>
    <w:p>
      <w:pPr>
        <w:spacing w:after="0" w:line="190" w:lineRule="exact"/>
        <w:rPr>
          <w:sz w:val="20"/>
          <w:szCs w:val="20"/>
          <w:color w:val="auto"/>
        </w:rPr>
      </w:pPr>
    </w:p>
    <w:p>
      <w:pPr>
        <w:jc w:val="both"/>
        <w:ind w:left="5" w:right="20" w:firstLine="28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Action by Written Consent; Special Meeting of Stockholder. </w:t>
      </w:r>
      <w:r>
        <w:rPr>
          <w:rFonts w:ascii="Times New Roman" w:cs="Times New Roman" w:eastAsia="Times New Roman" w:hAnsi="Times New Roman"/>
          <w:sz w:val="15"/>
          <w:szCs w:val="15"/>
          <w:color w:val="auto"/>
        </w:rPr>
        <w:t>Subject to, with respect to the OPAL Preferred Stock, the terms of any series of OPAL Preferred Stock, (i)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w:t>
      </w:r>
    </w:p>
    <w:p>
      <w:pPr>
        <w:spacing w:after="0" w:line="2" w:lineRule="exact"/>
        <w:rPr>
          <w:sz w:val="20"/>
          <w:szCs w:val="20"/>
          <w:color w:val="auto"/>
        </w:rPr>
      </w:pPr>
    </w:p>
    <w:p>
      <w:pPr>
        <w:jc w:val="both"/>
        <w:ind w:left="5" w:right="20" w:hanging="5"/>
        <w:spacing w:after="0" w:line="249" w:lineRule="auto"/>
        <w:tabs>
          <w:tab w:leader="none" w:pos="25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16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5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Election and Removal of Directors. </w:t>
      </w:r>
      <w:r>
        <w:rPr>
          <w:rFonts w:ascii="Times New Roman" w:cs="Times New Roman" w:eastAsia="Times New Roman" w:hAnsi="Times New Roman"/>
          <w:sz w:val="16"/>
          <w:szCs w:val="16"/>
          <w:color w:val="auto"/>
        </w:rPr>
        <w:t>Subject to any limitations imposed by applicable law and except for additional directors of OPAL elected by the holders of any series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3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134" w:name="page135"/>
    <w:bookmarkEnd w:id="134"/>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Other Limitations on Stockholder Actions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Bylaws also impose some procedural requirements on stockholders who wish to:</w:t>
      </w:r>
    </w:p>
    <w:p>
      <w:pPr>
        <w:spacing w:after="0" w:line="198" w:lineRule="exact"/>
        <w:rPr>
          <w:sz w:val="20"/>
          <w:szCs w:val="20"/>
          <w:color w:val="auto"/>
        </w:rPr>
      </w:pPr>
    </w:p>
    <w:p>
      <w:pPr>
        <w:ind w:left="560" w:hanging="282"/>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nominations in the election of directors; or</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other business to be brought before an annual meeting of stockholders.</w:t>
      </w:r>
    </w:p>
    <w:p>
      <w:pPr>
        <w:spacing w:after="0" w:line="194"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45" w:lineRule="exact"/>
        <w:rPr>
          <w:sz w:val="20"/>
          <w:szCs w:val="20"/>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record address of each stockholder proposing business, as they appear in OPAL’s books;</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or series and number of shares of stock of OPAL, directly or indirectly, held of record and beneficially by the Proponent or Stockholder Associated Person, as such terms are defined in the Bylaws;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all persons with whom the stockholder is acting in concert and a description of all arrangements and understandings with those persons;</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5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the business or nomination to be brought before the meeting, the text of the proposal and the reasons for conducting such business at the meeting;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Proponent or Stockholder Associated Person in such business.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Bylaws also set out the timeliness requirements for delivery of such notice.</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on Liability and Indemnification of Officers and Directors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Organizational Documents provide indemnification for OPAL’s directors and officers to the fullest extent permitted by the DGCL.</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Agreements</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July 21, 2022, OPAL entered into certain Indemnification Agreements (“</w:t>
      </w:r>
      <w:r>
        <w:rPr>
          <w:rFonts w:ascii="Times New Roman" w:cs="Times New Roman" w:eastAsia="Times New Roman" w:hAnsi="Times New Roman"/>
          <w:sz w:val="16"/>
          <w:szCs w:val="16"/>
          <w:i w:val="1"/>
          <w:iCs w:val="1"/>
          <w:color w:val="auto"/>
        </w:rPr>
        <w:t>Indemnification Agreements</w:t>
      </w:r>
      <w:r>
        <w:rPr>
          <w:rFonts w:ascii="Times New Roman" w:cs="Times New Roman" w:eastAsia="Times New Roman" w:hAnsi="Times New Roman"/>
          <w:sz w:val="16"/>
          <w:szCs w:val="16"/>
          <w:color w:val="auto"/>
        </w:rPr>
        <w:t>”) with each of its directors and executive officers pursuant to which, subject to certain exceptions, 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color w:val="auto"/>
        </w:rPr>
        <w:t>Exclusive Forum</w:t>
      </w:r>
    </w:p>
    <w:p>
      <w:pPr>
        <w:spacing w:after="0" w:line="196" w:lineRule="exact"/>
        <w:rPr>
          <w:sz w:val="20"/>
          <w:szCs w:val="20"/>
          <w:color w:val="auto"/>
        </w:rPr>
      </w:pPr>
    </w:p>
    <w:p>
      <w:pPr>
        <w:jc w:val="both"/>
        <w:ind w:firstLine="283"/>
        <w:spacing w:after="0" w:line="267" w:lineRule="auto"/>
        <w:rPr>
          <w:sz w:val="20"/>
          <w:szCs w:val="20"/>
          <w:color w:val="auto"/>
        </w:rPr>
      </w:pPr>
      <w:r>
        <w:rPr>
          <w:rFonts w:ascii="Times New Roman" w:cs="Times New Roman" w:eastAsia="Times New Roman" w:hAnsi="Times New Roman"/>
          <w:sz w:val="15"/>
          <w:szCs w:val="15"/>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any action, the subject matter of which is within the scope of the exclusive forum provisions of the Charter, is filed in a court other than a court located within the State of Delaware (a “</w:t>
      </w:r>
      <w:r>
        <w:rPr>
          <w:rFonts w:ascii="Times New Roman" w:cs="Times New Roman" w:eastAsia="Times New Roman" w:hAnsi="Times New Roman"/>
          <w:sz w:val="16"/>
          <w:szCs w:val="16"/>
          <w:i w:val="1"/>
          <w:iCs w:val="1"/>
          <w:color w:val="auto"/>
        </w:rPr>
        <w:t>Foreign Action</w:t>
      </w:r>
      <w:r>
        <w:rPr>
          <w:rFonts w:ascii="Times New Roman" w:cs="Times New Roman" w:eastAsia="Times New Roman" w:hAnsi="Times New Roman"/>
          <w:sz w:val="16"/>
          <w:szCs w:val="16"/>
          <w:color w:val="auto"/>
        </w:rPr>
        <w:t>”) in the name of any stockholder of OPAL,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Times New Roman" w:cs="Times New Roman" w:eastAsia="Times New Roman" w:hAnsi="Times New Roman"/>
          <w:sz w:val="16"/>
          <w:szCs w:val="16"/>
          <w:i w:val="1"/>
          <w:iCs w:val="1"/>
          <w:color w:val="auto"/>
        </w:rPr>
        <w:t>Enforcement Action</w:t>
      </w:r>
      <w:r>
        <w:rPr>
          <w:rFonts w:ascii="Times New Roman" w:cs="Times New Roman" w:eastAsia="Times New Roman" w:hAnsi="Times New Roman"/>
          <w:sz w:val="16"/>
          <w:szCs w:val="16"/>
          <w:color w:val="auto"/>
        </w:rPr>
        <w:t>”) and (ii) having service of process made upon such stockholder in any such Enforcement Action by service upon such stockholder’s counsel in the Foreign Action as agent for such stockholder.</w:t>
      </w:r>
    </w:p>
    <w:p>
      <w:pPr>
        <w:spacing w:after="0" w:line="164"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Any person or entity purchasing, holding, owning or otherwise acquiring any interest in any security of OPAL shall be deemed to have notice of and to have consented to the exclusive forum provisions of the Charter.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Registration Rights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Times New Roman" w:cs="Times New Roman" w:eastAsia="Times New Roman" w:hAnsi="Times New Roman"/>
          <w:sz w:val="16"/>
          <w:szCs w:val="16"/>
          <w:i w:val="1"/>
          <w:iCs w:val="1"/>
          <w:color w:val="auto"/>
        </w:rPr>
        <w:t>Certain Relationships and Related Party Transactions—PIPE Investors—Investor Rights Agreement.</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Public Warrants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Each OPAL whole warrant entitles the registered holder to purchase one share of Class A common stock at a price of $11.50 per share, subject to adjustment as discussed below,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on July 21, 2027, at 5:00 p.m., New York City time, or earlier upon redemption or liquidation.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36" w:name="page137"/>
    <w:bookmarkEnd w:id="136"/>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On November 8, 2022, the Company’s resale registration statement on Form S-1 was declared effective.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5" w:lineRule="exact"/>
        <w:rPr>
          <w:sz w:val="20"/>
          <w:szCs w:val="20"/>
          <w:color w:val="auto"/>
        </w:rPr>
      </w:pPr>
    </w:p>
    <w:p>
      <w:pPr>
        <w:jc w:val="both"/>
        <w:ind w:firstLine="283"/>
        <w:spacing w:after="0" w:line="265" w:lineRule="auto"/>
        <w:rPr>
          <w:sz w:val="20"/>
          <w:szCs w:val="20"/>
          <w:color w:val="auto"/>
        </w:rPr>
      </w:pPr>
      <w:r>
        <w:rPr>
          <w:rFonts w:ascii="Times New Roman" w:cs="Times New Roman" w:eastAsia="Times New Roman" w:hAnsi="Times New Roman"/>
          <w:sz w:val="15"/>
          <w:szCs w:val="15"/>
          <w:color w:val="auto"/>
        </w:rPr>
        <w:t>Under the terms of the warrant agreement, we agreed that as soon as practicable, but in no event later than twenty business days after the closing of the Business Combination, we would use our commercially reasonable efforts to file with the SEC a registration statement for the registration, under the Securities Act, of the shares of Class A common stock issuable upon exercise of the warrants, and we would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w:t>
      </w:r>
      <w:r>
        <w:rPr>
          <w:rFonts w:ascii="Times New Roman" w:cs="Times New Roman" w:eastAsia="Times New Roman" w:hAnsi="Times New Roman"/>
          <w:sz w:val="15"/>
          <w:szCs w:val="15"/>
          <w:i w:val="1"/>
          <w:iCs w:val="1"/>
          <w:color w:val="auto"/>
        </w:rPr>
        <w:t>covered security</w:t>
      </w:r>
      <w:r>
        <w:rPr>
          <w:rFonts w:ascii="Times New Roman" w:cs="Times New Roman" w:eastAsia="Times New Roman" w:hAnsi="Times New Roman"/>
          <w:sz w:val="15"/>
          <w:szCs w:val="15"/>
          <w:color w:val="auto"/>
        </w:rPr>
        <w:t>” under Section 18(b)(1) of the Securities Act, we may, at our option, require holders of Public Warrants who exercise their warrants to do so on a “</w:t>
      </w:r>
      <w:r>
        <w:rPr>
          <w:rFonts w:ascii="Times New Roman" w:cs="Times New Roman" w:eastAsia="Times New Roman" w:hAnsi="Times New Roman"/>
          <w:sz w:val="15"/>
          <w:szCs w:val="15"/>
          <w:i w:val="1"/>
          <w:iCs w:val="1"/>
          <w:color w:val="auto"/>
        </w:rPr>
        <w:t>cashless basis</w:t>
      </w:r>
      <w:r>
        <w:rPr>
          <w:rFonts w:ascii="Times New Roman" w:cs="Times New Roman" w:eastAsia="Times New Roman" w:hAnsi="Times New Roman"/>
          <w:sz w:val="15"/>
          <w:szCs w:val="15"/>
          <w:color w:val="auto"/>
        </w:rPr>
        <w:t>”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We further agreed under the terms of the warrant agreement that if a registration statement covering the shares of Class A common stock issuable upon exercise of the warrants were not effective by the 60th day after the closing of the Business Combination, warrant holders may, until such time as there is an effective registration statement and during any period when we will have failed to maintain an effective registration statement, exercise warrants on a “</w:t>
      </w:r>
      <w:r>
        <w:rPr>
          <w:rFonts w:ascii="Times New Roman" w:cs="Times New Roman" w:eastAsia="Times New Roman" w:hAnsi="Times New Roman"/>
          <w:sz w:val="15"/>
          <w:szCs w:val="15"/>
          <w:i w:val="1"/>
          <w:iCs w:val="1"/>
          <w:color w:val="auto"/>
        </w:rPr>
        <w:t>cashless basis</w:t>
      </w:r>
      <w:r>
        <w:rPr>
          <w:rFonts w:ascii="Times New Roman" w:cs="Times New Roman" w:eastAsia="Times New Roman" w:hAnsi="Times New Roman"/>
          <w:sz w:val="15"/>
          <w:szCs w:val="15"/>
          <w:color w:val="auto"/>
        </w:rPr>
        <w:t>” in accordance with Section 3(a)(9) of the Securities Act or another exemption, but we would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w:t>
      </w:r>
      <w:r>
        <w:rPr>
          <w:rFonts w:ascii="Times New Roman" w:cs="Times New Roman" w:eastAsia="Times New Roman" w:hAnsi="Times New Roman"/>
          <w:sz w:val="15"/>
          <w:szCs w:val="15"/>
          <w:i w:val="1"/>
          <w:iCs w:val="1"/>
          <w:color w:val="auto"/>
        </w:rPr>
        <w:t>fair market value</w:t>
      </w:r>
      <w:r>
        <w:rPr>
          <w:rFonts w:ascii="Times New Roman" w:cs="Times New Roman" w:eastAsia="Times New Roman" w:hAnsi="Times New Roman"/>
          <w:sz w:val="15"/>
          <w:szCs w:val="15"/>
          <w:color w:val="auto"/>
        </w:rPr>
        <w:t>” less the exercise price of the warrants by (y) the fair market value and (B) 0.361. The “</w:t>
      </w:r>
      <w:r>
        <w:rPr>
          <w:rFonts w:ascii="Times New Roman" w:cs="Times New Roman" w:eastAsia="Times New Roman" w:hAnsi="Times New Roman"/>
          <w:sz w:val="15"/>
          <w:szCs w:val="15"/>
          <w:i w:val="1"/>
          <w:iCs w:val="1"/>
          <w:color w:val="auto"/>
        </w:rPr>
        <w:t>fair market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value</w:t>
      </w:r>
      <w:r>
        <w:rPr>
          <w:rFonts w:ascii="Times New Roman" w:cs="Times New Roman" w:eastAsia="Times New Roman" w:hAnsi="Times New Roman"/>
          <w:sz w:val="15"/>
          <w:szCs w:val="15"/>
          <w:color w:val="auto"/>
        </w:rPr>
        <w:t>” as used in this paragraph shall mean the volume weighted average price of the Class A common stock for the 10 trading days ending on the trading day prior to the date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the notice of exercise is received by the warrant agent. On November 8, 2022, the Company’s resale registration statement on Form S-1 was declared effective.</w:t>
      </w:r>
    </w:p>
    <w:p>
      <w:pPr>
        <w:spacing w:after="0" w:line="161" w:lineRule="exact"/>
        <w:rPr>
          <w:sz w:val="20"/>
          <w:szCs w:val="20"/>
          <w:color w:val="auto"/>
        </w:rPr>
      </w:pPr>
    </w:p>
    <w:p>
      <w:pPr>
        <w:jc w:val="both"/>
        <w:ind w:right="20" w:firstLine="283"/>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of warrants when the price per share of Class A common stock equals or exceeds $18.00. </w:t>
      </w:r>
      <w:r>
        <w:rPr>
          <w:rFonts w:ascii="Times New Roman" w:cs="Times New Roman" w:eastAsia="Times New Roman" w:hAnsi="Times New Roman"/>
          <w:sz w:val="16"/>
          <w:szCs w:val="16"/>
          <w:color w:val="auto"/>
        </w:rPr>
        <w:t>Once the warrants become exercisable, we may redeem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outstanding warrants:</w:t>
      </w:r>
    </w:p>
    <w:p>
      <w:pPr>
        <w:spacing w:after="0" w:line="142" w:lineRule="exact"/>
        <w:rPr>
          <w:sz w:val="20"/>
          <w:szCs w:val="20"/>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 to each warrant holder; and</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6"/>
          <w:szCs w:val="16"/>
          <w:i w:val="1"/>
          <w:iCs w:val="1"/>
          <w:color w:val="auto"/>
        </w:rPr>
        <w:t>Warrants — Public Warrants — Anti-Dilution Adjustments</w:t>
      </w:r>
      <w:r>
        <w:rPr>
          <w:rFonts w:ascii="Times New Roman" w:cs="Times New Roman" w:eastAsia="Times New Roman" w:hAnsi="Times New Roman"/>
          <w:sz w:val="16"/>
          <w:szCs w:val="16"/>
          <w:color w:val="auto"/>
        </w:rPr>
        <w:t>”) for any 20 trading days within a 30-trading day period ending three trading days before we send the notice of redemption to the warrant holders.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37" w:name="page138"/>
    <w:bookmarkEnd w:id="137"/>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have established the last of the redemption criteria discussed above to prevent a redemption call unless there is at the time of the call a significant premium to the warrant exercise price.</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6"/>
          <w:szCs w:val="16"/>
          <w:i w:val="1"/>
          <w:iCs w:val="1"/>
          <w:color w:val="auto"/>
        </w:rPr>
        <w:t>Warrants — Public Warrants — Anti-dilution Adjustments</w:t>
      </w:r>
      <w:r>
        <w:rPr>
          <w:rFonts w:ascii="Times New Roman" w:cs="Times New Roman" w:eastAsia="Times New Roman" w:hAnsi="Times New Roman"/>
          <w:sz w:val="16"/>
          <w:szCs w:val="16"/>
          <w:color w:val="auto"/>
        </w:rPr>
        <w:t>”) as well as the $11.50 (for whole shares) warrant exercise price after the redemption notice is issued.</w:t>
      </w:r>
    </w:p>
    <w:p>
      <w:pPr>
        <w:spacing w:after="0" w:line="156" w:lineRule="exact"/>
        <w:rPr>
          <w:sz w:val="20"/>
          <w:szCs w:val="20"/>
          <w:color w:val="auto"/>
        </w:rPr>
      </w:pPr>
    </w:p>
    <w:p>
      <w:pPr>
        <w:jc w:val="both"/>
        <w:ind w:right="20" w:firstLine="283"/>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of warrants when the price per Class A common stock equals or exceeds $10.00. </w:t>
      </w:r>
      <w:r>
        <w:rPr>
          <w:rFonts w:ascii="Times New Roman" w:cs="Times New Roman" w:eastAsia="Times New Roman" w:hAnsi="Times New Roman"/>
          <w:sz w:val="16"/>
          <w:szCs w:val="16"/>
          <w:color w:val="auto"/>
        </w:rPr>
        <w:t>Once the warrants become exercisable, we may redeem the outstanding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warrants:</w:t>
      </w:r>
    </w:p>
    <w:p>
      <w:pPr>
        <w:spacing w:after="0" w:line="142" w:lineRule="exact"/>
        <w:rPr>
          <w:sz w:val="20"/>
          <w:szCs w:val="20"/>
          <w:color w:val="auto"/>
        </w:rPr>
      </w:pPr>
    </w:p>
    <w:p>
      <w:pPr>
        <w:ind w:left="560" w:hanging="282"/>
        <w:spacing w:after="0"/>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of Class A common stock (as defined below) except as otherwise described below;</w:t>
      </w:r>
    </w:p>
    <w:p>
      <w:pPr>
        <w:spacing w:after="0" w:line="155"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Times New Roman" w:cs="Times New Roman" w:eastAsia="Times New Roman" w:hAnsi="Times New Roman"/>
          <w:sz w:val="16"/>
          <w:szCs w:val="16"/>
          <w:i w:val="1"/>
          <w:iCs w:val="1"/>
          <w:color w:val="auto"/>
        </w:rPr>
        <w:t>“— Warrants — Public Warrants — Anti-Dilution Adjustments</w:t>
      </w:r>
      <w:r>
        <w:rPr>
          <w:rFonts w:ascii="Times New Roman" w:cs="Times New Roman" w:eastAsia="Times New Roman" w:hAnsi="Times New Roman"/>
          <w:sz w:val="16"/>
          <w:szCs w:val="16"/>
          <w:color w:val="auto"/>
        </w:rPr>
        <w:t>”) for any 20 trading days within the 30-trading day period ending three trading days before we send the notice of redemption to the warrant holders; and</w:t>
      </w:r>
    </w:p>
    <w:p>
      <w:pPr>
        <w:spacing w:after="0" w:line="155"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Times New Roman" w:cs="Times New Roman" w:eastAsia="Times New Roman" w:hAnsi="Times New Roman"/>
          <w:sz w:val="16"/>
          <w:szCs w:val="16"/>
          <w:i w:val="1"/>
          <w:iCs w:val="1"/>
          <w:color w:val="auto"/>
        </w:rPr>
        <w:t>Warrants — Public Warrants — Anti-dilution Adjustments</w:t>
      </w:r>
      <w:r>
        <w:rPr>
          <w:rFonts w:ascii="Times New Roman" w:cs="Times New Roman" w:eastAsia="Times New Roman" w:hAnsi="Times New Roman"/>
          <w:sz w:val="16"/>
          <w:szCs w:val="16"/>
          <w:color w:val="auto"/>
        </w:rPr>
        <w:t>”), the Private Placement Warrants must also be concurrently called for redemption on the same terms as the outstanding Public Warrants, as described above.</w:t>
      </w:r>
    </w:p>
    <w:p>
      <w:pPr>
        <w:spacing w:after="0" w:line="160"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38" w:name="page139"/>
    <w:bookmarkEnd w:id="138"/>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below. If the number of shares of Class A common stock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w:t>
      </w:r>
    </w:p>
    <w:p>
      <w:pPr>
        <w:spacing w:after="0" w:line="2" w:lineRule="exact"/>
        <w:rPr>
          <w:sz w:val="20"/>
          <w:szCs w:val="20"/>
          <w:color w:val="auto"/>
        </w:rPr>
      </w:pPr>
    </w:p>
    <w:p>
      <w:pPr>
        <w:jc w:val="both"/>
        <w:ind w:left="5" w:hanging="5"/>
        <w:spacing w:after="0" w:line="247" w:lineRule="auto"/>
        <w:tabs>
          <w:tab w:leader="none" w:pos="22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 adjustment pursuant to the fifth paragraph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xml:space="preserve">” and the denominator of which is $10.00 and (b) in the case of an adjustment pursuant to the second paragraph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below, the adjusted share prices in the column headings will equal the unadjusted share price less the decrease in the exercise price of a warrant pursuant to such exercise price adjustment. As used herein, the term, “</w:t>
      </w:r>
      <w:r>
        <w:rPr>
          <w:rFonts w:ascii="Times New Roman" w:cs="Times New Roman" w:eastAsia="Times New Roman" w:hAnsi="Times New Roman"/>
          <w:sz w:val="16"/>
          <w:szCs w:val="16"/>
          <w:i w:val="1"/>
          <w:iCs w:val="1"/>
          <w:color w:val="auto"/>
        </w:rPr>
        <w:t>Market Value</w:t>
      </w:r>
      <w:r>
        <w:rPr>
          <w:rFonts w:ascii="Times New Roman" w:cs="Times New Roman" w:eastAsia="Times New Roman" w:hAnsi="Times New Roman"/>
          <w:sz w:val="16"/>
          <w:szCs w:val="16"/>
          <w:color w:val="auto"/>
        </w:rPr>
        <w:t>” means the volume weighted average trading price of the shares of Class A Common Stock during the 20 trading day period starting on the trading day prior to the Closing Date and the term, “</w:t>
      </w:r>
      <w:r>
        <w:rPr>
          <w:rFonts w:ascii="Times New Roman" w:cs="Times New Roman" w:eastAsia="Times New Roman" w:hAnsi="Times New Roman"/>
          <w:sz w:val="16"/>
          <w:szCs w:val="16"/>
          <w:i w:val="1"/>
          <w:iCs w:val="1"/>
          <w:color w:val="auto"/>
        </w:rPr>
        <w:t>Newly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Issued Price</w:t>
      </w:r>
      <w:r>
        <w:rPr>
          <w:rFonts w:ascii="Times New Roman" w:cs="Times New Roman" w:eastAsia="Times New Roman" w:hAnsi="Times New Roman"/>
          <w:sz w:val="16"/>
          <w:szCs w:val="16"/>
          <w:color w:val="auto"/>
        </w:rPr>
        <w:t>” means an issue price or effective issue price of less than $9.20 per ordinary share, with such issue price or effective issue price to be determined in good faith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and, in the case of any such issuance to our sponsor or its affiliates, without taking into account any founder shares held by our sponsor or such affiliates, as applicable, prior to such issuance.</w:t>
      </w:r>
    </w:p>
    <w:p>
      <w:pPr>
        <w:spacing w:after="0" w:line="167"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Redemption Date</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10"/>
          </w:tcPr>
          <w:p>
            <w:pPr>
              <w:ind w:left="600"/>
              <w:spacing w:after="0"/>
              <w:rPr>
                <w:sz w:val="20"/>
                <w:szCs w:val="20"/>
                <w:color w:val="auto"/>
              </w:rPr>
            </w:pPr>
            <w:r>
              <w:rPr>
                <w:rFonts w:ascii="Times New Roman" w:cs="Times New Roman" w:eastAsia="Times New Roman" w:hAnsi="Times New Roman"/>
                <w:sz w:val="16"/>
                <w:szCs w:val="16"/>
                <w:b w:val="1"/>
                <w:bCs w:val="1"/>
                <w:color w:val="auto"/>
              </w:rPr>
              <w:t>Fair Market Value of shares of Class A common stock</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4"/>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 to expiration of warrants)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$10.00</w:t>
            </w:r>
          </w:p>
        </w:tc>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11.00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12.00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13.00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14.00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15.00</w:t>
            </w:r>
          </w:p>
        </w:tc>
        <w:tc>
          <w:tcPr>
            <w:tcW w:w="200" w:type="dxa"/>
            <w:vAlign w:val="bottom"/>
          </w:tcPr>
          <w:p>
            <w:pPr>
              <w:spacing w:after="0"/>
              <w:rPr>
                <w:sz w:val="17"/>
                <w:szCs w:val="17"/>
                <w:color w:val="auto"/>
              </w:rPr>
            </w:pPr>
          </w:p>
        </w:tc>
        <w:tc>
          <w:tcPr>
            <w:tcW w:w="82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16.00</w:t>
            </w:r>
          </w:p>
        </w:tc>
        <w:tc>
          <w:tcPr>
            <w:tcW w:w="220" w:type="dxa"/>
            <w:vAlign w:val="bottom"/>
          </w:tcPr>
          <w:p>
            <w:pPr>
              <w:spacing w:after="0"/>
              <w:rPr>
                <w:sz w:val="17"/>
                <w:szCs w:val="17"/>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17.00</w:t>
            </w:r>
          </w:p>
        </w:tc>
        <w:tc>
          <w:tcPr>
            <w:tcW w:w="220" w:type="dxa"/>
            <w:vAlign w:val="bottom"/>
          </w:tcPr>
          <w:p>
            <w:pPr>
              <w:spacing w:after="0"/>
              <w:rPr>
                <w:sz w:val="17"/>
                <w:szCs w:val="17"/>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18.00</w:t>
            </w:r>
          </w:p>
        </w:tc>
        <w:tc>
          <w:tcPr>
            <w:tcW w:w="120" w:type="dxa"/>
            <w:vAlign w:val="bottom"/>
          </w:tcPr>
          <w:p>
            <w:pPr>
              <w:spacing w:after="0"/>
              <w:rPr>
                <w:sz w:val="17"/>
                <w:szCs w:val="17"/>
                <w:color w:val="auto"/>
              </w:rPr>
            </w:pPr>
          </w:p>
        </w:tc>
      </w:tr>
      <w:tr>
        <w:trPr>
          <w:trHeight w:val="18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60 months</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0.261</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0.281</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0.297</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0.311</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0.324</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0.348</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8"/>
              </w:rPr>
              <w:t>0.358</w:t>
            </w: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8"/>
              </w:rPr>
              <w:t>0.361</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57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0.257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0.277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0.310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0.324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0.348</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0.358</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54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0.252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0.291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0.307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0.335</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0.347</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0.357</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51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0.246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0.287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0.304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0.320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0.333</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0.346</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0.357</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48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0.241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0.263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0.283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0.301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0.332</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0.344</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0.356</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45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0.235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0.258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0.279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0.315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0.330</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0.343</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0.356</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42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0.228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0.252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0.294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0.342</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0.355</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39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0.221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0.246</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0.309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0.340</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0.354</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36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0.213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0.239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0.263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0.285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0.305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0.323</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0.339</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0.353</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33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0.205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0.257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0.280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0.301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0.320</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0.337</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0.352</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0.196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0.224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0.250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0.297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0.316</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0.335</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0.351</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27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0.185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0.214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0.242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0.313</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0.332</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0.350</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24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0.173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0.204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0.233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0.260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0.329</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0.348</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0.161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0.223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0.252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0.279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0.304</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0.326</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0.347</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18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0.146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0.179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0.211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0.242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0.322</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0.345</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0.130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0.164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0.291</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0.317</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0.342</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0.111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0.146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0.181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0.216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0.250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0.282</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0.312</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0.339</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0.090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0.162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0.272</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0.305</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0.336</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0.065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0.099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0.137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0.178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0.259</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0.296</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0.331</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0.034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0.065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0.104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0.150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0.243</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0.286</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0.326</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0.042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0.115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0.179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0.233</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0.281</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0.323</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bl>
    <w:p>
      <w:pPr>
        <w:spacing w:after="0" w:line="172" w:lineRule="exact"/>
        <w:rPr>
          <w:sz w:val="20"/>
          <w:szCs w:val="20"/>
          <w:color w:val="auto"/>
        </w:rPr>
      </w:pPr>
    </w:p>
    <w:p>
      <w:pPr>
        <w:jc w:val="both"/>
        <w:ind w:left="5" w:firstLine="283"/>
        <w:spacing w:after="0" w:line="249" w:lineRule="auto"/>
        <w:rPr>
          <w:sz w:val="20"/>
          <w:szCs w:val="20"/>
          <w:color w:val="auto"/>
        </w:rPr>
      </w:pPr>
      <w:r>
        <w:rPr>
          <w:rFonts w:ascii="Times New Roman" w:cs="Times New Roman" w:eastAsia="Times New Roman" w:hAnsi="Times New Roman"/>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3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139" w:name="page140"/>
    <w:bookmarkEnd w:id="139"/>
    <w:p>
      <w:pPr>
        <w:jc w:val="both"/>
        <w:ind w:firstLine="283"/>
        <w:spacing w:after="0" w:line="267" w:lineRule="auto"/>
        <w:rPr>
          <w:sz w:val="20"/>
          <w:szCs w:val="20"/>
          <w:color w:val="auto"/>
        </w:rPr>
      </w:pPr>
      <w:r>
        <w:rPr>
          <w:rFonts w:ascii="Times New Roman" w:cs="Times New Roman" w:eastAsia="Times New Roman" w:hAnsi="Times New Roman"/>
          <w:sz w:val="15"/>
          <w:szCs w:val="15"/>
          <w:color w:val="auto"/>
        </w:rPr>
        <w:t xml:space="preserve">This redemption feature differs from the typical warrant redemption features used in some other blank check offerings, which only provide for a redemption of warrants for cash (other than the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Times New Roman" w:cs="Times New Roman" w:eastAsia="Times New Roman" w:hAnsi="Times New Roman"/>
          <w:sz w:val="15"/>
          <w:szCs w:val="15"/>
          <w:i w:val="1"/>
          <w:iCs w:val="1"/>
          <w:color w:val="auto"/>
        </w:rPr>
        <w:t>Redemption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warrants when the price per share of Class A common stock equals or exceeds $18.00</w:t>
      </w:r>
      <w:r>
        <w:rPr>
          <w:rFonts w:ascii="Times New Roman" w:cs="Times New Roman" w:eastAsia="Times New Roman" w:hAnsi="Times New Roman"/>
          <w:sz w:val="15"/>
          <w:szCs w:val="15"/>
          <w:color w:val="auto"/>
        </w:rPr>
        <w:t>.” Holders choosing to exercise their warrants in connection with a redemption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this feature will, in 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57"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Redemption procedures.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Anti-dilution adjustments</w:t>
      </w:r>
      <w:r>
        <w:rPr>
          <w:rFonts w:ascii="Times New Roman" w:cs="Times New Roman" w:eastAsia="Times New Roman" w:hAnsi="Times New Roman"/>
          <w:sz w:val="16"/>
          <w:szCs w:val="16"/>
          <w:b w:val="1"/>
          <w:bCs w:val="1"/>
          <w:color w:val="auto"/>
        </w:rPr>
        <w:t>.</w:t>
      </w:r>
    </w:p>
    <w:p>
      <w:pPr>
        <w:spacing w:after="0" w:line="198"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w:t>
      </w:r>
      <w:r>
        <w:rPr>
          <w:rFonts w:ascii="Times New Roman" w:cs="Times New Roman" w:eastAsia="Times New Roman" w:hAnsi="Times New Roman"/>
          <w:sz w:val="16"/>
          <w:szCs w:val="16"/>
          <w:i w:val="1"/>
          <w:iCs w:val="1"/>
          <w:color w:val="auto"/>
        </w:rPr>
        <w:t>historical fair market value</w:t>
      </w:r>
      <w:r>
        <w:rPr>
          <w:rFonts w:ascii="Times New Roman" w:cs="Times New Roman" w:eastAsia="Times New Roman" w:hAnsi="Times New Roman"/>
          <w:sz w:val="16"/>
          <w:szCs w:val="16"/>
          <w:color w:val="auto"/>
        </w:rPr>
        <w:t>”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w:t>
      </w:r>
      <w:r>
        <w:rPr>
          <w:rFonts w:ascii="Times New Roman" w:cs="Times New Roman" w:eastAsia="Times New Roman" w:hAnsi="Times New Roman"/>
          <w:sz w:val="16"/>
          <w:szCs w:val="16"/>
          <w:i w:val="1"/>
          <w:iCs w:val="1"/>
          <w:color w:val="auto"/>
        </w:rPr>
        <w:t>historical fair market value</w:t>
      </w:r>
      <w:r>
        <w:rPr>
          <w:rFonts w:ascii="Times New Roman" w:cs="Times New Roman" w:eastAsia="Times New Roman" w:hAnsi="Times New Roman"/>
          <w:sz w:val="16"/>
          <w:szCs w:val="16"/>
          <w:color w:val="auto"/>
        </w:rPr>
        <w:t>”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40" w:name="page141"/>
    <w:bookmarkEnd w:id="140"/>
    <w:p>
      <w:pPr>
        <w:ind w:left="5" w:right="20" w:firstLine="283"/>
        <w:spacing w:after="0" w:line="275" w:lineRule="auto"/>
        <w:rPr>
          <w:sz w:val="20"/>
          <w:szCs w:val="20"/>
          <w:color w:val="auto"/>
        </w:rPr>
      </w:pPr>
      <w:r>
        <w:rPr>
          <w:rFonts w:ascii="Times New Roman" w:cs="Times New Roman" w:eastAsia="Times New Roman" w:hAnsi="Times New Roman"/>
          <w:sz w:val="15"/>
          <w:szCs w:val="15"/>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w:t>
      </w:r>
    </w:p>
    <w:p>
      <w:pPr>
        <w:jc w:val="both"/>
        <w:ind w:left="5" w:right="20" w:hanging="5"/>
        <w:spacing w:after="0" w:line="247" w:lineRule="auto"/>
        <w:tabs>
          <w:tab w:leader="none" w:pos="22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70"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5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60" w:lineRule="exact"/>
        <w:rPr>
          <w:sz w:val="20"/>
          <w:szCs w:val="20"/>
          <w:color w:val="auto"/>
        </w:rPr>
      </w:pPr>
    </w:p>
    <w:p>
      <w:pPr>
        <w:jc w:val="both"/>
        <w:ind w:left="5" w:firstLine="283"/>
        <w:spacing w:after="0" w:line="248" w:lineRule="auto"/>
        <w:rPr>
          <w:sz w:val="20"/>
          <w:szCs w:val="20"/>
          <w:color w:val="auto"/>
        </w:rPr>
      </w:pPr>
      <w:r>
        <w:rPr>
          <w:rFonts w:ascii="Times New Roman" w:cs="Times New Roman" w:eastAsia="Times New Roman" w:hAnsi="Times New Roman"/>
          <w:sz w:val="16"/>
          <w:szCs w:val="16"/>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141" w:name="page142"/>
    <w:bookmarkEnd w:id="141"/>
    <w:p>
      <w:pPr>
        <w:jc w:val="both"/>
        <w:ind w:right="20" w:firstLine="283"/>
        <w:spacing w:after="0" w:line="250" w:lineRule="auto"/>
        <w:rPr>
          <w:sz w:val="20"/>
          <w:szCs w:val="20"/>
          <w:color w:val="auto"/>
        </w:rPr>
      </w:pPr>
      <w:r>
        <w:rPr>
          <w:rFonts w:ascii="Times New Roman" w:cs="Times New Roman" w:eastAsia="Times New Roman" w:hAnsi="Times New Roman"/>
          <w:sz w:val="16"/>
          <w:szCs w:val="16"/>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6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 Warrants</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Except as described below, the Private Placement Warrants have terms and provisions that are identical to those of the Public Warrants. The Private Placement Warrants (including the shares of Class A common stock issuable upon exercise of the Private Placement Warrants) will not be transferable, assignable or salable for 30 days after the closing of the Business Combination, except pursuant to certain limited exceptions, including transfers to our officers and directors and other persons or entities affiliated with the initial purchasers of the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65% of the number of the then-outstanding Private Placement Warrants.</w:t>
      </w:r>
    </w:p>
    <w:p>
      <w:pPr>
        <w:spacing w:after="0" w:line="163"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Except as described above under “— </w:t>
      </w:r>
      <w:r>
        <w:rPr>
          <w:rFonts w:ascii="Times New Roman" w:cs="Times New Roman" w:eastAsia="Times New Roman" w:hAnsi="Times New Roman"/>
          <w:sz w:val="16"/>
          <w:szCs w:val="16"/>
          <w:i w:val="1"/>
          <w:iCs w:val="1"/>
          <w:color w:val="auto"/>
        </w:rPr>
        <w:t>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Redemption of warrants when the price per share of Class A common stock equals or exceeds $10.00</w:t>
      </w:r>
      <w:r>
        <w:rPr>
          <w:rFonts w:ascii="Times New Roman" w:cs="Times New Roman" w:eastAsia="Times New Roman" w:hAnsi="Times New Roman"/>
          <w:sz w:val="16"/>
          <w:szCs w:val="16"/>
          <w:color w:val="auto"/>
        </w:rPr>
        <w:t>,”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w:t>
      </w:r>
      <w:r>
        <w:rPr>
          <w:rFonts w:ascii="Times New Roman" w:cs="Times New Roman" w:eastAsia="Times New Roman" w:hAnsi="Times New Roman"/>
          <w:sz w:val="16"/>
          <w:szCs w:val="16"/>
          <w:i w:val="1"/>
          <w:iCs w:val="1"/>
          <w:color w:val="auto"/>
        </w:rPr>
        <w:t>Sponsor fair market value</w:t>
      </w:r>
      <w:r>
        <w:rPr>
          <w:rFonts w:ascii="Times New Roman" w:cs="Times New Roman" w:eastAsia="Times New Roman" w:hAnsi="Times New Roman"/>
          <w:sz w:val="16"/>
          <w:szCs w:val="16"/>
          <w:color w:val="auto"/>
        </w:rPr>
        <w:t>” (as defined below) over the exercise price of the warrants by (y) the Sponsor fair market value. For these purposes, the “</w:t>
      </w:r>
      <w:r>
        <w:rPr>
          <w:rFonts w:ascii="Times New Roman" w:cs="Times New Roman" w:eastAsia="Times New Roman" w:hAnsi="Times New Roman"/>
          <w:sz w:val="16"/>
          <w:szCs w:val="16"/>
          <w:i w:val="1"/>
          <w:iCs w:val="1"/>
          <w:color w:val="auto"/>
        </w:rPr>
        <w:t>Sponsor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market value</w:t>
      </w:r>
      <w:r>
        <w:rPr>
          <w:rFonts w:ascii="Times New Roman" w:cs="Times New Roman" w:eastAsia="Times New Roman" w:hAnsi="Times New Roman"/>
          <w:sz w:val="16"/>
          <w:szCs w:val="16"/>
          <w:color w:val="auto"/>
        </w:rPr>
        <w:t>” shall mean the average reported closing price of the shares of Class A common stock for the 10 trading days ending on the third trading day prior to the date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the notice of warrant exercise is sent to the warrant agent.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Warrant Agent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transfer agent for OPAL’s Common Stock and warrant agent for the Public Warrants and Private Placement Warrants is the Continental Transfer &amp; Trust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 of Common Stock</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shares of Class A common stock and Public Warrants are listed on Nasdaq under the symbols “OPAL” and “OPALW,” respectively.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19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Audit Committee Charter provides for the review, approval and/or ratification of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Services Agreement</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Opco has entered into a Master Services Agreement with CoStar Partners LLC (“</w:t>
      </w:r>
      <w:r>
        <w:rPr>
          <w:rFonts w:ascii="Times New Roman" w:cs="Times New Roman" w:eastAsia="Times New Roman" w:hAnsi="Times New Roman"/>
          <w:sz w:val="16"/>
          <w:szCs w:val="16"/>
          <w:i w:val="1"/>
          <w:iCs w:val="1"/>
          <w:color w:val="auto"/>
        </w:rPr>
        <w:t>CoStar</w:t>
      </w:r>
      <w:r>
        <w:rPr>
          <w:rFonts w:ascii="Times New Roman" w:cs="Times New Roman" w:eastAsia="Times New Roman" w:hAnsi="Times New Roman"/>
          <w:sz w:val="16"/>
          <w:szCs w:val="16"/>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Administrative Services Agreement</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Opco has entered into an Administrative Services Agreement with Fortistar Services 2 LLC (“</w:t>
      </w:r>
      <w:r>
        <w:rPr>
          <w:rFonts w:ascii="Times New Roman" w:cs="Times New Roman" w:eastAsia="Times New Roman" w:hAnsi="Times New Roman"/>
          <w:sz w:val="16"/>
          <w:szCs w:val="16"/>
          <w:i w:val="1"/>
          <w:iCs w:val="1"/>
          <w:color w:val="auto"/>
        </w:rPr>
        <w:t>FS2</w:t>
      </w:r>
      <w:r>
        <w:rPr>
          <w:rFonts w:ascii="Times New Roman" w:cs="Times New Roman" w:eastAsia="Times New Roman" w:hAnsi="Times New Roman"/>
          <w:sz w:val="16"/>
          <w:szCs w:val="16"/>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color w:val="auto"/>
        </w:rPr>
        <w:t>Indemnification and Hold Harmless Agreement</w:t>
      </w:r>
    </w:p>
    <w:p>
      <w:pPr>
        <w:spacing w:after="0" w:line="196"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September 30, 2022, the approximate dollar amounts related to such credit support arrangements in existence by Fortistar under this indemnification and hold harmless agreement was (a) $0 in connection with outstanding loan guaranties (because the underlying loan had been repaid), (b) an aggregate of approximately $4,340,000 in equity capital commitments related to three projects under construction, (c) $2,500,000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September 30, 2022, as none of the conditions upon which Fortistar would be required to perform on behalf of Opco under the indemnification and hold harmless agreement existed as of the date 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Flue Gas Offtake and Preferred Partner Agreement</w:t>
      </w:r>
    </w:p>
    <w:p>
      <w:pPr>
        <w:spacing w:after="0" w:line="194" w:lineRule="exact"/>
        <w:rPr>
          <w:sz w:val="20"/>
          <w:szCs w:val="20"/>
          <w:color w:val="auto"/>
        </w:rPr>
      </w:pPr>
    </w:p>
    <w:p>
      <w:pPr>
        <w:jc w:val="both"/>
        <w:ind w:firstLine="283"/>
        <w:spacing w:after="0" w:line="192" w:lineRule="exact"/>
        <w:rPr>
          <w:sz w:val="20"/>
          <w:szCs w:val="20"/>
          <w:color w:val="auto"/>
        </w:rPr>
      </w:pPr>
      <w:r>
        <w:rPr>
          <w:rFonts w:ascii="Times New Roman" w:cs="Times New Roman" w:eastAsia="Times New Roman" w:hAnsi="Times New Roman"/>
          <w:sz w:val="15"/>
          <w:szCs w:val="15"/>
          <w:color w:val="auto"/>
        </w:rPr>
        <w:t>Opco has entered into an agreement with CarbonFree Chemical Holdings, LLC (“</w:t>
      </w:r>
      <w:r>
        <w:rPr>
          <w:rFonts w:ascii="Times New Roman" w:cs="Times New Roman" w:eastAsia="Times New Roman" w:hAnsi="Times New Roman"/>
          <w:sz w:val="15"/>
          <w:szCs w:val="15"/>
          <w:i w:val="1"/>
          <w:iCs w:val="1"/>
          <w:color w:val="auto"/>
        </w:rPr>
        <w:t>CarbonFree</w:t>
      </w:r>
      <w:r>
        <w:rPr>
          <w:rFonts w:ascii="Times New Roman" w:cs="Times New Roman" w:eastAsia="Times New Roman" w:hAnsi="Times New Roman"/>
          <w:sz w:val="15"/>
          <w:szCs w:val="15"/>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5"/>
          <w:szCs w:val="15"/>
          <w:color w:val="auto"/>
        </w:rPr>
        <w:t>₂</w:t>
      </w:r>
      <w:r>
        <w:rPr>
          <w:rFonts w:ascii="Times New Roman" w:cs="Times New Roman" w:eastAsia="Times New Roman" w:hAnsi="Times New Roman"/>
          <w:sz w:val="15"/>
          <w:szCs w:val="15"/>
          <w:color w:val="auto"/>
        </w:rPr>
        <w:t xml:space="preserve"> from the flue gases produced by the adjacent Opco RNG production facility, transforming it into solid carbonate materials.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44" w:name="page145"/>
    <w:bookmarkEnd w:id="144"/>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Hillman Restructuring</w:t>
      </w:r>
    </w:p>
    <w:p>
      <w:pPr>
        <w:spacing w:after="0" w:line="19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December 11, 2020, Hillman, Hillman Power Company LLC (“</w:t>
      </w:r>
      <w:r>
        <w:rPr>
          <w:rFonts w:ascii="Times New Roman" w:cs="Times New Roman" w:eastAsia="Times New Roman" w:hAnsi="Times New Roman"/>
          <w:sz w:val="16"/>
          <w:szCs w:val="16"/>
          <w:i w:val="1"/>
          <w:iCs w:val="1"/>
          <w:color w:val="auto"/>
        </w:rPr>
        <w:t>Hillman Power</w:t>
      </w:r>
      <w:r>
        <w:rPr>
          <w:rFonts w:ascii="Times New Roman" w:cs="Times New Roman" w:eastAsia="Times New Roman" w:hAnsi="Times New Roman"/>
          <w:sz w:val="16"/>
          <w:szCs w:val="16"/>
          <w:color w:val="auto"/>
        </w:rPr>
        <w:t>”), and Customers Bank, among others, entered into a Loan and Guaranty Agreement (the “</w:t>
      </w:r>
      <w:r>
        <w:rPr>
          <w:rFonts w:ascii="Times New Roman" w:cs="Times New Roman" w:eastAsia="Times New Roman" w:hAnsi="Times New Roman"/>
          <w:sz w:val="16"/>
          <w:szCs w:val="16"/>
          <w:i w:val="1"/>
          <w:iCs w:val="1"/>
          <w:color w:val="auto"/>
        </w:rPr>
        <w:t>Customers Loan Agreement</w:t>
      </w:r>
      <w:r>
        <w:rPr>
          <w:rFonts w:ascii="Times New Roman" w:cs="Times New Roman" w:eastAsia="Times New Roman" w:hAnsi="Times New Roman"/>
          <w:sz w:val="16"/>
          <w:szCs w:val="16"/>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16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 w:cs="Times New Roman" w:eastAsia="Times New Roman" w:hAnsi="Times New Roman"/>
          <w:sz w:val="16"/>
          <w:szCs w:val="16"/>
          <w:i w:val="1"/>
          <w:iCs w:val="1"/>
          <w:color w:val="auto"/>
        </w:rPr>
        <w:t>Pledged Membership Interests</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On November 29, 2021, Opco and Hillman entered into an Exchange Agreement pursuant to which Hillman transferred the Pledged Membership Interests in exchange for the issuance of equity ownership interests in Opco (collectively, the “</w:t>
      </w:r>
      <w:r>
        <w:rPr>
          <w:rFonts w:ascii="Times New Roman" w:cs="Times New Roman" w:eastAsia="Times New Roman" w:hAnsi="Times New Roman"/>
          <w:sz w:val="16"/>
          <w:szCs w:val="16"/>
          <w:i w:val="1"/>
          <w:iCs w:val="1"/>
          <w:color w:val="auto"/>
        </w:rPr>
        <w:t>OPAL Fuels Membership Interests</w:t>
      </w:r>
      <w:r>
        <w:rPr>
          <w:rFonts w:ascii="Times New Roman" w:cs="Times New Roman" w:eastAsia="Times New Roman" w:hAnsi="Times New Roman"/>
          <w:sz w:val="16"/>
          <w:szCs w:val="16"/>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 w:cs="Times New Roman" w:eastAsia="Times New Roman" w:hAnsi="Times New Roman"/>
          <w:sz w:val="16"/>
          <w:szCs w:val="16"/>
          <w:i w:val="1"/>
          <w:iCs w:val="1"/>
          <w:color w:val="auto"/>
        </w:rPr>
        <w:t>Exchange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On November 29, 2021, Hillman Power, Hillman and Customers Bank entered into a Limited Consent and First Amendment to Loan and Guaranty Agreement (the “</w:t>
      </w:r>
      <w:r>
        <w:rPr>
          <w:rFonts w:ascii="Times New Roman" w:cs="Times New Roman" w:eastAsia="Times New Roman" w:hAnsi="Times New Roman"/>
          <w:sz w:val="16"/>
          <w:szCs w:val="16"/>
          <w:i w:val="1"/>
          <w:iCs w:val="1"/>
          <w:color w:val="auto"/>
        </w:rPr>
        <w:t>Limited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Consent</w:t>
      </w:r>
      <w:r>
        <w:rPr>
          <w:rFonts w:ascii="Times New Roman" w:cs="Times New Roman" w:eastAsia="Times New Roman" w:hAnsi="Times New Roman"/>
          <w:sz w:val="16"/>
          <w:szCs w:val="16"/>
          <w:color w:val="auto"/>
        </w:rPr>
        <w:t>”) pursuant to which Customers Bank consented to the Exchange, amended the Customers Loan Agreement and released its security interest in the Pledged Membership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(the “</w:t>
      </w:r>
      <w:r>
        <w:rPr>
          <w:rFonts w:ascii="Times New Roman" w:cs="Times New Roman" w:eastAsia="Times New Roman" w:hAnsi="Times New Roman"/>
          <w:sz w:val="16"/>
          <w:szCs w:val="16"/>
          <w:i w:val="1"/>
          <w:iCs w:val="1"/>
          <w:color w:val="auto"/>
        </w:rPr>
        <w:t>Lien</w:t>
      </w:r>
      <w:r>
        <w:rPr>
          <w:rFonts w:ascii="Times New Roman" w:cs="Times New Roman" w:eastAsia="Times New Roman" w:hAnsi="Times New Roman"/>
          <w:sz w:val="16"/>
          <w:szCs w:val="16"/>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color w:val="auto"/>
        </w:rPr>
        <w:t>Opco Reorganization</w:t>
      </w:r>
    </w:p>
    <w:p>
      <w:pPr>
        <w:spacing w:after="0" w:line="196"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5"/>
          <w:szCs w:val="15"/>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 w:cs="Times New Roman" w:eastAsia="Times New Roman" w:hAnsi="Times New Roman"/>
          <w:sz w:val="15"/>
          <w:szCs w:val="15"/>
          <w:i w:val="1"/>
          <w:iCs w:val="1"/>
          <w:color w:val="auto"/>
        </w:rPr>
        <w:t>Opco Reorganized Entities</w:t>
      </w:r>
      <w:r>
        <w:rPr>
          <w:rFonts w:ascii="Times New Roman" w:cs="Times New Roman" w:eastAsia="Times New Roman" w:hAnsi="Times New Roman"/>
          <w:sz w:val="15"/>
          <w:szCs w:val="15"/>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 w:cs="Times New Roman" w:eastAsia="Times New Roman" w:hAnsi="Times New Roman"/>
          <w:sz w:val="15"/>
          <w:szCs w:val="15"/>
          <w:i w:val="1"/>
          <w:iCs w:val="1"/>
          <w:color w:val="auto"/>
        </w:rPr>
        <w:t>Opco Fuels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Reorganization</w:t>
      </w:r>
      <w:r>
        <w:rPr>
          <w:rFonts w:ascii="Times New Roman" w:cs="Times New Roman" w:eastAsia="Times New Roman" w:hAnsi="Times New Roman"/>
          <w:sz w:val="15"/>
          <w:szCs w:val="15"/>
          <w:color w:val="auto"/>
        </w:rPr>
        <w:t>”). Prior to the Opco Fuels Reorganization, each of the Opco Reorganized Entities were controlled, indirectly, by Mr. Mark Comora through entities affiliated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Sponsor Letter Agreement</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of the Business Combination,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PIPE Investors</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of the Business Combination,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Rights Agreement</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Opco, Ares, Hillman and the Class B Shareholders (collectively the “</w:t>
      </w:r>
      <w:r>
        <w:rPr>
          <w:rFonts w:ascii="Times New Roman" w:cs="Times New Roman" w:eastAsia="Times New Roman" w:hAnsi="Times New Roman"/>
          <w:sz w:val="16"/>
          <w:szCs w:val="16"/>
          <w:i w:val="1"/>
          <w:iCs w:val="1"/>
          <w:color w:val="auto"/>
        </w:rPr>
        <w:t>OPAL Holders</w:t>
      </w:r>
      <w:r>
        <w:rPr>
          <w:rFonts w:ascii="Times New Roman" w:cs="Times New Roman" w:eastAsia="Times New Roman" w:hAnsi="Times New Roman"/>
          <w:sz w:val="16"/>
          <w:szCs w:val="16"/>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46" w:name="page147"/>
    <w:bookmarkEnd w:id="146"/>
    <w:p>
      <w:pPr>
        <w:ind w:left="5"/>
        <w:spacing w:after="0"/>
        <w:rPr>
          <w:sz w:val="20"/>
          <w:szCs w:val="20"/>
          <w:color w:val="auto"/>
        </w:rPr>
      </w:pPr>
      <w:r>
        <w:rPr>
          <w:rFonts w:ascii="Times New Roman" w:cs="Times New Roman" w:eastAsia="Times New Roman" w:hAnsi="Times New Roman"/>
          <w:sz w:val="16"/>
          <w:szCs w:val="16"/>
          <w:b w:val="1"/>
          <w:bCs w:val="1"/>
          <w:color w:val="auto"/>
        </w:rPr>
        <w:t>Tax Receivable Agreement</w:t>
      </w:r>
    </w:p>
    <w:p>
      <w:pPr>
        <w:spacing w:after="0" w:line="196"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we entered into the Tax Receivable Agreement with the Tax Receivable Agreement Parties (as defined in the Tax Receivable Agreement),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65"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4" w:lineRule="exact"/>
        <w:rPr>
          <w:sz w:val="20"/>
          <w:szCs w:val="20"/>
          <w:color w:val="auto"/>
        </w:rPr>
      </w:pPr>
    </w:p>
    <w:p>
      <w:pPr>
        <w:jc w:val="both"/>
        <w:ind w:left="5" w:firstLine="283"/>
        <w:spacing w:after="0" w:line="267" w:lineRule="auto"/>
        <w:rPr>
          <w:sz w:val="20"/>
          <w:szCs w:val="20"/>
          <w:color w:val="auto"/>
        </w:rPr>
      </w:pPr>
      <w:r>
        <w:rPr>
          <w:rFonts w:ascii="Times New Roman" w:cs="Times New Roman" w:eastAsia="Times New Roman" w:hAnsi="Times New Roman"/>
          <w:sz w:val="15"/>
          <w:szCs w:val="15"/>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w:t>
      </w:r>
    </w:p>
    <w:p>
      <w:pPr>
        <w:ind w:left="5" w:right="20" w:hanging="5"/>
        <w:spacing w:after="0" w:line="286" w:lineRule="auto"/>
        <w:tabs>
          <w:tab w:leader="none" w:pos="285"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39" w:lineRule="exact"/>
        <w:rPr>
          <w:sz w:val="20"/>
          <w:szCs w:val="20"/>
          <w:color w:val="auto"/>
        </w:rPr>
      </w:pPr>
    </w:p>
    <w:p>
      <w:pPr>
        <w:jc w:val="both"/>
        <w:ind w:left="5" w:firstLine="283"/>
        <w:spacing w:after="0" w:line="266" w:lineRule="auto"/>
        <w:rPr>
          <w:sz w:val="20"/>
          <w:szCs w:val="20"/>
          <w:color w:val="auto"/>
        </w:rPr>
      </w:pPr>
      <w:r>
        <w:rPr>
          <w:rFonts w:ascii="Times New Roman" w:cs="Times New Roman" w:eastAsia="Times New Roman" w:hAnsi="Times New Roman"/>
          <w:sz w:val="15"/>
          <w:szCs w:val="15"/>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$316 million to approximately $356.0 million depending on Opco’s rate of recovery of the tax basis increases associated with the deemed exchange of the Opco Common Units (other than those held by us). This estimated Tax Receivable Agreement lump-sum payment is calculated using a discount rate equal to 3.58%, applied against an undiscounted liability of approximately $432.0 million. If the Tax Receivable Agreement Parties were to exchange all of their Opco Common Units, OPAL would recognize a deferred tax asset of approximately $508.0 million and a related liability for payments under the Tax Receivable Agreement of approximately $432.0 million, assuming (i) that the Tax Receivable Agreement Parties redeemed or exchanged all of their Opco Common Units on the closing date of the Business Combination;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3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47" w:name="page148"/>
    <w:bookmarkEnd w:id="147"/>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It is more likely than not that the deferred tax assets will not be realized in accordance with ASC Topic 740, ‘Income Taxes’.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OPAL entered into certain Indemnification Agreements (“</w:t>
      </w:r>
      <w:r>
        <w:rPr>
          <w:rFonts w:ascii="Times New Roman" w:cs="Times New Roman" w:eastAsia="Times New Roman" w:hAnsi="Times New Roman"/>
          <w:sz w:val="16"/>
          <w:szCs w:val="16"/>
          <w:i w:val="1"/>
          <w:iCs w:val="1"/>
          <w:color w:val="auto"/>
        </w:rPr>
        <w:t>Indemnification Agreements</w:t>
      </w:r>
      <w:r>
        <w:rPr>
          <w:rFonts w:ascii="Times New Roman" w:cs="Times New Roman" w:eastAsia="Times New Roman" w:hAnsi="Times New Roman"/>
          <w:sz w:val="16"/>
          <w:szCs w:val="16"/>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59"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foregoing description of the Indemnification Agreements is qualified in its entirety by the full text of the Indemnification Agreements, a copy of each of which has been filed as an exhibit to the registration statement of which this Prospectus/Offer to Exchange forms a part.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Sponsor Letter Agreement</w:t>
      </w:r>
    </w:p>
    <w:p>
      <w:pPr>
        <w:spacing w:after="0" w:line="196"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Additionally, in connection with the closing of the Business Combination,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w:t>
      </w:r>
      <w:r>
        <w:rPr>
          <w:rFonts w:ascii="Times New Roman" w:cs="Times New Roman" w:eastAsia="Times New Roman" w:hAnsi="Times New Roman"/>
          <w:sz w:val="15"/>
          <w:szCs w:val="15"/>
          <w:i w:val="1"/>
          <w:iCs w:val="1"/>
          <w:color w:val="auto"/>
        </w:rPr>
        <w:t>Shortfall Amount</w:t>
      </w:r>
      <w:r>
        <w:rPr>
          <w:rFonts w:ascii="Times New Roman" w:cs="Times New Roman" w:eastAsia="Times New Roman" w:hAnsi="Times New Roman"/>
          <w:sz w:val="15"/>
          <w:szCs w:val="15"/>
          <w:color w:val="auto"/>
        </w:rPr>
        <w: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48" w:name="page149"/>
    <w:bookmarkEnd w:id="148"/>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BENEFICIAL OWNERSHIP OF SECURITIES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sets forth information known to the Company regarding the beneficial ownership of our Class A common stock and Class D common stock by:</w:t>
      </w:r>
    </w:p>
    <w:p>
      <w:pPr>
        <w:spacing w:after="0" w:line="194" w:lineRule="exact"/>
        <w:rPr>
          <w:sz w:val="20"/>
          <w:szCs w:val="20"/>
          <w:color w:val="auto"/>
        </w:rPr>
      </w:pPr>
    </w:p>
    <w:p>
      <w:pPr>
        <w:ind w:left="565" w:hanging="282"/>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who is the beneficial owner of more than 5% of the outstanding shares of our Class A common stock or our Class D common stock;</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named executive officers and directors; and</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Company’s executive officers and directors as a group.</w:t>
      </w:r>
    </w:p>
    <w:p>
      <w:pPr>
        <w:spacing w:after="0" w:line="194" w:lineRule="exact"/>
        <w:rPr>
          <w:sz w:val="20"/>
          <w:szCs w:val="20"/>
          <w:color w:val="auto"/>
        </w:rPr>
      </w:pPr>
    </w:p>
    <w:p>
      <w:pPr>
        <w:jc w:val="both"/>
        <w:ind w:left="5" w:firstLine="283"/>
        <w:spacing w:after="0" w:line="272" w:lineRule="auto"/>
        <w:rPr>
          <w:sz w:val="20"/>
          <w:szCs w:val="20"/>
          <w:color w:val="auto"/>
        </w:rPr>
      </w:pPr>
      <w:r>
        <w:rPr>
          <w:rFonts w:ascii="Times New Roman" w:cs="Times New Roman" w:eastAsia="Times New Roman" w:hAnsi="Times New Roman"/>
          <w:sz w:val="15"/>
          <w:szCs w:val="15"/>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Prospectus/Offer to Exchange. Shares subject to warrants that are currently exercisable or exercisable within 60 days of the date of this Prospectus/Offer to Exchange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50"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45"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beneficial ownership of Class A common stock is based on 25,671,390 shares of our Class A common stock issued and outstanding and 144,399,037 shares of our Class D common stock issued and outstanding as of November 16, 2022.</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of Class A</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of Class D</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Voting</w:t>
            </w:r>
          </w:p>
        </w:tc>
      </w:tr>
      <w:tr>
        <w:trPr>
          <w:trHeight w:val="211"/>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Owners(1)</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Class A Shares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Class D Shares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18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Directors and officers:</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Adam Comora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Maurer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 Anthony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Unger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Falbo</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Edelbach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Hugh Donnell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Coghlin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Marco F. Gatti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M. Fogarty(2)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Betsy L. Battle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Dols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 Comora(3)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880,600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4"/>
              </w:rPr>
              <w:t>144,399,037</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96.6%</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Nadeem Nisar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Ashok Vemuri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All directors and officers as a group (15 persons)(4)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885,600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4"/>
              </w:rPr>
              <w:t>144,399,037</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96.6%</w:t>
            </w:r>
          </w:p>
        </w:tc>
      </w:tr>
      <w:tr>
        <w:trPr>
          <w:trHeight w:val="189"/>
        </w:trPr>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Five Percent Holders: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Mark Comora(2)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880,600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1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4"/>
              </w:rPr>
              <w:t>144,399,037</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96.6%</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ArcLight CTC Holdings II, L.P.(5)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16,877,101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51.28%</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2.26%</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ARCC Beacon LLC(6)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3,059,533</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11.92%</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0.41%</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Mendocino Capital, LLC(7)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9.74%</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0.33%</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Meteora Capital(8)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1,659,658</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6.47%</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Electron(9)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7.01%</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0.24%</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Nyera II Limited(10)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5.84%</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0.20%</w:t>
            </w:r>
          </w:p>
        </w:tc>
      </w:tr>
      <w:tr>
        <w:trPr>
          <w:trHeight w:val="206"/>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Encompass Capital Advisors(11)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2,675,337</w:t>
            </w:r>
          </w:p>
        </w:tc>
        <w:tc>
          <w:tcPr>
            <w:tcW w:w="2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9.82%</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0.36%</w:t>
            </w:r>
          </w:p>
        </w:tc>
      </w:tr>
    </w:tbl>
    <w:p>
      <w:pPr>
        <w:spacing w:after="0" w:line="41" w:lineRule="exact"/>
        <w:rPr>
          <w:sz w:val="20"/>
          <w:szCs w:val="20"/>
          <w:color w:val="auto"/>
        </w:rPr>
      </w:pPr>
    </w:p>
    <w:p>
      <w:pPr>
        <w:ind w:left="285" w:hanging="285"/>
        <w:spacing w:after="0"/>
        <w:tabs>
          <w:tab w:leader="none" w:pos="285" w:val="left"/>
        </w:tabs>
        <w:numPr>
          <w:ilvl w:val="0"/>
          <w:numId w:val="63"/>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Unless otherwise noted, the business address of each of the directors and officers is One North Lexington Avenue,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White Plains, New York 10601.</w:t>
      </w:r>
    </w:p>
    <w:p>
      <w:pPr>
        <w:ind w:left="285" w:hanging="285"/>
        <w:spacing w:after="0"/>
        <w:tabs>
          <w:tab w:leader="none" w:pos="28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shares are held by GBBH Family Limited Partnership.</w:t>
      </w:r>
    </w:p>
    <w:p>
      <w:pPr>
        <w:spacing w:after="0" w:line="3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49" w:name="page150"/>
    <w:bookmarkEnd w:id="149"/>
    <w:p>
      <w:pPr>
        <w:jc w:val="both"/>
        <w:ind w:left="285" w:right="20" w:hanging="285"/>
        <w:spacing w:after="0" w:line="266" w:lineRule="auto"/>
        <w:tabs>
          <w:tab w:leader="none" w:pos="285"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142,377,450 shares of Class D common stock owned of record by OPAL HoldCo, (ii) 2,021,587 shares of Class D common stock owned of record by Hillman and (iii) 880,600 shares of Class A common stock owned by Fortistar LLC (“</w:t>
      </w:r>
      <w:r>
        <w:rPr>
          <w:rFonts w:ascii="Times New Roman" w:cs="Times New Roman" w:eastAsia="Times New Roman" w:hAnsi="Times New Roman"/>
          <w:sz w:val="15"/>
          <w:szCs w:val="15"/>
          <w:i w:val="1"/>
          <w:iCs w:val="1"/>
          <w:color w:val="auto"/>
        </w:rPr>
        <w:t>Fortistar</w:t>
      </w:r>
      <w:r>
        <w:rPr>
          <w:rFonts w:ascii="Times New Roman" w:cs="Times New Roman" w:eastAsia="Times New Roman" w:hAnsi="Times New Roman"/>
          <w:sz w:val="15"/>
          <w:szCs w:val="15"/>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5"/>
          <w:szCs w:val="15"/>
          <w:i w:val="1"/>
          <w:iCs w:val="1"/>
          <w:color w:val="auto"/>
        </w:rPr>
        <w:t>Certain Relationships and Related Party Transactions—Hillman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Restructuring</w:t>
      </w:r>
      <w:r>
        <w:rPr>
          <w:rFonts w:ascii="Times New Roman" w:cs="Times New Roman" w:eastAsia="Times New Roman" w:hAnsi="Times New Roman"/>
          <w:sz w:val="15"/>
          <w:szCs w:val="15"/>
          <w:color w:val="auto"/>
        </w:rPr>
        <w:t>”. Shares of Class D common stock may be converted into shares of Class A common stock as further discussed in “</w:t>
      </w:r>
      <w:r>
        <w:rPr>
          <w:rFonts w:ascii="Times New Roman" w:cs="Times New Roman" w:eastAsia="Times New Roman" w:hAnsi="Times New Roman"/>
          <w:sz w:val="15"/>
          <w:szCs w:val="15"/>
          <w:i w:val="1"/>
          <w:iCs w:val="1"/>
          <w:color w:val="auto"/>
        </w:rPr>
        <w:t>Description of Securities—Common Stock</w:t>
      </w:r>
    </w:p>
    <w:p>
      <w:pPr>
        <w:ind w:left="285" w:right="20"/>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 Class D common stock</w:t>
      </w:r>
      <w:r>
        <w:rPr>
          <w:rFonts w:ascii="Times New Roman" w:cs="Times New Roman" w:eastAsia="Times New Roman" w:hAnsi="Times New Roman"/>
          <w:sz w:val="16"/>
          <w:szCs w:val="16"/>
          <w:color w:val="auto"/>
        </w:rPr>
        <w:t>.” The business address of each of Mr. Comora, OPAL Holdco, Hillman and Fortistar is One North Lexington Avenue, 14th Floor, White Plains,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 York 10601.</w:t>
      </w:r>
    </w:p>
    <w:p>
      <w:pPr>
        <w:ind w:left="285" w:hanging="285"/>
        <w:spacing w:after="0"/>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302,187 restricted stock units issued to these individuals on October 3, 2022.</w:t>
      </w:r>
    </w:p>
    <w:p>
      <w:pPr>
        <w:spacing w:after="0" w:line="5" w:lineRule="exact"/>
        <w:rPr>
          <w:rFonts w:ascii="Times New Roman" w:cs="Times New Roman" w:eastAsia="Times New Roman" w:hAnsi="Times New Roman"/>
          <w:sz w:val="16"/>
          <w:szCs w:val="16"/>
          <w:color w:val="auto"/>
        </w:rPr>
      </w:pPr>
    </w:p>
    <w:p>
      <w:pPr>
        <w:jc w:val="both"/>
        <w:ind w:left="285"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7,639,076 shares of Class A common stock held directly by ArcLight CTC Holdings II, L.P. (“</w:t>
      </w:r>
      <w:r>
        <w:rPr>
          <w:rFonts w:ascii="Times New Roman" w:cs="Times New Roman" w:eastAsia="Times New Roman" w:hAnsi="Times New Roman"/>
          <w:sz w:val="16"/>
          <w:szCs w:val="16"/>
          <w:i w:val="1"/>
          <w:iCs w:val="1"/>
          <w:color w:val="auto"/>
        </w:rPr>
        <w:t>Sponsor</w:t>
      </w:r>
      <w:r>
        <w:rPr>
          <w:rFonts w:ascii="Times New Roman" w:cs="Times New Roman" w:eastAsia="Times New Roman" w:hAnsi="Times New Roman"/>
          <w:sz w:val="16"/>
          <w:szCs w:val="16"/>
          <w:color w:val="auto"/>
        </w:rPr>
        <w:t>”) (including 763,907 of such shares subject to forfeiture as described in the section titled “</w:t>
      </w:r>
      <w:r>
        <w:rPr>
          <w:rFonts w:ascii="Times New Roman" w:cs="Times New Roman" w:eastAsia="Times New Roman" w:hAnsi="Times New Roman"/>
          <w:sz w:val="16"/>
          <w:szCs w:val="16"/>
          <w:i w:val="1"/>
          <w:iCs w:val="1"/>
          <w:color w:val="auto"/>
        </w:rPr>
        <w:t>The Business Combination — Related Agreements — Sponsor Letter Agreement</w:t>
      </w:r>
      <w:r>
        <w:rPr>
          <w:rFonts w:ascii="Times New Roman" w:cs="Times New Roman" w:eastAsia="Times New Roman" w:hAnsi="Times New Roman"/>
          <w:sz w:val="16"/>
          <w:szCs w:val="16"/>
          <w:color w:val="auto"/>
        </w:rPr>
        <w:t>” of the Proxy Statement/Prospectus beginning on page 136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date of this Prospectus/Offer to Exchange.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3,059,533 shares of Class A common stock. The business address of ARCC Beacon LLC is 245 Park Avenue, 43rd Floor New York, New York 10167.</w:t>
      </w:r>
    </w:p>
    <w:p>
      <w:pPr>
        <w:spacing w:after="0" w:line="5" w:lineRule="exact"/>
        <w:rPr>
          <w:rFonts w:ascii="Times New Roman" w:cs="Times New Roman" w:eastAsia="Times New Roman" w:hAnsi="Times New Roman"/>
          <w:sz w:val="16"/>
          <w:szCs w:val="16"/>
          <w:color w:val="auto"/>
        </w:rPr>
      </w:pPr>
    </w:p>
    <w:p>
      <w:pPr>
        <w:ind w:left="285" w:right="20"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2,500,000 shares of Class A common stock. Mendocino Capital, LLC (“</w:t>
      </w:r>
      <w:r>
        <w:rPr>
          <w:rFonts w:ascii="Times New Roman" w:cs="Times New Roman" w:eastAsia="Times New Roman" w:hAnsi="Times New Roman"/>
          <w:sz w:val="16"/>
          <w:szCs w:val="16"/>
          <w:i w:val="1"/>
          <w:iCs w:val="1"/>
          <w:color w:val="auto"/>
        </w:rPr>
        <w:t>Mendocino</w:t>
      </w:r>
      <w:r>
        <w:rPr>
          <w:rFonts w:ascii="Times New Roman" w:cs="Times New Roman" w:eastAsia="Times New Roman" w:hAnsi="Times New Roman"/>
          <w:sz w:val="16"/>
          <w:szCs w:val="16"/>
          <w:color w:val="auto"/>
        </w:rPr>
        <w:t>”) is a subsidiary of NextEra Energy, Inc. (“</w:t>
      </w:r>
      <w:r>
        <w:rPr>
          <w:rFonts w:ascii="Times New Roman" w:cs="Times New Roman" w:eastAsia="Times New Roman" w:hAnsi="Times New Roman"/>
          <w:sz w:val="16"/>
          <w:szCs w:val="16"/>
          <w:i w:val="1"/>
          <w:iCs w:val="1"/>
          <w:color w:val="auto"/>
        </w:rPr>
        <w:t>NextEra</w:t>
      </w:r>
      <w:r>
        <w:rPr>
          <w:rFonts w:ascii="Times New Roman" w:cs="Times New Roman" w:eastAsia="Times New Roman" w:hAnsi="Times New Roman"/>
          <w:sz w:val="16"/>
          <w:szCs w:val="16"/>
          <w:color w:val="auto"/>
        </w:rPr>
        <w:t>”), a publicly traded company. The business address of Mendocino and NextEra is 700 Universe Boulevard, Juno Beach, Florida 33408.</w:t>
      </w:r>
    </w:p>
    <w:p>
      <w:pPr>
        <w:jc w:val="both"/>
        <w:ind w:left="285"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374,712 shares of Class A common stock held by Meteora Special Opportunity Fund I, LP (“</w:t>
      </w:r>
      <w:r>
        <w:rPr>
          <w:rFonts w:ascii="Times New Roman" w:cs="Times New Roman" w:eastAsia="Times New Roman" w:hAnsi="Times New Roman"/>
          <w:sz w:val="16"/>
          <w:szCs w:val="16"/>
          <w:i w:val="1"/>
          <w:iCs w:val="1"/>
          <w:color w:val="auto"/>
        </w:rPr>
        <w:t>MSOF</w:t>
      </w:r>
      <w:r>
        <w:rPr>
          <w:rFonts w:ascii="Times New Roman" w:cs="Times New Roman" w:eastAsia="Times New Roman" w:hAnsi="Times New Roman"/>
          <w:sz w:val="16"/>
          <w:szCs w:val="16"/>
          <w:color w:val="auto"/>
        </w:rPr>
        <w:t>”), (ii) 381,715 shares of Class A common stock held by Meteora Select Trading Opportunities Master, LP (“</w:t>
      </w:r>
      <w:r>
        <w:rPr>
          <w:rFonts w:ascii="Times New Roman" w:cs="Times New Roman" w:eastAsia="Times New Roman" w:hAnsi="Times New Roman"/>
          <w:sz w:val="16"/>
          <w:szCs w:val="16"/>
          <w:i w:val="1"/>
          <w:iCs w:val="1"/>
          <w:color w:val="auto"/>
        </w:rPr>
        <w:t>MSTO</w:t>
      </w:r>
      <w:r>
        <w:rPr>
          <w:rFonts w:ascii="Times New Roman" w:cs="Times New Roman" w:eastAsia="Times New Roman" w:hAnsi="Times New Roman"/>
          <w:sz w:val="16"/>
          <w:szCs w:val="16"/>
          <w:color w:val="auto"/>
        </w:rPr>
        <w:t>”) and (iii) 903,231 shares of Class A common stock held by Meteora Capital Partners (“</w:t>
      </w:r>
      <w:r>
        <w:rPr>
          <w:rFonts w:ascii="Times New Roman" w:cs="Times New Roman" w:eastAsia="Times New Roman" w:hAnsi="Times New Roman"/>
          <w:sz w:val="16"/>
          <w:szCs w:val="16"/>
          <w:i w:val="1"/>
          <w:iCs w:val="1"/>
          <w:color w:val="auto"/>
        </w:rPr>
        <w:t>MCP</w:t>
      </w:r>
      <w:r>
        <w:rPr>
          <w:rFonts w:ascii="Times New Roman" w:cs="Times New Roman" w:eastAsia="Times New Roman" w:hAnsi="Times New Roman"/>
          <w:sz w:val="16"/>
          <w:szCs w:val="16"/>
          <w:color w:val="auto"/>
        </w:rPr>
        <w:t>”). Meteora Capital, LLC (“</w:t>
      </w:r>
      <w:r>
        <w:rPr>
          <w:rFonts w:ascii="Times New Roman" w:cs="Times New Roman" w:eastAsia="Times New Roman" w:hAnsi="Times New Roman"/>
          <w:sz w:val="16"/>
          <w:szCs w:val="16"/>
          <w:i w:val="1"/>
          <w:iCs w:val="1"/>
          <w:color w:val="auto"/>
        </w:rPr>
        <w:t>Meteora Capital</w:t>
      </w:r>
      <w:r>
        <w:rPr>
          <w:rFonts w:ascii="Times New Roman" w:cs="Times New Roman" w:eastAsia="Times New Roman" w:hAnsi="Times New Roman"/>
          <w:sz w:val="16"/>
          <w:szCs w:val="16"/>
          <w:color w:val="auto"/>
        </w:rPr>
        <w:t>”) serves as investment manager to MSOF, MSTO and MCP. Voting and investment power over the shares held by MSOF, MSTO and MCP resides with its investment manager, Meteora Capital.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2" w:lineRule="exact"/>
        <w:rPr>
          <w:rFonts w:ascii="Times New Roman" w:cs="Times New Roman" w:eastAsia="Times New Roman" w:hAnsi="Times New Roman"/>
          <w:sz w:val="16"/>
          <w:szCs w:val="16"/>
          <w:color w:val="auto"/>
        </w:rPr>
      </w:pPr>
    </w:p>
    <w:p>
      <w:pPr>
        <w:jc w:val="both"/>
        <w:ind w:left="285"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1,060,088 shares of Class A common stock held by Electron Global Master Fund LP (“</w:t>
      </w:r>
      <w:r>
        <w:rPr>
          <w:rFonts w:ascii="Times New Roman" w:cs="Times New Roman" w:eastAsia="Times New Roman" w:hAnsi="Times New Roman"/>
          <w:sz w:val="16"/>
          <w:szCs w:val="16"/>
          <w:i w:val="1"/>
          <w:iCs w:val="1"/>
          <w:color w:val="auto"/>
        </w:rPr>
        <w:t>EGMF</w:t>
      </w:r>
      <w:r>
        <w:rPr>
          <w:rFonts w:ascii="Times New Roman" w:cs="Times New Roman" w:eastAsia="Times New Roman" w:hAnsi="Times New Roman"/>
          <w:sz w:val="16"/>
          <w:szCs w:val="16"/>
          <w:color w:val="auto"/>
        </w:rPr>
        <w:t>”), (ii) 695,913 shares of Class A common stock held by Electron Infrastructure Master Fund LP (“</w:t>
      </w:r>
      <w:r>
        <w:rPr>
          <w:rFonts w:ascii="Times New Roman" w:cs="Times New Roman" w:eastAsia="Times New Roman" w:hAnsi="Times New Roman"/>
          <w:sz w:val="16"/>
          <w:szCs w:val="16"/>
          <w:i w:val="1"/>
          <w:iCs w:val="1"/>
          <w:color w:val="auto"/>
        </w:rPr>
        <w:t>EIMF</w:t>
      </w:r>
      <w:r>
        <w:rPr>
          <w:rFonts w:ascii="Times New Roman" w:cs="Times New Roman" w:eastAsia="Times New Roman" w:hAnsi="Times New Roman"/>
          <w:sz w:val="16"/>
          <w:szCs w:val="16"/>
          <w:color w:val="auto"/>
        </w:rPr>
        <w:t>”), (iii) 30,628 shares of Class A common stock held by Boothbay Absolute Return Strategies, LP (“</w:t>
      </w:r>
      <w:r>
        <w:rPr>
          <w:rFonts w:ascii="Times New Roman" w:cs="Times New Roman" w:eastAsia="Times New Roman" w:hAnsi="Times New Roman"/>
          <w:sz w:val="16"/>
          <w:szCs w:val="16"/>
          <w:i w:val="1"/>
          <w:iCs w:val="1"/>
          <w:color w:val="auto"/>
        </w:rPr>
        <w:t>BARS</w:t>
      </w:r>
      <w:r>
        <w:rPr>
          <w:rFonts w:ascii="Times New Roman" w:cs="Times New Roman" w:eastAsia="Times New Roman" w:hAnsi="Times New Roman"/>
          <w:sz w:val="16"/>
          <w:szCs w:val="16"/>
          <w:color w:val="auto"/>
        </w:rPr>
        <w:t>”) and (iv) 13,371 shares of Class A common stock held by AGR Trading SPC-Series Segregated Portfolio (“</w:t>
      </w:r>
      <w:r>
        <w:rPr>
          <w:rFonts w:ascii="Times New Roman" w:cs="Times New Roman" w:eastAsia="Times New Roman" w:hAnsi="Times New Roman"/>
          <w:sz w:val="16"/>
          <w:szCs w:val="16"/>
          <w:i w:val="1"/>
          <w:iCs w:val="1"/>
          <w:color w:val="auto"/>
        </w:rPr>
        <w:t>AGR</w:t>
      </w:r>
      <w:r>
        <w:rPr>
          <w:rFonts w:ascii="Times New Roman" w:cs="Times New Roman" w:eastAsia="Times New Roman" w:hAnsi="Times New Roman"/>
          <w:sz w:val="16"/>
          <w:szCs w:val="16"/>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p>
      <w:pPr>
        <w:spacing w:after="0" w:line="3" w:lineRule="exact"/>
        <w:rPr>
          <w:rFonts w:ascii="Times New Roman" w:cs="Times New Roman" w:eastAsia="Times New Roman" w:hAnsi="Times New Roman"/>
          <w:sz w:val="16"/>
          <w:szCs w:val="16"/>
          <w:color w:val="auto"/>
        </w:rPr>
      </w:pPr>
    </w:p>
    <w:p>
      <w:pPr>
        <w:jc w:val="both"/>
        <w:ind w:left="285" w:right="20"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1,500,000 shares of Class A common stock. Benjamin Wasem, Pantelitsa Georgiade and Vasiliki Papalli (the “</w:t>
      </w:r>
      <w:r>
        <w:rPr>
          <w:rFonts w:ascii="Times New Roman" w:cs="Times New Roman" w:eastAsia="Times New Roman" w:hAnsi="Times New Roman"/>
          <w:sz w:val="16"/>
          <w:szCs w:val="16"/>
          <w:i w:val="1"/>
          <w:iCs w:val="1"/>
          <w:color w:val="auto"/>
        </w:rPr>
        <w:t>Nyera Principals</w:t>
      </w:r>
      <w:r>
        <w:rPr>
          <w:rFonts w:ascii="Times New Roman" w:cs="Times New Roman" w:eastAsia="Times New Roman" w:hAnsi="Times New Roman"/>
          <w:sz w:val="16"/>
          <w:szCs w:val="16"/>
          <w:color w:val="auto"/>
        </w:rPr>
        <w:t>”) each has voting and investment discretion with respect to the securities held Nyera II Limited (“</w:t>
      </w:r>
      <w:r>
        <w:rPr>
          <w:rFonts w:ascii="Times New Roman" w:cs="Times New Roman" w:eastAsia="Times New Roman" w:hAnsi="Times New Roman"/>
          <w:sz w:val="16"/>
          <w:szCs w:val="16"/>
          <w:i w:val="1"/>
          <w:iCs w:val="1"/>
          <w:color w:val="auto"/>
        </w:rPr>
        <w:t>Nyera</w:t>
      </w:r>
      <w:r>
        <w:rPr>
          <w:rFonts w:ascii="Times New Roman" w:cs="Times New Roman" w:eastAsia="Times New Roman" w:hAnsi="Times New Roman"/>
          <w:sz w:val="16"/>
          <w:szCs w:val="16"/>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 w:lineRule="exact"/>
        <w:rPr>
          <w:rFonts w:ascii="Times New Roman" w:cs="Times New Roman" w:eastAsia="Times New Roman" w:hAnsi="Times New Roman"/>
          <w:sz w:val="16"/>
          <w:szCs w:val="16"/>
          <w:color w:val="auto"/>
        </w:rPr>
      </w:pPr>
    </w:p>
    <w:p>
      <w:pPr>
        <w:jc w:val="both"/>
        <w:ind w:left="285" w:hanging="285"/>
        <w:spacing w:after="0" w:line="247"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1,323,114 shares of Class A common stock and (ii) 1,352,223 shares of Class A common stock underlying certain warrants that are exercisable within 60 days of the date of this Prospectus/Offer to Exchange, which are held by certain fund entities and managed accounts for which Encompass Capital Advisors, LLC (“</w:t>
      </w:r>
      <w:r>
        <w:rPr>
          <w:rFonts w:ascii="Times New Roman" w:cs="Times New Roman" w:eastAsia="Times New Roman" w:hAnsi="Times New Roman"/>
          <w:sz w:val="16"/>
          <w:szCs w:val="16"/>
          <w:i w:val="1"/>
          <w:iCs w:val="1"/>
          <w:color w:val="auto"/>
        </w:rPr>
        <w:t>Encompass</w:t>
      </w:r>
      <w:r>
        <w:rPr>
          <w:rFonts w:ascii="Times New Roman" w:cs="Times New Roman" w:eastAsia="Times New Roman" w:hAnsi="Times New Roman"/>
          <w:sz w:val="16"/>
          <w:szCs w:val="16"/>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Prospectus/Offer to Exchange. The exercise of the warrants are subject to ownership limitations so that the selling stockholder may not beneficially own in excess of 9.9% of the issued and outstanding Class A common stock of the Company. The business address of Encompass and Mr. Kantor is 200 Park Avenue, 11th Floor, New York, New York 10166.</w:t>
      </w:r>
    </w:p>
    <w:p>
      <w:pPr>
        <w:spacing w:after="0" w:line="35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validity of the securities covered by this Prospectus/Offer to Exchange has been passed upon for us by Sheppard, Mullin, Richter &amp; Hampton LLP, New York, New York. Certain legal matters relating to the securities offered hereby will be passed upon for the dealer manager by Davis Polk &amp; Wardwell LLP, New York, New York.</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consolidated financial statements of OPAL Fuels Inc. as of and for the years ended December 31, 2021, 2020 and 2019 included in this Prospectus/Offer to Exchange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consolidated financial statements of Beacon RNG LLC as of April 30, 2021, December 31, 2020 and December 31, 2019 for the four-month period ended April 30, 2021, and the year ended December 31, 2020 and the period from March 11, 2019 (inception) to December 31, 2019 included in this Prospectus/Offer to Exchange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We file annual, quarterly and current reports, proxy statements and other information with the SEC. We have filed a registration statement on Form S-4 of which this Prospectus/Offer to Exchange is a part with the SEC in connection with the Offer and the Consent Solicitation. We may also file amendments to such registration statement. In addition, on the date of the initial filing of the registration statement on Form S-4 of which this Prospectus/Offer to Exchange is a part, we filed a Tender Offer Statement on Schedule TO with the SEC, together with exhibits, to furnish certain information about the Offer and Consent Solicitation. We may file amendments to the Schedule TO. As allowed by SEC rules, this Prospectus/Offer to Exchange does not contain all of the information in the registration statement or the Schedule TO or the exhibits to the registration statement or the Schedule TO. You may obtain copies of the registration statement on Form S-4 and Schedule TO (and any amendments to those documents) by contacting the information agent as directed elsewhere in this Prospectus/Offer to Exchange. Our SEC filings are available to the public on the internet at a website maintained by the SEC located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You may request a free copy of any of these documents by writing or telephoning us at the following address: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One North Lexington Avenue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Suite 1450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White Plains, New York 10601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(914) 705-4000</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Exhibits to the filings will not be sent, however, unless those exhibits have specifically been included in this Prospectus/Offer to Exchange.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8"/>
        </w:trPr>
        <w:tc>
          <w:tcPr>
            <w:tcW w:w="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180" w:type="dxa"/>
            <w:vAlign w:val="bottom"/>
            <w:gridSpan w:val="7"/>
          </w:tcPr>
          <w:p>
            <w:pPr>
              <w:jc w:val="center"/>
              <w:ind w:right="330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900" w:type="dxa"/>
            <w:vAlign w:val="bottom"/>
          </w:tcPr>
          <w:p>
            <w:pPr>
              <w:spacing w:after="0"/>
              <w:rPr>
                <w:sz w:val="18"/>
                <w:szCs w:val="18"/>
                <w:color w:val="auto"/>
              </w:rPr>
            </w:pPr>
          </w:p>
        </w:tc>
      </w:tr>
      <w:tr>
        <w:trPr>
          <w:trHeight w:val="378"/>
        </w:trPr>
        <w:tc>
          <w:tcPr>
            <w:tcW w:w="140" w:type="dxa"/>
            <w:vAlign w:val="bottom"/>
          </w:tcPr>
          <w:p>
            <w:pPr>
              <w:spacing w:after="0"/>
              <w:rPr>
                <w:sz w:val="24"/>
                <w:szCs w:val="24"/>
                <w:color w:val="auto"/>
              </w:rPr>
            </w:pPr>
          </w:p>
        </w:tc>
        <w:tc>
          <w:tcPr>
            <w:tcW w:w="10220" w:type="dxa"/>
            <w:vAlign w:val="bottom"/>
            <w:gridSpan w:val="8"/>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7"/>
              </w:rPr>
              <w:t>OPAL FUELS INC. FINANCIAL STATEMENTS</w:t>
            </w:r>
          </w:p>
        </w:tc>
        <w:tc>
          <w:tcPr>
            <w:tcW w:w="900" w:type="dxa"/>
            <w:vAlign w:val="bottom"/>
          </w:tcPr>
          <w:p>
            <w:pPr>
              <w:spacing w:after="0"/>
              <w:rPr>
                <w:sz w:val="24"/>
                <w:szCs w:val="24"/>
                <w:color w:val="auto"/>
              </w:rPr>
            </w:pPr>
          </w:p>
        </w:tc>
      </w:tr>
      <w:tr>
        <w:trPr>
          <w:trHeight w:val="393"/>
        </w:trPr>
        <w:tc>
          <w:tcPr>
            <w:tcW w:w="14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89"/>
        </w:trPr>
        <w:tc>
          <w:tcPr>
            <w:tcW w:w="103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Unaudited Financial Statements of OPAL Fuels Inc.</w:t>
            </w:r>
          </w:p>
        </w:tc>
        <w:tc>
          <w:tcPr>
            <w:tcW w:w="900" w:type="dxa"/>
            <w:vAlign w:val="bottom"/>
            <w:shd w:val="clear" w:color="auto" w:fill="CCEEFF"/>
          </w:tcPr>
          <w:p>
            <w:pPr>
              <w:spacing w:after="0"/>
              <w:rPr>
                <w:sz w:val="16"/>
                <w:szCs w:val="16"/>
                <w:color w:val="auto"/>
              </w:rPr>
            </w:pPr>
          </w:p>
        </w:tc>
      </w:tr>
      <w:tr>
        <w:trPr>
          <w:trHeight w:val="161"/>
        </w:trPr>
        <w:tc>
          <w:tcPr>
            <w:tcW w:w="6520" w:type="dxa"/>
            <w:vAlign w:val="bottom"/>
            <w:tcBorders>
              <w:bottom w:val="single" w:sz="8" w:color="0000EE"/>
            </w:tcBorders>
            <w:gridSpan w:val="4"/>
          </w:tcPr>
          <w:p>
            <w:pPr>
              <w:spacing w:after="0" w:line="154" w:lineRule="exact"/>
              <w:rPr>
                <w:sz w:val="20"/>
                <w:szCs w:val="20"/>
                <w:color w:val="auto"/>
              </w:rPr>
            </w:pPr>
            <w:r>
              <w:rPr>
                <w:rFonts w:ascii="Times New Roman" w:cs="Times New Roman" w:eastAsia="Times New Roman" w:hAnsi="Times New Roman"/>
                <w:sz w:val="16"/>
                <w:szCs w:val="16"/>
                <w:color w:val="0000EE"/>
                <w:w w:val="98"/>
              </w:rPr>
              <w:t>Condensed Consolidated Balance Sheets as of September 30, 2022 (unaudited) and December 31, 2021</w:t>
            </w:r>
          </w:p>
        </w:tc>
        <w:tc>
          <w:tcPr>
            <w:tcW w:w="3840" w:type="dxa"/>
            <w:vAlign w:val="bottom"/>
            <w:gridSpan w:val="5"/>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F-2</w:t>
            </w:r>
          </w:p>
        </w:tc>
      </w:tr>
      <w:tr>
        <w:trPr>
          <w:trHeight w:val="161"/>
        </w:trPr>
        <w:tc>
          <w:tcPr>
            <w:tcW w:w="10360" w:type="dxa"/>
            <w:vAlign w:val="bottom"/>
            <w:gridSpan w:val="9"/>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Condensed Consolidated Statements of Operations for the Three and Nine Months Ended September 30, 2022 and 2021 (unaudited)</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F-3</w:t>
            </w:r>
          </w:p>
        </w:tc>
      </w:tr>
      <w:tr>
        <w:trPr>
          <w:trHeight w:val="35"/>
        </w:trPr>
        <w:tc>
          <w:tcPr>
            <w:tcW w:w="140" w:type="dxa"/>
            <w:vAlign w:val="bottom"/>
            <w:shd w:val="clear" w:color="auto" w:fill="0000EE"/>
          </w:tcPr>
          <w:p>
            <w:pPr>
              <w:spacing w:after="0"/>
              <w:rPr>
                <w:sz w:val="3"/>
                <w:szCs w:val="3"/>
                <w:color w:val="auto"/>
              </w:rPr>
            </w:pPr>
          </w:p>
        </w:tc>
        <w:tc>
          <w:tcPr>
            <w:tcW w:w="4040" w:type="dxa"/>
            <w:vAlign w:val="bottom"/>
            <w:shd w:val="clear" w:color="auto" w:fill="0000EE"/>
          </w:tcPr>
          <w:p>
            <w:pPr>
              <w:spacing w:after="0"/>
              <w:rPr>
                <w:sz w:val="3"/>
                <w:szCs w:val="3"/>
                <w:color w:val="auto"/>
              </w:rPr>
            </w:pPr>
          </w:p>
        </w:tc>
        <w:tc>
          <w:tcPr>
            <w:tcW w:w="20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54"/>
        </w:trPr>
        <w:tc>
          <w:tcPr>
            <w:tcW w:w="10360" w:type="dxa"/>
            <w:vAlign w:val="bottom"/>
            <w:gridSpan w:val="9"/>
          </w:tcPr>
          <w:p>
            <w:pPr>
              <w:spacing w:after="0" w:line="154" w:lineRule="exact"/>
              <w:rPr>
                <w:sz w:val="20"/>
                <w:szCs w:val="20"/>
                <w:color w:val="auto"/>
              </w:rPr>
            </w:pPr>
            <w:r>
              <w:rPr>
                <w:rFonts w:ascii="Times New Roman" w:cs="Times New Roman" w:eastAsia="Times New Roman" w:hAnsi="Times New Roman"/>
                <w:sz w:val="16"/>
                <w:szCs w:val="16"/>
                <w:color w:val="0000EE"/>
              </w:rPr>
              <w:t>Condensed Consolidated Statements of Comprehensive Income for the Three and Nine Months Ended September 30, 2022 and 2021 (unaudited)</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F-4</w:t>
            </w:r>
          </w:p>
        </w:tc>
      </w:tr>
      <w:tr>
        <w:trPr>
          <w:trHeight w:val="28"/>
        </w:trPr>
        <w:tc>
          <w:tcPr>
            <w:tcW w:w="140" w:type="dxa"/>
            <w:vAlign w:val="bottom"/>
            <w:shd w:val="clear" w:color="auto" w:fill="0000EE"/>
          </w:tcPr>
          <w:p>
            <w:pPr>
              <w:spacing w:after="0"/>
              <w:rPr>
                <w:sz w:val="2"/>
                <w:szCs w:val="2"/>
                <w:color w:val="auto"/>
              </w:rPr>
            </w:pPr>
          </w:p>
        </w:tc>
        <w:tc>
          <w:tcPr>
            <w:tcW w:w="4040" w:type="dxa"/>
            <w:vAlign w:val="bottom"/>
            <w:shd w:val="clear" w:color="auto" w:fill="0000EE"/>
          </w:tcPr>
          <w:p>
            <w:pPr>
              <w:spacing w:after="0"/>
              <w:rPr>
                <w:sz w:val="2"/>
                <w:szCs w:val="2"/>
                <w:color w:val="auto"/>
              </w:rPr>
            </w:pPr>
          </w:p>
        </w:tc>
        <w:tc>
          <w:tcPr>
            <w:tcW w:w="20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9900" w:type="dxa"/>
            <w:vAlign w:val="bottom"/>
            <w:tcBorders>
              <w:bottom w:val="single" w:sz="8" w:color="0000EE"/>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8"/>
              </w:rPr>
              <w:t>Condensed Consolidated Statements of Changes in Redeemable Non-Controlling Interest, Redeemable Preferred Non-Controlling Interest and Stockholders’</w:t>
            </w:r>
          </w:p>
        </w:tc>
        <w:tc>
          <w:tcPr>
            <w:tcW w:w="4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69"/>
        </w:trPr>
        <w:tc>
          <w:tcPr>
            <w:tcW w:w="10360" w:type="dxa"/>
            <w:vAlign w:val="bottom"/>
            <w:gridSpan w:val="9"/>
            <w:shd w:val="clear" w:color="auto" w:fill="CCEEFF"/>
          </w:tcPr>
          <w:p>
            <w:pPr>
              <w:ind w:left="140"/>
              <w:spacing w:after="0" w:line="169" w:lineRule="exact"/>
              <w:rPr>
                <w:sz w:val="20"/>
                <w:szCs w:val="20"/>
                <w:color w:val="auto"/>
              </w:rPr>
            </w:pPr>
            <w:r>
              <w:rPr>
                <w:rFonts w:ascii="Times New Roman" w:cs="Times New Roman" w:eastAsia="Times New Roman" w:hAnsi="Times New Roman"/>
                <w:sz w:val="16"/>
                <w:szCs w:val="16"/>
                <w:color w:val="0000EE"/>
              </w:rPr>
              <w:t>(Deficit) Equity for the Three and Nine Months Ended September 30, 2022 and 2021 (unaudited)</w:t>
            </w:r>
          </w:p>
        </w:tc>
        <w:tc>
          <w:tcPr>
            <w:tcW w:w="9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F-5</w:t>
            </w:r>
          </w:p>
        </w:tc>
      </w:tr>
      <w:tr>
        <w:trPr>
          <w:trHeight w:val="35"/>
        </w:trPr>
        <w:tc>
          <w:tcPr>
            <w:tcW w:w="140" w:type="dxa"/>
            <w:vAlign w:val="bottom"/>
            <w:shd w:val="clear" w:color="auto" w:fill="CCEEFF"/>
          </w:tcPr>
          <w:p>
            <w:pPr>
              <w:spacing w:after="0"/>
              <w:rPr>
                <w:sz w:val="3"/>
                <w:szCs w:val="3"/>
                <w:color w:val="auto"/>
              </w:rPr>
            </w:pPr>
          </w:p>
        </w:tc>
        <w:tc>
          <w:tcPr>
            <w:tcW w:w="4040" w:type="dxa"/>
            <w:vAlign w:val="bottom"/>
            <w:shd w:val="clear" w:color="auto" w:fill="0000EE"/>
          </w:tcPr>
          <w:p>
            <w:pPr>
              <w:spacing w:after="0"/>
              <w:rPr>
                <w:sz w:val="3"/>
                <w:szCs w:val="3"/>
                <w:color w:val="auto"/>
              </w:rPr>
            </w:pPr>
          </w:p>
        </w:tc>
        <w:tc>
          <w:tcPr>
            <w:tcW w:w="20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61"/>
        </w:trPr>
        <w:tc>
          <w:tcPr>
            <w:tcW w:w="7700" w:type="dxa"/>
            <w:vAlign w:val="bottom"/>
            <w:tcBorders>
              <w:bottom w:val="single" w:sz="8" w:color="0000EE"/>
            </w:tcBorders>
            <w:gridSpan w:val="5"/>
          </w:tcPr>
          <w:p>
            <w:pPr>
              <w:spacing w:after="0" w:line="154" w:lineRule="exact"/>
              <w:rPr>
                <w:sz w:val="20"/>
                <w:szCs w:val="20"/>
                <w:color w:val="auto"/>
              </w:rPr>
            </w:pPr>
            <w:r>
              <w:rPr>
                <w:rFonts w:ascii="Times New Roman" w:cs="Times New Roman" w:eastAsia="Times New Roman" w:hAnsi="Times New Roman"/>
                <w:sz w:val="16"/>
                <w:szCs w:val="16"/>
                <w:color w:val="0000EE"/>
                <w:w w:val="98"/>
              </w:rPr>
              <w:t>Condensed Consolidated Statements of Cash Flows for the Nine Months Ended September 30, 2022 and 2021 (unaudited)</w:t>
            </w:r>
          </w:p>
        </w:tc>
        <w:tc>
          <w:tcPr>
            <w:tcW w:w="2660" w:type="dxa"/>
            <w:vAlign w:val="bottom"/>
            <w:gridSpan w:val="4"/>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F-6</w:t>
            </w:r>
          </w:p>
        </w:tc>
      </w:tr>
      <w:tr>
        <w:trPr>
          <w:trHeight w:val="161"/>
        </w:trPr>
        <w:tc>
          <w:tcPr>
            <w:tcW w:w="10360" w:type="dxa"/>
            <w:vAlign w:val="bottom"/>
            <w:gridSpan w:val="9"/>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F-7</w:t>
            </w:r>
          </w:p>
        </w:tc>
      </w:tr>
      <w:tr>
        <w:trPr>
          <w:trHeight w:val="35"/>
        </w:trPr>
        <w:tc>
          <w:tcPr>
            <w:tcW w:w="140" w:type="dxa"/>
            <w:vAlign w:val="bottom"/>
            <w:shd w:val="clear" w:color="auto" w:fill="0000EE"/>
          </w:tcPr>
          <w:p>
            <w:pPr>
              <w:spacing w:after="0"/>
              <w:rPr>
                <w:sz w:val="3"/>
                <w:szCs w:val="3"/>
                <w:color w:val="auto"/>
              </w:rPr>
            </w:pPr>
          </w:p>
        </w:tc>
        <w:tc>
          <w:tcPr>
            <w:tcW w:w="4040" w:type="dxa"/>
            <w:vAlign w:val="bottom"/>
            <w:shd w:val="clear" w:color="auto" w:fill="0000EE"/>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103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Audited Financial Statements of OPAL Fuels Inc.</w:t>
            </w:r>
          </w:p>
        </w:tc>
        <w:tc>
          <w:tcPr>
            <w:tcW w:w="900" w:type="dxa"/>
            <w:vAlign w:val="bottom"/>
            <w:shd w:val="clear" w:color="auto" w:fill="CCEEFF"/>
          </w:tcPr>
          <w:p>
            <w:pPr>
              <w:spacing w:after="0"/>
              <w:rPr>
                <w:sz w:val="16"/>
                <w:szCs w:val="16"/>
                <w:color w:val="auto"/>
              </w:rPr>
            </w:pPr>
          </w:p>
        </w:tc>
      </w:tr>
      <w:tr>
        <w:trPr>
          <w:trHeight w:val="154"/>
        </w:trPr>
        <w:tc>
          <w:tcPr>
            <w:tcW w:w="10360" w:type="dxa"/>
            <w:vAlign w:val="bottom"/>
            <w:gridSpan w:val="9"/>
          </w:tcPr>
          <w:p>
            <w:pPr>
              <w:spacing w:after="0" w:line="154"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900" w:type="dxa"/>
            <w:vAlign w:val="bottom"/>
          </w:tcPr>
          <w:p>
            <w:pPr>
              <w:ind w:left="300"/>
              <w:spacing w:after="0" w:line="154" w:lineRule="exact"/>
              <w:rPr>
                <w:sz w:val="20"/>
                <w:szCs w:val="20"/>
                <w:color w:val="auto"/>
              </w:rPr>
            </w:pPr>
            <w:r>
              <w:rPr>
                <w:rFonts w:ascii="Times New Roman" w:cs="Times New Roman" w:eastAsia="Times New Roman" w:hAnsi="Times New Roman"/>
                <w:sz w:val="16"/>
                <w:szCs w:val="16"/>
                <w:color w:val="auto"/>
              </w:rPr>
              <w:t>F-46</w:t>
            </w:r>
          </w:p>
        </w:tc>
      </w:tr>
      <w:tr>
        <w:trPr>
          <w:trHeight w:val="28"/>
        </w:trPr>
        <w:tc>
          <w:tcPr>
            <w:tcW w:w="160" w:type="dxa"/>
            <w:vAlign w:val="bottom"/>
            <w:shd w:val="clear" w:color="auto" w:fill="0000EE"/>
          </w:tcPr>
          <w:p>
            <w:pPr>
              <w:spacing w:after="0"/>
              <w:rPr>
                <w:sz w:val="2"/>
                <w:szCs w:val="2"/>
                <w:color w:val="auto"/>
              </w:rPr>
            </w:pPr>
          </w:p>
        </w:tc>
        <w:tc>
          <w:tcPr>
            <w:tcW w:w="3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7"/>
        </w:trPr>
        <w:tc>
          <w:tcPr>
            <w:tcW w:w="4700" w:type="dxa"/>
            <w:vAlign w:val="bottom"/>
            <w:tcBorders>
              <w:bottom w:val="single" w:sz="8" w:color="0000EE"/>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7"/>
              </w:rPr>
              <w:t>Consolidated Balance Sheets as of December 31, 2021 and 2020 (restated)</w:t>
            </w:r>
          </w:p>
        </w:tc>
        <w:tc>
          <w:tcPr>
            <w:tcW w:w="566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ind w:left="300"/>
              <w:spacing w:after="0" w:line="161" w:lineRule="exact"/>
              <w:rPr>
                <w:sz w:val="20"/>
                <w:szCs w:val="20"/>
                <w:color w:val="auto"/>
              </w:rPr>
            </w:pPr>
            <w:r>
              <w:rPr>
                <w:rFonts w:ascii="Times New Roman" w:cs="Times New Roman" w:eastAsia="Times New Roman" w:hAnsi="Times New Roman"/>
                <w:sz w:val="16"/>
                <w:szCs w:val="16"/>
                <w:color w:val="auto"/>
              </w:rPr>
              <w:t>F-47</w:t>
            </w:r>
          </w:p>
        </w:tc>
      </w:tr>
      <w:tr>
        <w:trPr>
          <w:trHeight w:val="154"/>
        </w:trPr>
        <w:tc>
          <w:tcPr>
            <w:tcW w:w="10360" w:type="dxa"/>
            <w:vAlign w:val="bottom"/>
            <w:gridSpan w:val="9"/>
          </w:tcPr>
          <w:p>
            <w:pPr>
              <w:spacing w:after="0" w:line="154"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2021, 2020 (restated) and 2019 (restated)</w:t>
            </w:r>
          </w:p>
        </w:tc>
        <w:tc>
          <w:tcPr>
            <w:tcW w:w="900" w:type="dxa"/>
            <w:vAlign w:val="bottom"/>
          </w:tcPr>
          <w:p>
            <w:pPr>
              <w:ind w:left="300"/>
              <w:spacing w:after="0" w:line="154" w:lineRule="exact"/>
              <w:rPr>
                <w:sz w:val="20"/>
                <w:szCs w:val="20"/>
                <w:color w:val="auto"/>
              </w:rPr>
            </w:pPr>
            <w:r>
              <w:rPr>
                <w:rFonts w:ascii="Times New Roman" w:cs="Times New Roman" w:eastAsia="Times New Roman" w:hAnsi="Times New Roman"/>
                <w:sz w:val="16"/>
                <w:szCs w:val="16"/>
                <w:color w:val="auto"/>
              </w:rPr>
              <w:t>F-48</w:t>
            </w:r>
          </w:p>
        </w:tc>
      </w:tr>
      <w:tr>
        <w:trPr>
          <w:trHeight w:val="28"/>
        </w:trPr>
        <w:tc>
          <w:tcPr>
            <w:tcW w:w="160" w:type="dxa"/>
            <w:vAlign w:val="bottom"/>
            <w:shd w:val="clear" w:color="auto" w:fill="0000EE"/>
          </w:tcPr>
          <w:p>
            <w:pPr>
              <w:spacing w:after="0"/>
              <w:rPr>
                <w:sz w:val="2"/>
                <w:szCs w:val="2"/>
                <w:color w:val="auto"/>
              </w:rPr>
            </w:pPr>
          </w:p>
        </w:tc>
        <w:tc>
          <w:tcPr>
            <w:tcW w:w="3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9900" w:type="dxa"/>
            <w:vAlign w:val="bottom"/>
            <w:tcBorders>
              <w:bottom w:val="single" w:sz="8" w:color="0000EE"/>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8"/>
              </w:rPr>
              <w:t>Condensed Consolidated Statements of Changes in Redeemable Non-Controlling Interest, Redeemable Preferred Non-Controlling Interest and Stockholders’</w:t>
            </w:r>
          </w:p>
        </w:tc>
        <w:tc>
          <w:tcPr>
            <w:tcW w:w="4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84"/>
        </w:trPr>
        <w:tc>
          <w:tcPr>
            <w:tcW w:w="160" w:type="dxa"/>
            <w:vAlign w:val="bottom"/>
            <w:tcBorders>
              <w:bottom w:val="single" w:sz="8" w:color="CCEEFF"/>
            </w:tcBorders>
            <w:shd w:val="clear" w:color="auto" w:fill="CCEEFF"/>
          </w:tcPr>
          <w:p>
            <w:pPr>
              <w:spacing w:after="0"/>
              <w:rPr>
                <w:sz w:val="16"/>
                <w:szCs w:val="16"/>
                <w:color w:val="auto"/>
              </w:rPr>
            </w:pPr>
          </w:p>
        </w:tc>
        <w:tc>
          <w:tcPr>
            <w:tcW w:w="5840" w:type="dxa"/>
            <w:vAlign w:val="bottom"/>
            <w:tcBorders>
              <w:bottom w:val="single" w:sz="8" w:color="0000EE"/>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w w:val="97"/>
              </w:rPr>
              <w:t>(Deficit) Equity for the Years Ended December 31, 2021, 2020 (restated) and 2019 (restated)</w:t>
            </w:r>
          </w:p>
        </w:tc>
        <w:tc>
          <w:tcPr>
            <w:tcW w:w="4360" w:type="dxa"/>
            <w:vAlign w:val="bottom"/>
            <w:tcBorders>
              <w:bottom w:val="single" w:sz="8" w:color="CCEEFF"/>
            </w:tcBorders>
            <w:gridSpan w:val="4"/>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F-49</w:t>
            </w:r>
          </w:p>
        </w:tc>
      </w:tr>
      <w:tr>
        <w:trPr>
          <w:trHeight w:val="161"/>
        </w:trPr>
        <w:tc>
          <w:tcPr>
            <w:tcW w:w="7360" w:type="dxa"/>
            <w:vAlign w:val="bottom"/>
            <w:tcBorders>
              <w:bottom w:val="single" w:sz="8" w:color="0000EE"/>
            </w:tcBorders>
            <w:gridSpan w:val="7"/>
          </w:tcPr>
          <w:p>
            <w:pPr>
              <w:spacing w:after="0" w:line="154" w:lineRule="exact"/>
              <w:rPr>
                <w:sz w:val="20"/>
                <w:szCs w:val="20"/>
                <w:color w:val="auto"/>
              </w:rPr>
            </w:pPr>
            <w:r>
              <w:rPr>
                <w:rFonts w:ascii="Times New Roman" w:cs="Times New Roman" w:eastAsia="Times New Roman" w:hAnsi="Times New Roman"/>
                <w:sz w:val="16"/>
                <w:szCs w:val="16"/>
                <w:color w:val="0000EE"/>
                <w:w w:val="97"/>
              </w:rPr>
              <w:t>Consolidated Statements of Cash Flows for the Years Ended December 31, 2021, 2020 (restated) and 2019 (restated)</w:t>
            </w:r>
          </w:p>
        </w:tc>
        <w:tc>
          <w:tcPr>
            <w:tcW w:w="3000" w:type="dxa"/>
            <w:vAlign w:val="bottom"/>
            <w:gridSpan w:val="2"/>
          </w:tcPr>
          <w:p>
            <w:pPr>
              <w:spacing w:after="0"/>
              <w:rPr>
                <w:sz w:val="14"/>
                <w:szCs w:val="14"/>
                <w:color w:val="auto"/>
              </w:rPr>
            </w:pPr>
          </w:p>
        </w:tc>
        <w:tc>
          <w:tcPr>
            <w:tcW w:w="900" w:type="dxa"/>
            <w:vAlign w:val="bottom"/>
          </w:tcPr>
          <w:p>
            <w:pPr>
              <w:ind w:left="300"/>
              <w:spacing w:after="0" w:line="154" w:lineRule="exact"/>
              <w:rPr>
                <w:sz w:val="20"/>
                <w:szCs w:val="20"/>
                <w:color w:val="auto"/>
              </w:rPr>
            </w:pPr>
            <w:r>
              <w:rPr>
                <w:rFonts w:ascii="Times New Roman" w:cs="Times New Roman" w:eastAsia="Times New Roman" w:hAnsi="Times New Roman"/>
                <w:sz w:val="16"/>
                <w:szCs w:val="16"/>
                <w:color w:val="auto"/>
              </w:rPr>
              <w:t>F-50</w:t>
            </w:r>
          </w:p>
        </w:tc>
      </w:tr>
      <w:tr>
        <w:trPr>
          <w:trHeight w:val="177"/>
        </w:trPr>
        <w:tc>
          <w:tcPr>
            <w:tcW w:w="10360" w:type="dxa"/>
            <w:vAlign w:val="bottom"/>
            <w:gridSpan w:val="9"/>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Consolidated Financial Statements (restated)</w:t>
            </w:r>
          </w:p>
        </w:tc>
        <w:tc>
          <w:tcPr>
            <w:tcW w:w="900" w:type="dxa"/>
            <w:vAlign w:val="bottom"/>
            <w:shd w:val="clear" w:color="auto" w:fill="CCEEFF"/>
          </w:tcPr>
          <w:p>
            <w:pPr>
              <w:ind w:left="300"/>
              <w:spacing w:after="0" w:line="161" w:lineRule="exact"/>
              <w:rPr>
                <w:sz w:val="20"/>
                <w:szCs w:val="20"/>
                <w:color w:val="auto"/>
              </w:rPr>
            </w:pPr>
            <w:r>
              <w:rPr>
                <w:rFonts w:ascii="Times New Roman" w:cs="Times New Roman" w:eastAsia="Times New Roman" w:hAnsi="Times New Roman"/>
                <w:sz w:val="16"/>
                <w:szCs w:val="16"/>
                <w:color w:val="auto"/>
              </w:rPr>
              <w:t>F-52</w:t>
            </w:r>
          </w:p>
        </w:tc>
      </w:tr>
      <w:tr>
        <w:trPr>
          <w:trHeight w:val="379"/>
        </w:trPr>
        <w:tc>
          <w:tcPr>
            <w:tcW w:w="160" w:type="dxa"/>
            <w:vAlign w:val="bottom"/>
            <w:tcBorders>
              <w:top w:val="single" w:sz="8" w:color="0000EE"/>
            </w:tcBorders>
          </w:tcPr>
          <w:p>
            <w:pPr>
              <w:spacing w:after="0"/>
              <w:rPr>
                <w:sz w:val="24"/>
                <w:szCs w:val="24"/>
                <w:color w:val="auto"/>
              </w:rPr>
            </w:pPr>
          </w:p>
        </w:tc>
        <w:tc>
          <w:tcPr>
            <w:tcW w:w="32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680" w:type="dxa"/>
            <w:vAlign w:val="bottom"/>
            <w:tcBorders>
              <w:top w:val="single" w:sz="8" w:color="CCEEFF"/>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BEACON RNG LLC FINANCIAL STATEMENTS</w:t>
            </w:r>
          </w:p>
        </w:tc>
        <w:tc>
          <w:tcPr>
            <w:tcW w:w="900" w:type="dxa"/>
            <w:vAlign w:val="bottom"/>
            <w:tcBorders>
              <w:top w:val="single" w:sz="8" w:color="CCEEFF"/>
            </w:tcBorders>
          </w:tcPr>
          <w:p>
            <w:pPr>
              <w:spacing w:after="0"/>
              <w:rPr>
                <w:sz w:val="24"/>
                <w:szCs w:val="24"/>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4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89"/>
        </w:trPr>
        <w:tc>
          <w:tcPr>
            <w:tcW w:w="103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Audited Financial Statements of Beacon RNG LLC</w:t>
            </w:r>
          </w:p>
        </w:tc>
        <w:tc>
          <w:tcPr>
            <w:tcW w:w="900" w:type="dxa"/>
            <w:vAlign w:val="bottom"/>
            <w:shd w:val="clear" w:color="auto" w:fill="CCEEFF"/>
          </w:tcPr>
          <w:p>
            <w:pPr>
              <w:spacing w:after="0"/>
              <w:rPr>
                <w:sz w:val="16"/>
                <w:szCs w:val="16"/>
                <w:color w:val="auto"/>
              </w:rPr>
            </w:pPr>
          </w:p>
        </w:tc>
      </w:tr>
      <w:tr>
        <w:trPr>
          <w:trHeight w:val="154"/>
        </w:trPr>
        <w:tc>
          <w:tcPr>
            <w:tcW w:w="10360" w:type="dxa"/>
            <w:vAlign w:val="bottom"/>
            <w:gridSpan w:val="7"/>
          </w:tcPr>
          <w:p>
            <w:pPr>
              <w:spacing w:after="0" w:line="154" w:lineRule="exact"/>
              <w:rPr>
                <w:sz w:val="20"/>
                <w:szCs w:val="20"/>
                <w:color w:val="auto"/>
              </w:rPr>
            </w:pPr>
            <w:r>
              <w:rPr>
                <w:rFonts w:ascii="Times New Roman" w:cs="Times New Roman" w:eastAsia="Times New Roman" w:hAnsi="Times New Roman"/>
                <w:sz w:val="16"/>
                <w:szCs w:val="16"/>
                <w:color w:val="0000EE"/>
              </w:rPr>
              <w:t>Report of Independent Auditor</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F-101</w:t>
            </w:r>
          </w:p>
        </w:tc>
      </w:tr>
      <w:tr>
        <w:trPr>
          <w:trHeight w:val="28"/>
        </w:trPr>
        <w:tc>
          <w:tcPr>
            <w:tcW w:w="194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10360" w:type="dxa"/>
            <w:vAlign w:val="bottom"/>
            <w:gridSpan w:val="7"/>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Consolidated Balance Sheet as of April 30, 2021</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F-103</w:t>
            </w:r>
          </w:p>
        </w:tc>
      </w:tr>
      <w:tr>
        <w:trPr>
          <w:trHeight w:val="35"/>
        </w:trPr>
        <w:tc>
          <w:tcPr>
            <w:tcW w:w="19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61"/>
        </w:trPr>
        <w:tc>
          <w:tcPr>
            <w:tcW w:w="4760" w:type="dxa"/>
            <w:vAlign w:val="bottom"/>
            <w:tcBorders>
              <w:bottom w:val="single" w:sz="8" w:color="0000EE"/>
            </w:tcBorders>
            <w:gridSpan w:val="4"/>
          </w:tcPr>
          <w:p>
            <w:pPr>
              <w:spacing w:after="0" w:line="154" w:lineRule="exact"/>
              <w:rPr>
                <w:sz w:val="20"/>
                <w:szCs w:val="20"/>
                <w:color w:val="auto"/>
              </w:rPr>
            </w:pPr>
            <w:r>
              <w:rPr>
                <w:rFonts w:ascii="Times New Roman" w:cs="Times New Roman" w:eastAsia="Times New Roman" w:hAnsi="Times New Roman"/>
                <w:sz w:val="16"/>
                <w:szCs w:val="16"/>
                <w:color w:val="0000EE"/>
                <w:w w:val="97"/>
              </w:rPr>
              <w:t>Consolidated Statements of Operations for the period Ended April 30, 2021</w:t>
            </w:r>
          </w:p>
        </w:tc>
        <w:tc>
          <w:tcPr>
            <w:tcW w:w="5600" w:type="dxa"/>
            <w:vAlign w:val="bottom"/>
            <w:gridSpan w:val="3"/>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F-104</w:t>
            </w:r>
          </w:p>
        </w:tc>
      </w:tr>
      <w:tr>
        <w:trPr>
          <w:trHeight w:val="177"/>
        </w:trPr>
        <w:tc>
          <w:tcPr>
            <w:tcW w:w="5920" w:type="dxa"/>
            <w:vAlign w:val="bottom"/>
            <w:tcBorders>
              <w:bottom w:val="single" w:sz="8" w:color="0000EE"/>
            </w:tcBorders>
            <w:gridSpan w:val="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8"/>
              </w:rPr>
              <w:t>Consolidated Statements of Changes in Members’ Equity for the period Ended April 30, 2021</w:t>
            </w:r>
          </w:p>
        </w:tc>
        <w:tc>
          <w:tcPr>
            <w:tcW w:w="44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F-105</w:t>
            </w:r>
          </w:p>
        </w:tc>
      </w:tr>
      <w:tr>
        <w:trPr>
          <w:trHeight w:val="161"/>
        </w:trPr>
        <w:tc>
          <w:tcPr>
            <w:tcW w:w="10360" w:type="dxa"/>
            <w:vAlign w:val="bottom"/>
            <w:gridSpan w:val="7"/>
          </w:tcPr>
          <w:p>
            <w:pPr>
              <w:spacing w:after="0" w:line="154" w:lineRule="exact"/>
              <w:rPr>
                <w:sz w:val="20"/>
                <w:szCs w:val="20"/>
                <w:color w:val="auto"/>
              </w:rPr>
            </w:pPr>
            <w:r>
              <w:rPr>
                <w:rFonts w:ascii="Times New Roman" w:cs="Times New Roman" w:eastAsia="Times New Roman" w:hAnsi="Times New Roman"/>
                <w:sz w:val="16"/>
                <w:szCs w:val="16"/>
                <w:color w:val="0000EE"/>
              </w:rPr>
              <w:t>Consolidated Statements of Cash Flows for the period Ended April 30, 2021</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F-106</w:t>
            </w:r>
          </w:p>
        </w:tc>
      </w:tr>
      <w:tr>
        <w:trPr>
          <w:trHeight w:val="161"/>
        </w:trPr>
        <w:tc>
          <w:tcPr>
            <w:tcW w:w="4800" w:type="dxa"/>
            <w:vAlign w:val="bottom"/>
            <w:tcBorders>
              <w:top w:val="single" w:sz="8" w:color="0000EE"/>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560" w:type="dxa"/>
            <w:vAlign w:val="bottom"/>
            <w:gridSpan w:val="2"/>
            <w:shd w:val="clear" w:color="auto" w:fill="CCEEFF"/>
          </w:tcPr>
          <w:p>
            <w:pPr>
              <w:spacing w:after="0"/>
              <w:rPr>
                <w:sz w:val="14"/>
                <w:szCs w:val="14"/>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F-107</w:t>
            </w:r>
          </w:p>
        </w:tc>
      </w:tr>
      <w:tr>
        <w:trPr>
          <w:trHeight w:val="35"/>
        </w:trPr>
        <w:tc>
          <w:tcPr>
            <w:tcW w:w="19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42"/>
        </w:trPr>
        <w:tc>
          <w:tcPr>
            <w:tcW w:w="10360" w:type="dxa"/>
            <w:vAlign w:val="bottom"/>
            <w:gridSpan w:val="8"/>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0000EE"/>
              </w:rPr>
              <w:t>Consolidated Balance Sheets as of December 31, 2020 and 2019</w:t>
            </w:r>
          </w:p>
        </w:tc>
        <w:tc>
          <w:tcPr>
            <w:tcW w:w="9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F-114</w:t>
            </w:r>
          </w:p>
        </w:tc>
      </w:tr>
      <w:tr>
        <w:trPr>
          <w:trHeight w:val="27"/>
        </w:trPr>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8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50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54"/>
        </w:trPr>
        <w:tc>
          <w:tcPr>
            <w:tcW w:w="10360" w:type="dxa"/>
            <w:vAlign w:val="bottom"/>
            <w:gridSpan w:val="8"/>
          </w:tcPr>
          <w:p>
            <w:pPr>
              <w:spacing w:after="0" w:line="154" w:lineRule="exact"/>
              <w:rPr>
                <w:sz w:val="20"/>
                <w:szCs w:val="20"/>
                <w:color w:val="auto"/>
              </w:rPr>
            </w:pPr>
            <w:r>
              <w:rPr>
                <w:rFonts w:ascii="Times New Roman" w:cs="Times New Roman" w:eastAsia="Times New Roman" w:hAnsi="Times New Roman"/>
                <w:sz w:val="16"/>
                <w:szCs w:val="16"/>
                <w:color w:val="0000EE"/>
              </w:rPr>
              <w:t>Consolidated Statements of Operations for the Year Ended 2020 and for the period from March 11, 2019 (Inception) through December 31, 2019</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4"/>
              </w:rPr>
              <w:t>F-115</w:t>
            </w:r>
          </w:p>
        </w:tc>
      </w:tr>
      <w:tr>
        <w:trPr>
          <w:trHeight w:val="28"/>
        </w:trPr>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8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506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10360" w:type="dxa"/>
            <w:vAlign w:val="bottom"/>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Consolidated Statements of Changes in Members’ Equity for the Year Ended 2020 and for the period from March 11, 2019 (Inception) through December 31,</w:t>
            </w:r>
          </w:p>
        </w:tc>
        <w:tc>
          <w:tcPr>
            <w:tcW w:w="900" w:type="dxa"/>
            <w:vAlign w:val="bottom"/>
            <w:shd w:val="clear" w:color="auto" w:fill="CCEEFF"/>
          </w:tcPr>
          <w:p>
            <w:pPr>
              <w:spacing w:after="0"/>
              <w:rPr>
                <w:sz w:val="14"/>
                <w:szCs w:val="14"/>
                <w:color w:val="auto"/>
              </w:rPr>
            </w:pPr>
          </w:p>
        </w:tc>
      </w:tr>
      <w:tr>
        <w:trPr>
          <w:trHeight w:val="169"/>
        </w:trPr>
        <w:tc>
          <w:tcPr>
            <w:tcW w:w="2740" w:type="dxa"/>
            <w:vAlign w:val="bottom"/>
            <w:tcBorders>
              <w:top w:val="single" w:sz="8" w:color="0000EE"/>
            </w:tcBorders>
            <w:gridSpan w:val="3"/>
            <w:shd w:val="clear" w:color="auto" w:fill="CCEEFF"/>
          </w:tcPr>
          <w:p>
            <w:pPr>
              <w:ind w:left="160"/>
              <w:spacing w:after="0" w:line="169" w:lineRule="exact"/>
              <w:rPr>
                <w:sz w:val="20"/>
                <w:szCs w:val="20"/>
                <w:color w:val="auto"/>
              </w:rPr>
            </w:pPr>
            <w:r>
              <w:rPr>
                <w:rFonts w:ascii="Times New Roman" w:cs="Times New Roman" w:eastAsia="Times New Roman" w:hAnsi="Times New Roman"/>
                <w:sz w:val="16"/>
                <w:szCs w:val="16"/>
                <w:color w:val="0000EE"/>
              </w:rPr>
              <w:t>2019</w:t>
            </w:r>
          </w:p>
        </w:tc>
        <w:tc>
          <w:tcPr>
            <w:tcW w:w="1320" w:type="dxa"/>
            <w:vAlign w:val="bottom"/>
            <w:tcBorders>
              <w:top w:val="single" w:sz="8" w:color="0000EE"/>
            </w:tcBorders>
            <w:shd w:val="clear" w:color="auto" w:fill="CCEEFF"/>
          </w:tcPr>
          <w:p>
            <w:pPr>
              <w:spacing w:after="0"/>
              <w:rPr>
                <w:sz w:val="14"/>
                <w:szCs w:val="14"/>
                <w:color w:val="auto"/>
              </w:rPr>
            </w:pPr>
          </w:p>
        </w:tc>
        <w:tc>
          <w:tcPr>
            <w:tcW w:w="50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74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4"/>
              </w:rPr>
              <w:t>F-116</w:t>
            </w:r>
          </w:p>
        </w:tc>
      </w:tr>
      <w:tr>
        <w:trPr>
          <w:trHeight w:val="35"/>
        </w:trPr>
        <w:tc>
          <w:tcPr>
            <w:tcW w:w="160" w:type="dxa"/>
            <w:vAlign w:val="bottom"/>
            <w:shd w:val="clear" w:color="auto" w:fill="CCEEFF"/>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0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61"/>
        </w:trPr>
        <w:tc>
          <w:tcPr>
            <w:tcW w:w="9180" w:type="dxa"/>
            <w:vAlign w:val="bottom"/>
            <w:tcBorders>
              <w:bottom w:val="single" w:sz="8" w:color="0000EE"/>
            </w:tcBorders>
            <w:gridSpan w:val="6"/>
          </w:tcPr>
          <w:p>
            <w:pPr>
              <w:spacing w:after="0" w:line="154" w:lineRule="exact"/>
              <w:rPr>
                <w:sz w:val="20"/>
                <w:szCs w:val="20"/>
                <w:color w:val="auto"/>
              </w:rPr>
            </w:pPr>
            <w:r>
              <w:rPr>
                <w:rFonts w:ascii="Times New Roman" w:cs="Times New Roman" w:eastAsia="Times New Roman" w:hAnsi="Times New Roman"/>
                <w:sz w:val="16"/>
                <w:szCs w:val="16"/>
                <w:color w:val="0000EE"/>
                <w:w w:val="97"/>
              </w:rPr>
              <w:t>Consolidated Statements of Cash Flows for the Year Ended 2020 and for the period from March 11, 2019 (Inception) through December 31, 2019</w:t>
            </w:r>
          </w:p>
        </w:tc>
        <w:tc>
          <w:tcPr>
            <w:tcW w:w="1180" w:type="dxa"/>
            <w:vAlign w:val="bottom"/>
            <w:gridSpan w:val="2"/>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4"/>
              </w:rPr>
              <w:t>F-117</w:t>
            </w:r>
          </w:p>
        </w:tc>
      </w:tr>
      <w:tr>
        <w:trPr>
          <w:trHeight w:val="177"/>
        </w:trPr>
        <w:tc>
          <w:tcPr>
            <w:tcW w:w="10360" w:type="dxa"/>
            <w:vAlign w:val="bottom"/>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4"/>
              </w:rPr>
              <w:t>F-118</w:t>
            </w:r>
          </w:p>
        </w:tc>
      </w:tr>
      <w:tr>
        <w:trPr>
          <w:trHeight w:val="571"/>
        </w:trPr>
        <w:tc>
          <w:tcPr>
            <w:tcW w:w="1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28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gridSpan w:val="4"/>
          </w:tcPr>
          <w:p>
            <w:pPr>
              <w:ind w:left="1460"/>
              <w:spacing w:after="0"/>
              <w:rPr>
                <w:sz w:val="20"/>
                <w:szCs w:val="20"/>
                <w:color w:val="auto"/>
              </w:rPr>
            </w:pPr>
            <w:r>
              <w:rPr>
                <w:rFonts w:ascii="Times New Roman" w:cs="Times New Roman" w:eastAsia="Times New Roman" w:hAnsi="Times New Roman"/>
                <w:sz w:val="16"/>
                <w:szCs w:val="16"/>
                <w:color w:val="auto"/>
              </w:rPr>
              <w:t>F-1</w:t>
            </w: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06" w:right="319" w:bottom="1440" w:gutter="0" w:footer="0" w:header="0"/>
        </w:sectPr>
      </w:pPr>
    </w:p>
    <w:bookmarkStart w:id="152" w:name="page153"/>
    <w:bookmarkEnd w:id="152"/>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1"/>
        </w:trPr>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30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Cash and cash equivalents (includes $10,045 and $1,991 at September 30, 2022 and December 31, 2021, respectively, related to</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39,314</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Accounts receivable, net (includes $1,129 and $40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25,391</w:t>
            </w: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Restricted cash - current (includes $7,623 and $— at September 30, 2022 and December 31, 2021, respectively, related to</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Short term investments ( includes $15,411 and $—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146,936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8,484</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Parts inventory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5,143</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inventory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Prepaid expense and other current assets (includes $268 and $113 at September 30, 2022 and December 31, 2021, respectively,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5,482</w:t>
            </w:r>
          </w:p>
        </w:tc>
        <w:tc>
          <w:tcPr>
            <w:tcW w:w="0" w:type="dxa"/>
            <w:vAlign w:val="bottom"/>
          </w:tcPr>
          <w:p>
            <w:pPr>
              <w:spacing w:after="0"/>
              <w:rPr>
                <w:sz w:val="1"/>
                <w:szCs w:val="1"/>
                <w:color w:val="auto"/>
              </w:rPr>
            </w:pPr>
          </w:p>
        </w:tc>
      </w:tr>
      <w:tr>
        <w:trPr>
          <w:trHeight w:val="22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176"/>
        </w:trPr>
        <w:tc>
          <w:tcPr>
            <w:tcW w:w="730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13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286,255</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86,975</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spares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Property, plant, and equipment, net (includes $50,099 and $27,794 at September 30, 2022 and December 31, 2021, respectively,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250,355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169,770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48,708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47,150</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 receivable</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9,200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 receivable - variable fee component</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1,656</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assets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Restricted cash - non-current (includes $2,867 and $1,163 at September 30, 2022 and December 31, 2021, respectively, related to</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2,740</w:t>
            </w:r>
          </w:p>
        </w:tc>
        <w:tc>
          <w:tcPr>
            <w:tcW w:w="0" w:type="dxa"/>
            <w:vAlign w:val="bottom"/>
          </w:tcPr>
          <w:p>
            <w:pPr>
              <w:spacing w:after="0"/>
              <w:rPr>
                <w:sz w:val="1"/>
                <w:szCs w:val="1"/>
                <w:color w:val="auto"/>
              </w:rPr>
            </w:pPr>
          </w:p>
        </w:tc>
      </w:tr>
      <w:tr>
        <w:trPr>
          <w:trHeight w:val="201"/>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54,608</w:t>
            </w:r>
          </w:p>
        </w:tc>
        <w:tc>
          <w:tcPr>
            <w:tcW w:w="0" w:type="dxa"/>
            <w:vAlign w:val="bottom"/>
          </w:tcPr>
          <w:p>
            <w:pPr>
              <w:spacing w:after="0"/>
              <w:rPr>
                <w:sz w:val="1"/>
                <w:szCs w:val="1"/>
                <w:color w:val="auto"/>
              </w:rPr>
            </w:pPr>
          </w:p>
        </w:tc>
      </w:tr>
      <w:tr>
        <w:trPr>
          <w:trHeight w:val="24"/>
        </w:trPr>
        <w:tc>
          <w:tcPr>
            <w:tcW w:w="73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3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00" w:type="dxa"/>
            <w:vAlign w:val="bottom"/>
            <w:vMerge w:val="continue"/>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656,056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380,844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Accounts payable (includes $2,783 and $544 at September 30, 2022 and December 31, 2021, respectively, related to consolidated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12,581</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tax credits payable</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payroll</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7,652</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Accrued capital expenses (includes $1,493 and $1,722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5,517</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16,063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7,220</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9,785</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 - term loan, current portion, net of debt issuance costs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70,179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73,145</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 - working capital facility, current portion</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OPAL Term Loan, current portion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28,432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13,425</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Sunoma loan, current portion (includes $— and $756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27,964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Municipality loan</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4,648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2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 current portion</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176"/>
        </w:trPr>
        <w:tc>
          <w:tcPr>
            <w:tcW w:w="730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13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187,580</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142,116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 non-current portion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OPAL Term Loan</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60,816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59,090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Sunoma loan, net of debt issuance costs (includes $22,080 and $16,199 at September 30, 2022 and December 31, 2021, respectively,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16,199</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Municipality loan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warrant liabilities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 out liabilities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39,500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4,781</w:t>
            </w:r>
          </w:p>
        </w:tc>
        <w:tc>
          <w:tcPr>
            <w:tcW w:w="0" w:type="dxa"/>
            <w:vAlign w:val="bottom"/>
          </w:tcPr>
          <w:p>
            <w:pPr>
              <w:spacing w:after="0"/>
              <w:rPr>
                <w:sz w:val="1"/>
                <w:szCs w:val="1"/>
                <w:color w:val="auto"/>
              </w:rPr>
            </w:pPr>
          </w:p>
        </w:tc>
      </w:tr>
      <w:tr>
        <w:trPr>
          <w:trHeight w:val="209"/>
        </w:trPr>
        <w:tc>
          <w:tcPr>
            <w:tcW w:w="73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135,303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30,210</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1,222,657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63,545</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 equity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300" w:type="dxa"/>
            <w:vAlign w:val="bottom"/>
          </w:tcPr>
          <w:p>
            <w:pPr>
              <w:ind w:left="120"/>
              <w:spacing w:after="0" w:line="172" w:lineRule="exact"/>
              <w:rPr>
                <w:sz w:val="20"/>
                <w:szCs w:val="20"/>
                <w:color w:val="auto"/>
              </w:rPr>
            </w:pPr>
            <w:r>
              <w:rPr>
                <w:rFonts w:ascii="Times New Roman" w:cs="Times New Roman" w:eastAsia="Times New Roman" w:hAnsi="Times New Roman"/>
                <w:sz w:val="16"/>
                <w:szCs w:val="16"/>
                <w:color w:val="auto"/>
                <w:w w:val="99"/>
              </w:rPr>
              <w:t>Class A common stock, $0.0001 par value, 337,852,251 shares authorized as of September 30, 2022; 25,671,390</w:t>
            </w:r>
          </w:p>
        </w:tc>
        <w:tc>
          <w:tcPr>
            <w:tcW w:w="146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6"/>
                <w:szCs w:val="16"/>
                <w:color w:val="auto"/>
                <w:w w:val="95"/>
              </w:rPr>
              <w:t>and 0 shares, issued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outstanding at September 30, 2022 and December 31, 2021, respectively</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Class B common stock, $0.0001 par value, 157,498,947 shares authorized as of September 30, 2022; None issued and outstanding as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of September 30, 2022 and December 31, 2021</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Class C common stock, $0.0001 par value, 154,309,729 shares authorized as of September 30, 2022; None issued and outstanding as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of September 30, 2022 and December 31, 2021</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8"/>
              </w:rPr>
              <w:t>Class D common stock, $0.0001 par value, 154,309,729 shares authorized as of September 30, 2022; 144,399,037</w:t>
            </w: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issued and</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6"/>
        </w:trPr>
        <w:tc>
          <w:tcPr>
            <w:tcW w:w="7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60"/>
          </w:cols>
          <w:pgMar w:left="320" w:top="806" w:right="319" w:bottom="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at September 30, 2022 and December 31, 2021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6"/>
                <w:szCs w:val="16"/>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(1,066,137)</w:t>
            </w:r>
          </w:p>
        </w:tc>
        <w:tc>
          <w:tcPr>
            <w:tcW w:w="3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7"/>
                <w:szCs w:val="17"/>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178</w:t>
            </w:r>
          </w:p>
        </w:tc>
        <w:tc>
          <w:tcPr>
            <w:tcW w:w="340" w:type="dxa"/>
            <w:vAlign w:val="bottom"/>
          </w:tcPr>
          <w:p>
            <w:pPr>
              <w:spacing w:after="0"/>
              <w:rPr>
                <w:sz w:val="17"/>
                <w:szCs w:val="17"/>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(deficit) equity attributable to the Company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(1,065,943</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8680" w:type="dxa"/>
            <w:vAlign w:val="bottom"/>
            <w:tcBorders>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Non-redeemable non-controlling interests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26,674</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1,188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09"/>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(1,039,269</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0"/>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Redeemable preferred, Redeemable non-controlling interests and Stockholders’ (deficit) equity</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656,056</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380,844</w:t>
            </w:r>
          </w:p>
        </w:tc>
        <w:tc>
          <w:tcPr>
            <w:tcW w:w="100" w:type="dxa"/>
            <w:vAlign w:val="bottom"/>
          </w:tcPr>
          <w:p>
            <w:pPr>
              <w:spacing w:after="0"/>
              <w:rPr>
                <w:sz w:val="17"/>
                <w:szCs w:val="17"/>
                <w:color w:val="auto"/>
              </w:rPr>
            </w:pPr>
          </w:p>
        </w:tc>
      </w:tr>
      <w:tr>
        <w:trPr>
          <w:trHeight w:val="27"/>
        </w:trPr>
        <w:tc>
          <w:tcPr>
            <w:tcW w:w="8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4" w:name="page155"/>
    <w:bookmarkEnd w:id="154"/>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unit data)</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32,381</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17,892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83,196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37,066</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23,227</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18,387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55,524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35,560</w:t>
            </w: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10,942</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30,094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32,342</w:t>
            </w:r>
          </w:p>
        </w:tc>
        <w:tc>
          <w:tcPr>
            <w:tcW w:w="0" w:type="dxa"/>
            <w:vAlign w:val="bottom"/>
          </w:tcPr>
          <w:p>
            <w:pPr>
              <w:spacing w:after="0"/>
              <w:rPr>
                <w:sz w:val="1"/>
                <w:szCs w:val="1"/>
                <w:color w:val="auto"/>
              </w:rPr>
            </w:pPr>
          </w:p>
        </w:tc>
      </w:tr>
      <w:tr>
        <w:trPr>
          <w:trHeight w:val="176"/>
        </w:trPr>
        <w:tc>
          <w:tcPr>
            <w:tcW w:w="598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66,550</w:t>
            </w:r>
          </w:p>
        </w:tc>
        <w:tc>
          <w:tcPr>
            <w:tcW w:w="24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47,184</w:t>
            </w: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168,814</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104,968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 - RNG fuel</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20,959</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51,843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23,053</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20,886</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15,458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49,643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29,775</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7,645</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23,593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23,952</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15,751</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34,561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19,107</w:t>
            </w:r>
          </w:p>
        </w:tc>
        <w:tc>
          <w:tcPr>
            <w:tcW w:w="0" w:type="dxa"/>
            <w:vAlign w:val="bottom"/>
          </w:tcPr>
          <w:p>
            <w:pPr>
              <w:spacing w:after="0"/>
              <w:rPr>
                <w:sz w:val="1"/>
                <w:szCs w:val="1"/>
                <w:color w:val="auto"/>
              </w:rPr>
            </w:pPr>
          </w:p>
        </w:tc>
      </w:tr>
      <w:tr>
        <w:trPr>
          <w:trHeight w:val="204"/>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tcPr>
          <w:p>
            <w:pPr>
              <w:spacing w:after="0"/>
              <w:rPr>
                <w:sz w:val="17"/>
                <w:szCs w:val="17"/>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3,258</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9,816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6,672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80" w:type="dxa"/>
            <w:vAlign w:val="bottom"/>
            <w:tcBorders>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Operating (loss) income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(1,949</w:t>
            </w:r>
          </w:p>
        </w:tc>
        <w:tc>
          <w:tcPr>
            <w:tcW w:w="240" w:type="dxa"/>
            <w:vAlign w:val="bottom"/>
            <w:tcBorders>
              <w:bottom w:val="single" w:sz="8" w:color="CCEEFF"/>
            </w:tcBorders>
          </w:tcPr>
          <w:p>
            <w:pPr>
              <w:jc w:val="right"/>
              <w:ind w:right="10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3,154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(642</w:t>
            </w:r>
          </w:p>
        </w:tc>
        <w:tc>
          <w:tcPr>
            <w:tcW w:w="140" w:type="dxa"/>
            <w:vAlign w:val="bottom"/>
            <w:tcBorders>
              <w:bottom w:val="single" w:sz="8" w:color="CCEEFF"/>
            </w:tcBorders>
          </w:tcPr>
          <w:p>
            <w:pPr>
              <w:jc w:val="right"/>
              <w:ind w:right="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2,409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40" w:type="dxa"/>
            <w:vAlign w:val="bottom"/>
          </w:tcPr>
          <w:p>
            <w:pPr>
              <w:spacing w:after="0"/>
              <w:rPr>
                <w:sz w:val="16"/>
                <w:szCs w:val="16"/>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(776)</w:t>
            </w:r>
          </w:p>
        </w:tc>
        <w:tc>
          <w:tcPr>
            <w:tcW w:w="3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(7,184)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(5,659)</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(1,908)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6,308</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6,308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19,818</w:t>
            </w:r>
          </w:p>
        </w:tc>
        <w:tc>
          <w:tcPr>
            <w:tcW w:w="0" w:type="dxa"/>
            <w:vAlign w:val="bottom"/>
          </w:tcPr>
          <w:p>
            <w:pPr>
              <w:spacing w:after="0"/>
              <w:rPr>
                <w:sz w:val="1"/>
                <w:szCs w:val="1"/>
                <w:color w:val="auto"/>
              </w:rPr>
            </w:pPr>
          </w:p>
        </w:tc>
      </w:tr>
      <w:tr>
        <w:trPr>
          <w:trHeight w:val="20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40" w:type="dxa"/>
            <w:vAlign w:val="bottom"/>
          </w:tcPr>
          <w:p>
            <w:pPr>
              <w:spacing w:after="0"/>
              <w:rPr>
                <w:sz w:val="17"/>
                <w:szCs w:val="17"/>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3,694</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3,658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80" w:type="dxa"/>
            <w:vAlign w:val="bottom"/>
            <w:tcBorders>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9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Net income (loss) attributable to redeemable non-controlling interests</w:t>
            </w:r>
          </w:p>
        </w:tc>
        <w:tc>
          <w:tcPr>
            <w:tcW w:w="24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4,161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(2,584)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 attributable to non-redeemable non-controlling interests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(325)</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24"/>
        </w:trPr>
        <w:tc>
          <w:tcPr>
            <w:tcW w:w="5980" w:type="dxa"/>
            <w:vAlign w:val="bottom"/>
          </w:tcPr>
          <w:p>
            <w:pPr>
              <w:ind w:left="260"/>
              <w:spacing w:after="0" w:line="225" w:lineRule="exact"/>
              <w:rPr>
                <w:sz w:val="20"/>
                <w:szCs w:val="20"/>
                <w:color w:val="auto"/>
              </w:rPr>
            </w:pPr>
            <w:r>
              <w:rPr>
                <w:rFonts w:ascii="Times New Roman" w:cs="Times New Roman" w:eastAsia="Times New Roman" w:hAnsi="Times New Roman"/>
                <w:sz w:val="16"/>
                <w:szCs w:val="16"/>
                <w:color w:val="auto"/>
              </w:rPr>
              <w:t xml:space="preserve">Paid-in-kind preferred dividends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2,658</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5,093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OPAL Fuels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19,364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Net loss attributable to Class A common stockholders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vMerge w:val="continue"/>
          </w:tcPr>
          <w:p>
            <w:pPr>
              <w:spacing w:after="0"/>
              <w:rPr>
                <w:sz w:val="20"/>
                <w:szCs w:val="20"/>
                <w:color w:val="auto"/>
              </w:rPr>
            </w:pP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vMerge w:val="continue"/>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 :</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25,671,390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25,671,390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25,823,772</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25,823,772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Per share amounts: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tcPr>
          <w:p>
            <w:pPr>
              <w:ind w:left="260"/>
              <w:spacing w:after="0" w:line="225" w:lineRule="exact"/>
              <w:rPr>
                <w:sz w:val="20"/>
                <w:szCs w:val="20"/>
                <w:color w:val="auto"/>
              </w:rPr>
            </w:pPr>
            <w:r>
              <w:rPr>
                <w:rFonts w:ascii="Times New Roman" w:cs="Times New Roman" w:eastAsia="Times New Roman" w:hAnsi="Times New Roman"/>
                <w:sz w:val="16"/>
                <w:szCs w:val="16"/>
                <w:color w:val="auto"/>
              </w:rPr>
              <w:t xml:space="preserve">Basic </w:t>
            </w:r>
            <w:r>
              <w:rPr>
                <w:rFonts w:ascii="Times New Roman" w:cs="Times New Roman" w:eastAsia="Times New Roman" w:hAnsi="Times New Roman"/>
                <w:sz w:val="26"/>
                <w:szCs w:val="26"/>
                <w:color w:val="auto"/>
                <w:vertAlign w:val="superscript"/>
              </w:rPr>
              <w:t>(2)</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(0.04)</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60"/>
              <w:spacing w:after="0" w:line="225" w:lineRule="exact"/>
              <w:rPr>
                <w:sz w:val="20"/>
                <w:szCs w:val="20"/>
                <w:color w:val="auto"/>
              </w:rPr>
            </w:pPr>
            <w:r>
              <w:rPr>
                <w:rFonts w:ascii="Times New Roman" w:cs="Times New Roman" w:eastAsia="Times New Roman" w:hAnsi="Times New Roman"/>
                <w:sz w:val="16"/>
                <w:szCs w:val="16"/>
                <w:color w:val="auto"/>
              </w:rPr>
              <w:t xml:space="preserve">Diluted </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(0.06)</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85" w:right="20" w:hanging="285"/>
        <w:spacing w:after="0" w:line="196" w:lineRule="auto"/>
        <w:tabs>
          <w:tab w:leader="none" w:pos="285"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Paid-in-kind preferred dividend is allocated between redeemable non-controlling interests and Class A common stockholders basis their weighted average percentage of ownership. Please see Note.14 </w:t>
      </w:r>
      <w:r>
        <w:rPr>
          <w:rFonts w:ascii="Times New Roman" w:cs="Times New Roman" w:eastAsia="Times New Roman" w:hAnsi="Times New Roman"/>
          <w:sz w:val="16"/>
          <w:szCs w:val="16"/>
          <w:i w:val="1"/>
          <w:iCs w:val="1"/>
          <w:color w:val="auto"/>
        </w:rPr>
        <w:t>Redeemable non-controlling interests, redeemable preferred non-controlling interests and stockholders’ equity</w:t>
      </w:r>
      <w:r>
        <w:rPr>
          <w:rFonts w:ascii="Times New Roman" w:cs="Times New Roman" w:eastAsia="Times New Roman" w:hAnsi="Times New Roman"/>
          <w:sz w:val="16"/>
          <w:szCs w:val="16"/>
          <w:color w:val="auto"/>
        </w:rPr>
        <w:t xml:space="preserve"> for additional information.</w:t>
      </w:r>
    </w:p>
    <w:p>
      <w:pPr>
        <w:spacing w:after="0" w:line="158" w:lineRule="exact"/>
        <w:rPr>
          <w:rFonts w:ascii="Times New Roman" w:cs="Times New Roman" w:eastAsia="Times New Roman" w:hAnsi="Times New Roman"/>
          <w:sz w:val="26"/>
          <w:szCs w:val="26"/>
          <w:color w:val="auto"/>
          <w:vertAlign w:val="superscript"/>
        </w:rPr>
      </w:pPr>
    </w:p>
    <w:p>
      <w:pPr>
        <w:ind w:left="285" w:right="20" w:hanging="285"/>
        <w:spacing w:after="0" w:line="197" w:lineRule="auto"/>
        <w:tabs>
          <w:tab w:leader="none" w:pos="285"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Loss per share information has not been presented for the periods prior to the Business Combination (as defined in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as it would not be meaningful to the users of these unaudited condensed consolidated financial statements, Refer to Note 3, Business Combination.</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55" w:name="page156"/>
    <w:bookmarkEnd w:id="15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40" w:type="dxa"/>
            <w:vAlign w:val="bottom"/>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2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(Restated)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5,369</w:t>
            </w:r>
          </w:p>
        </w:tc>
        <w:tc>
          <w:tcPr>
            <w:tcW w:w="78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773</w:t>
            </w:r>
          </w:p>
        </w:tc>
        <w:tc>
          <w:tcPr>
            <w:tcW w:w="82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18,950</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gain on cash flow hedges</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1,189</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1,189</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59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comprehensive income</w:t>
            </w:r>
          </w:p>
        </w:tc>
        <w:tc>
          <w:tcPr>
            <w:tcW w:w="7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99"/>
              </w:rPr>
              <w:t>6,558</w:t>
            </w:r>
          </w:p>
        </w:tc>
        <w:tc>
          <w:tcPr>
            <w:tcW w:w="24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773</w:t>
            </w: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99"/>
              </w:rPr>
              <w:t>1,749</w:t>
            </w:r>
          </w:p>
        </w:tc>
        <w:tc>
          <w:tcPr>
            <w:tcW w:w="2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18,950</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6,509</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2,199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attributable to Redeemable non-controlling interests</w:t>
            </w:r>
          </w:p>
        </w:tc>
        <w:tc>
          <w:tcPr>
            <w:tcW w:w="740" w:type="dxa"/>
            <w:vAlign w:val="bottom"/>
          </w:tcPr>
          <w:p>
            <w:pPr>
              <w:spacing w:after="0"/>
              <w:rPr>
                <w:sz w:val="16"/>
                <w:szCs w:val="16"/>
                <w:color w:val="auto"/>
              </w:rPr>
            </w:pP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w w:val="99"/>
              </w:rPr>
              <w:t>1,011</w:t>
            </w:r>
          </w:p>
        </w:tc>
        <w:tc>
          <w:tcPr>
            <w:tcW w:w="7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w w:val="99"/>
              </w:rPr>
              <w:t>1,011</w:t>
            </w:r>
          </w:p>
        </w:tc>
        <w:tc>
          <w:tcPr>
            <w:tcW w:w="16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attributable to non-redeemable non-controlling interests</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(325)</w:t>
            </w:r>
          </w:p>
        </w:tc>
        <w:tc>
          <w:tcPr>
            <w:tcW w:w="7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Paid-in-kind preferred dividends</w:t>
            </w:r>
          </w:p>
        </w:tc>
        <w:tc>
          <w:tcPr>
            <w:tcW w:w="740" w:type="dxa"/>
            <w:vAlign w:val="bottom"/>
          </w:tcPr>
          <w:p>
            <w:pPr>
              <w:spacing w:after="0"/>
              <w:rPr>
                <w:sz w:val="16"/>
                <w:szCs w:val="16"/>
                <w:color w:val="auto"/>
              </w:rPr>
            </w:pP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310</w:t>
            </w:r>
          </w:p>
        </w:tc>
        <w:tc>
          <w:tcPr>
            <w:tcW w:w="7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OPAL Fuels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19,364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Comprehensive loss attributable to Class A common stockholders</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vMerge w:val="continue"/>
          </w:tcPr>
          <w:p>
            <w:pPr>
              <w:spacing w:after="0"/>
              <w:rPr>
                <w:sz w:val="17"/>
                <w:szCs w:val="17"/>
                <w:color w:val="auto"/>
              </w:rPr>
            </w:pP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40" w:type="dxa"/>
            <w:vAlign w:val="bottom"/>
            <w:vMerge w:val="continue"/>
          </w:tcPr>
          <w:p>
            <w:pPr>
              <w:spacing w:after="0"/>
              <w:rPr>
                <w:sz w:val="17"/>
                <w:szCs w:val="17"/>
                <w:color w:val="auto"/>
              </w:rPr>
            </w:pPr>
          </w:p>
        </w:tc>
        <w:tc>
          <w:tcPr>
            <w:tcW w:w="78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20" w:type="dxa"/>
            <w:vAlign w:val="bottom"/>
            <w:vMerge w:val="continue"/>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56" w:name="page157"/>
    <w:bookmarkEnd w:id="156"/>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REDEEMABLE NON-CONTROLLING INTEREST,</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REDEEMABLE PREFERRED NON-CONTROLLING INTEREST AND STOCKHOLDERS’ (DEFICIT) EQUITY</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unit data)</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0" w:type="dxa"/>
            <w:vAlign w:val="bottom"/>
          </w:tcPr>
          <w:p>
            <w:pPr>
              <w:spacing w:after="0" w:line="20" w:lineRule="exact"/>
              <w:rPr>
                <w:sz w:val="1"/>
                <w:szCs w:val="1"/>
                <w:color w:val="auto"/>
              </w:rPr>
            </w:pPr>
          </w:p>
        </w:tc>
      </w:tr>
      <w:tr>
        <w:trPr>
          <w:trHeight w:val="132"/>
        </w:trPr>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60"/>
              <w:spacing w:after="0" w:line="130" w:lineRule="exact"/>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11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Legacy Series A-1</w:t>
            </w:r>
          </w:p>
        </w:tc>
        <w:tc>
          <w:tcPr>
            <w:tcW w:w="10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Legacy</w:t>
            </w:r>
          </w:p>
        </w:tc>
        <w:tc>
          <w:tcPr>
            <w:tcW w:w="122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Class A common</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w w:val="96"/>
              </w:rPr>
              <w:t>Class D common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5"/>
                <w:szCs w:val="15"/>
                <w:color w:val="auto"/>
              </w:rPr>
            </w:pPr>
          </w:p>
        </w:tc>
        <w:tc>
          <w:tcPr>
            <w:tcW w:w="720" w:type="dxa"/>
            <w:vAlign w:val="bottom"/>
            <w:tcBorders>
              <w:right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70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0" w:type="dxa"/>
            <w:vAlign w:val="bottom"/>
          </w:tcPr>
          <w:p>
            <w:pPr>
              <w:spacing w:after="0"/>
              <w:rPr>
                <w:sz w:val="1"/>
                <w:szCs w:val="1"/>
                <w:color w:val="auto"/>
              </w:rPr>
            </w:pPr>
          </w:p>
        </w:tc>
      </w:tr>
      <w:tr>
        <w:trPr>
          <w:trHeight w:val="83"/>
        </w:trPr>
        <w:tc>
          <w:tcPr>
            <w:tcW w:w="960" w:type="dxa"/>
            <w:vAlign w:val="bottom"/>
          </w:tcPr>
          <w:p>
            <w:pPr>
              <w:spacing w:after="0"/>
              <w:rPr>
                <w:sz w:val="7"/>
                <w:szCs w:val="7"/>
                <w:color w:val="auto"/>
              </w:rPr>
            </w:pPr>
          </w:p>
        </w:tc>
        <w:tc>
          <w:tcPr>
            <w:tcW w:w="1140" w:type="dxa"/>
            <w:vAlign w:val="bottom"/>
            <w:gridSpan w:val="5"/>
            <w:vMerge w:val="continue"/>
          </w:tcPr>
          <w:p>
            <w:pPr>
              <w:spacing w:after="0"/>
              <w:rPr>
                <w:sz w:val="7"/>
                <w:szCs w:val="7"/>
                <w:color w:val="auto"/>
              </w:rPr>
            </w:pPr>
          </w:p>
        </w:tc>
        <w:tc>
          <w:tcPr>
            <w:tcW w:w="1000" w:type="dxa"/>
            <w:vAlign w:val="bottom"/>
            <w:gridSpan w:val="5"/>
            <w:vMerge w:val="continue"/>
          </w:tcPr>
          <w:p>
            <w:pPr>
              <w:spacing w:after="0"/>
              <w:rPr>
                <w:sz w:val="7"/>
                <w:szCs w:val="7"/>
                <w:color w:val="auto"/>
              </w:rPr>
            </w:pPr>
          </w:p>
        </w:tc>
        <w:tc>
          <w:tcPr>
            <w:tcW w:w="1220" w:type="dxa"/>
            <w:vAlign w:val="bottom"/>
            <w:gridSpan w:val="6"/>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tcPr>
          <w:p>
            <w:pPr>
              <w:jc w:val="right"/>
              <w:ind w:right="280"/>
              <w:spacing w:after="0" w:line="83" w:lineRule="exact"/>
              <w:rPr>
                <w:sz w:val="20"/>
                <w:szCs w:val="20"/>
                <w:color w:val="auto"/>
              </w:rPr>
            </w:pPr>
            <w:r>
              <w:rPr>
                <w:rFonts w:ascii="Times New Roman" w:cs="Times New Roman" w:eastAsia="Times New Roman" w:hAnsi="Times New Roman"/>
                <w:sz w:val="9"/>
                <w:szCs w:val="9"/>
                <w:b w:val="1"/>
                <w:bCs w:val="1"/>
                <w:color w:val="auto"/>
              </w:rPr>
              <w:t>non-</w:t>
            </w:r>
          </w:p>
        </w:tc>
        <w:tc>
          <w:tcPr>
            <w:tcW w:w="100" w:type="dxa"/>
            <w:vAlign w:val="bottom"/>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83" w:lineRule="exact"/>
              <w:rPr>
                <w:sz w:val="20"/>
                <w:szCs w:val="20"/>
                <w:color w:val="auto"/>
              </w:rPr>
            </w:pPr>
            <w:r>
              <w:rPr>
                <w:rFonts w:ascii="Times New Roman" w:cs="Times New Roman" w:eastAsia="Times New Roman" w:hAnsi="Times New Roman"/>
                <w:sz w:val="9"/>
                <w:szCs w:val="9"/>
                <w:b w:val="1"/>
                <w:bCs w:val="1"/>
                <w:color w:val="auto"/>
              </w:rPr>
              <w:t>non-</w:t>
            </w:r>
          </w:p>
        </w:tc>
        <w:tc>
          <w:tcPr>
            <w:tcW w:w="100" w:type="dxa"/>
            <w:vAlign w:val="bottom"/>
          </w:tcPr>
          <w:p>
            <w:pPr>
              <w:spacing w:after="0"/>
              <w:rPr>
                <w:sz w:val="7"/>
                <w:szCs w:val="7"/>
                <w:color w:val="auto"/>
              </w:rPr>
            </w:pPr>
          </w:p>
        </w:tc>
        <w:tc>
          <w:tcPr>
            <w:tcW w:w="600" w:type="dxa"/>
            <w:vAlign w:val="bottom"/>
            <w:gridSpan w:val="3"/>
          </w:tcPr>
          <w:p>
            <w:pPr>
              <w:jc w:val="center"/>
              <w:ind w:right="140"/>
              <w:spacing w:after="0" w:line="83" w:lineRule="exact"/>
              <w:rPr>
                <w:sz w:val="20"/>
                <w:szCs w:val="20"/>
                <w:color w:val="auto"/>
              </w:rPr>
            </w:pPr>
            <w:r>
              <w:rPr>
                <w:rFonts w:ascii="Times New Roman" w:cs="Times New Roman" w:eastAsia="Times New Roman" w:hAnsi="Times New Roman"/>
                <w:sz w:val="9"/>
                <w:szCs w:val="9"/>
                <w:b w:val="1"/>
                <w:bCs w:val="1"/>
                <w:color w:val="auto"/>
              </w:rPr>
              <w:t>non-</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00" w:type="dxa"/>
            <w:vAlign w:val="bottom"/>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Units</w:t>
            </w:r>
          </w:p>
        </w:tc>
        <w:tc>
          <w:tcPr>
            <w:tcW w:w="100" w:type="dxa"/>
            <w:vAlign w:val="bottom"/>
          </w:tcPr>
          <w:p>
            <w:pPr>
              <w:spacing w:after="0"/>
              <w:rPr>
                <w:sz w:val="14"/>
                <w:szCs w:val="14"/>
                <w:color w:val="auto"/>
              </w:rPr>
            </w:pPr>
          </w:p>
        </w:tc>
        <w:tc>
          <w:tcPr>
            <w:tcW w:w="8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w w:val="89"/>
              </w:rPr>
              <w:t>stock</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70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0" w:type="dxa"/>
            <w:vAlign w:val="bottom"/>
          </w:tcPr>
          <w:p>
            <w:pPr>
              <w:spacing w:after="0"/>
              <w:rPr>
                <w:sz w:val="1"/>
                <w:szCs w:val="1"/>
                <w:color w:val="auto"/>
              </w:rPr>
            </w:pPr>
          </w:p>
        </w:tc>
      </w:tr>
      <w:tr>
        <w:trPr>
          <w:trHeight w:val="181"/>
        </w:trPr>
        <w:tc>
          <w:tcPr>
            <w:tcW w:w="96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5"/>
                <w:szCs w:val="15"/>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7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15"/>
                <w:szCs w:val="15"/>
                <w:color w:val="auto"/>
              </w:rPr>
            </w:pPr>
          </w:p>
        </w:tc>
        <w:tc>
          <w:tcPr>
            <w:tcW w:w="720" w:type="dxa"/>
            <w:vAlign w:val="bottom"/>
            <w:tcBorders>
              <w:right w:val="single" w:sz="8" w:color="auto"/>
            </w:tcBorders>
          </w:tcPr>
          <w:p>
            <w:pPr>
              <w:jc w:val="right"/>
              <w:ind w:right="157"/>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15"/>
                <w:szCs w:val="15"/>
                <w:color w:val="auto"/>
              </w:rPr>
            </w:pPr>
          </w:p>
        </w:tc>
        <w:tc>
          <w:tcPr>
            <w:tcW w:w="76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6"/>
              </w:rPr>
              <w:t>interests</w:t>
            </w:r>
          </w:p>
        </w:tc>
        <w:tc>
          <w:tcPr>
            <w:tcW w:w="700" w:type="dxa"/>
            <w:vAlign w:val="bottom"/>
            <w:gridSpan w:val="4"/>
          </w:tcPr>
          <w:p>
            <w:pPr>
              <w:jc w:val="center"/>
              <w:ind w:right="40"/>
              <w:spacing w:after="0" w:line="178"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0" w:type="dxa"/>
            <w:vAlign w:val="bottom"/>
          </w:tcPr>
          <w:p>
            <w:pPr>
              <w:spacing w:after="0"/>
              <w:rPr>
                <w:sz w:val="1"/>
                <w:szCs w:val="1"/>
                <w:color w:val="auto"/>
              </w:rPr>
            </w:pPr>
          </w:p>
        </w:tc>
      </w:tr>
      <w:tr>
        <w:trPr>
          <w:trHeight w:val="96"/>
        </w:trPr>
        <w:tc>
          <w:tcPr>
            <w:tcW w:w="96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b w:val="1"/>
                <w:bCs w:val="1"/>
                <w:color w:val="auto"/>
              </w:rPr>
              <w:t>2021, as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b w:val="1"/>
                <w:bCs w:val="1"/>
                <w:color w:val="auto"/>
              </w:rPr>
              <w:t>previously</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30,210</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47,592</w:t>
            </w:r>
          </w:p>
        </w:tc>
        <w:tc>
          <w:tcPr>
            <w:tcW w:w="860" w:type="dxa"/>
            <w:vAlign w:val="bottom"/>
            <w:gridSpan w:val="4"/>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15,967</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1,188</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64,747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860" w:type="dxa"/>
            <w:vAlign w:val="bottom"/>
            <w:gridSpan w:val="4"/>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060" w:type="dxa"/>
            <w:vAlign w:val="bottom"/>
            <w:gridSpan w:val="3"/>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Retroactive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application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00" w:type="dxa"/>
            <w:vAlign w:val="bottom"/>
            <w:gridSpan w:val="11"/>
          </w:tcPr>
          <w:p>
            <w:pPr>
              <w:ind w:left="140"/>
              <w:spacing w:after="0"/>
              <w:rPr>
                <w:sz w:val="20"/>
                <w:szCs w:val="20"/>
                <w:color w:val="auto"/>
              </w:rPr>
            </w:pPr>
            <w:r>
              <w:rPr>
                <w:rFonts w:ascii="Times New Roman" w:cs="Times New Roman" w:eastAsia="Times New Roman" w:hAnsi="Times New Roman"/>
                <w:sz w:val="13"/>
                <w:szCs w:val="13"/>
                <w:color w:val="auto"/>
              </w:rPr>
              <w:t>recapitalization  (300,000)  (30,210)  (1,000)  (47,592)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144,399,037</w:t>
            </w:r>
          </w:p>
        </w:tc>
        <w:tc>
          <w:tcPr>
            <w:tcW w:w="3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(15,967)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(63,545)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30,210</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63,545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96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b w:val="1"/>
                <w:bCs w:val="1"/>
                <w:color w:val="auto"/>
              </w:rPr>
              <w:t>2021, as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144,399,037</w:t>
            </w:r>
          </w:p>
        </w:tc>
        <w:tc>
          <w:tcPr>
            <w:tcW w:w="3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1,188</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30,210</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63,545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Borders>
              <w:top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ind w:left="2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6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(242)</w:t>
            </w: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right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3"/>
                <w:szCs w:val="13"/>
                <w:color w:val="auto"/>
              </w:rPr>
              <w:t>(242)</w:t>
            </w:r>
          </w:p>
        </w:tc>
        <w:tc>
          <w:tcPr>
            <w:tcW w:w="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(4,225)</w:t>
            </w:r>
          </w:p>
        </w:tc>
        <w:tc>
          <w:tcPr>
            <w:tcW w:w="40" w:type="dxa"/>
            <w:vAlign w:val="bottom"/>
            <w:tcBorders>
              <w:top w:val="single" w:sz="8" w:color="CCEEFF"/>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Proceeds</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from 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5,738</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5,738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Amortization on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payment to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acquire 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Issuance of</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 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interest, net of</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costs</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Stock-based</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9"/>
                <w:szCs w:val="9"/>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Paid-in-kind</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r>
        <w:trPr>
          <w:trHeight w:val="117"/>
        </w:trPr>
        <w:tc>
          <w:tcPr>
            <w:tcW w:w="960" w:type="dxa"/>
            <w:vAlign w:val="bottom"/>
            <w:tcBorders>
              <w:top w:val="single" w:sz="8" w:color="CCEEFF"/>
              <w:bottom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March 31, 2022</w:t>
            </w: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ind w:left="2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144,399,037</w:t>
            </w:r>
          </w:p>
        </w:tc>
        <w:tc>
          <w:tcPr>
            <w:tcW w:w="60" w:type="dxa"/>
            <w:vAlign w:val="bottom"/>
            <w:tcBorders>
              <w:top w:val="single" w:sz="8" w:color="CCEEFF"/>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6,684</w:t>
            </w:r>
          </w:p>
        </w:tc>
        <w:tc>
          <w:tcPr>
            <w:tcW w:w="10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right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3"/>
                <w:szCs w:val="13"/>
                <w:color w:val="auto"/>
              </w:rPr>
              <w:t>6,698</w:t>
            </w:r>
          </w:p>
        </w:tc>
        <w:tc>
          <w:tcPr>
            <w:tcW w:w="4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55,927</w:t>
            </w:r>
          </w:p>
        </w:tc>
        <w:tc>
          <w:tcPr>
            <w:tcW w:w="10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58,310</w:t>
            </w:r>
          </w:p>
        </w:tc>
        <w:tc>
          <w:tcPr>
            <w:tcW w:w="2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jc w:val="right"/>
              <w:ind w:right="17"/>
              <w:spacing w:after="0" w:line="130" w:lineRule="exact"/>
              <w:rPr>
                <w:sz w:val="20"/>
                <w:szCs w:val="20"/>
                <w:color w:val="auto"/>
              </w:rPr>
            </w:pPr>
            <w:r>
              <w:rPr>
                <w:rFonts w:ascii="Times New Roman" w:cs="Times New Roman" w:eastAsia="Times New Roman" w:hAnsi="Times New Roman"/>
                <w:sz w:val="13"/>
                <w:szCs w:val="13"/>
                <w:color w:val="auto"/>
              </w:rPr>
              <w:t>(257)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(85)</w:t>
            </w:r>
          </w:p>
        </w:tc>
        <w:tc>
          <w:tcPr>
            <w:tcW w:w="4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Proceeds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from 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11,211</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11,211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Amortization on</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payment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acquire 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Redeemable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 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interest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w w:val="99"/>
              </w:rPr>
              <w:t>issuance, net of</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Pr>
          <w:p>
            <w:pPr>
              <w:spacing w:after="0"/>
              <w:rPr>
                <w:sz w:val="11"/>
                <w:szCs w:val="11"/>
                <w:color w:val="auto"/>
              </w:rPr>
            </w:pP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costs</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Stock-based</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Paid-in-kind</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1,718</w:t>
            </w: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0" w:type="dxa"/>
            <w:vAlign w:val="bottom"/>
          </w:tcPr>
          <w:p>
            <w:pPr>
              <w:spacing w:after="0"/>
              <w:rPr>
                <w:sz w:val="1"/>
                <w:szCs w:val="1"/>
                <w:color w:val="auto"/>
              </w:rPr>
            </w:pPr>
          </w:p>
        </w:tc>
      </w:tr>
      <w:tr>
        <w:trPr>
          <w:trHeight w:val="150"/>
        </w:trPr>
        <w:tc>
          <w:tcPr>
            <w:tcW w:w="9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June 30, 2022</w:t>
            </w:r>
          </w:p>
        </w:tc>
        <w:tc>
          <w:tcPr>
            <w:tcW w:w="5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ind w:left="2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144,399,037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17,638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right w:val="single" w:sz="8" w:color="auto"/>
            </w:tcBorders>
            <w:shd w:val="clear" w:color="auto" w:fill="CCEEFF"/>
          </w:tcPr>
          <w:p>
            <w:pPr>
              <w:jc w:val="right"/>
              <w:ind w:right="17"/>
              <w:spacing w:after="0" w:line="130" w:lineRule="exact"/>
              <w:rPr>
                <w:sz w:val="20"/>
                <w:szCs w:val="20"/>
                <w:color w:val="auto"/>
              </w:rPr>
            </w:pPr>
            <w:r>
              <w:rPr>
                <w:rFonts w:ascii="Times New Roman" w:cs="Times New Roman" w:eastAsia="Times New Roman" w:hAnsi="Times New Roman"/>
                <w:sz w:val="13"/>
                <w:szCs w:val="13"/>
                <w:color w:val="auto"/>
              </w:rPr>
              <w:t>17,652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132,645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56,622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ind w:left="2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(815)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3"/>
                <w:szCs w:val="13"/>
                <w:color w:val="auto"/>
              </w:rPr>
              <w:t>(1,140)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6,509</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Unrealized gain</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on cash flow</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1,011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hedges</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Issuance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common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from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reverse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w w:val="99"/>
              </w:rPr>
              <w:t>recapitalization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and PIPE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Investments,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net of warrant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liability, put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option and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earnout</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9"/>
              </w:rPr>
              <w:t>22,611,857</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68,255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68,257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liability</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Conversion of</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Convertible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Note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Payable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common</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3,059,533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30,595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30,595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Change in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redemption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value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(95,711)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(1,065,012)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(1,160,723)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1,160,723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Proceeds from</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(3,158)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9,361</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6,203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Stock-based</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9"/>
                <w:szCs w:val="9"/>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Paid-in-kind</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2,658</w:t>
            </w:r>
          </w:p>
        </w:tc>
        <w:tc>
          <w:tcPr>
            <w:tcW w:w="10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(2,348)</w:t>
            </w:r>
          </w:p>
        </w:tc>
        <w:tc>
          <w:tcPr>
            <w:tcW w:w="0" w:type="dxa"/>
            <w:vAlign w:val="bottom"/>
          </w:tcPr>
          <w:p>
            <w:pPr>
              <w:spacing w:after="0"/>
              <w:rPr>
                <w:sz w:val="1"/>
                <w:szCs w:val="1"/>
                <w:color w:val="auto"/>
              </w:rPr>
            </w:pPr>
          </w:p>
        </w:tc>
      </w:tr>
      <w:tr>
        <w:trPr>
          <w:trHeight w:val="80"/>
        </w:trPr>
        <w:tc>
          <w:tcPr>
            <w:tcW w:w="960" w:type="dxa"/>
            <w:vAlign w:val="bottom"/>
            <w:tcBorders>
              <w:top w:val="single" w:sz="8" w:color="CCEEFF"/>
            </w:tcBorders>
          </w:tcPr>
          <w:p>
            <w:pPr>
              <w:spacing w:after="0" w:line="80"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5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right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25,671,390</w:t>
            </w:r>
          </w:p>
        </w:tc>
        <w:tc>
          <w:tcPr>
            <w:tcW w:w="2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144,399,037</w:t>
            </w:r>
          </w:p>
        </w:tc>
        <w:tc>
          <w:tcPr>
            <w:tcW w:w="320" w:type="dxa"/>
            <w:vAlign w:val="bottom"/>
          </w:tcPr>
          <w:p>
            <w:pPr>
              <w:jc w:val="right"/>
              <w:ind w:right="202"/>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14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ind w:right="40"/>
              <w:spacing w:after="0" w:line="188" w:lineRule="exact"/>
              <w:rPr>
                <w:sz w:val="20"/>
                <w:szCs w:val="20"/>
                <w:color w:val="auto"/>
              </w:rPr>
            </w:pPr>
            <w:r>
              <w:rPr>
                <w:rFonts w:ascii="Times New Roman" w:cs="Times New Roman" w:eastAsia="Times New Roman" w:hAnsi="Times New Roman"/>
                <w:sz w:val="11"/>
                <w:szCs w:val="11"/>
                <w:color w:val="auto"/>
              </w:rPr>
              <w:t>(1,066,137</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26,674</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spacing w:after="0" w:line="188" w:lineRule="exact"/>
              <w:rPr>
                <w:sz w:val="20"/>
                <w:szCs w:val="20"/>
                <w:color w:val="auto"/>
              </w:rPr>
            </w:pPr>
            <w:r>
              <w:rPr>
                <w:rFonts w:ascii="Times New Roman" w:cs="Times New Roman" w:eastAsia="Times New Roman" w:hAnsi="Times New Roman"/>
                <w:sz w:val="11"/>
                <w:szCs w:val="11"/>
                <w:color w:val="auto"/>
              </w:rPr>
              <w:t>(1,039,269</w:t>
            </w:r>
            <w:r>
              <w:rPr>
                <w:rFonts w:ascii="Times New Roman" w:cs="Times New Roman" w:eastAsia="Times New Roman" w:hAnsi="Times New Roman"/>
                <w:sz w:val="21"/>
                <w:szCs w:val="21"/>
                <w:color w:val="auto"/>
                <w:vertAlign w:val="superscript"/>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135,303</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1,222,657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8" w:orient="portrait"/>
          <w:cols w:equalWidth="0" w:num="1">
            <w:col w:w="11340"/>
          </w:cols>
          <w:pgMar w:left="320" w:top="806" w:right="239" w:bottom="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260" w:type="dxa"/>
            <w:vAlign w:val="bottom"/>
          </w:tcPr>
          <w:p>
            <w:pPr>
              <w:spacing w:after="0"/>
              <w:rPr>
                <w:sz w:val="3"/>
                <w:szCs w:val="3"/>
                <w:color w:val="auto"/>
              </w:rPr>
            </w:pPr>
          </w:p>
        </w:tc>
        <w:tc>
          <w:tcPr>
            <w:tcW w:w="1800" w:type="dxa"/>
            <w:vAlign w:val="bottom"/>
            <w:gridSpan w:val="6"/>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Legacy Common Units</w:t>
            </w:r>
          </w:p>
        </w:tc>
        <w:tc>
          <w:tcPr>
            <w:tcW w:w="200" w:type="dxa"/>
            <w:vAlign w:val="bottom"/>
            <w:vMerge w:val="restart"/>
          </w:tcPr>
          <w:p>
            <w:pPr>
              <w:spacing w:after="0"/>
              <w:rPr>
                <w:sz w:val="3"/>
                <w:szCs w:val="3"/>
                <w:color w:val="auto"/>
              </w:rPr>
            </w:pPr>
          </w:p>
        </w:tc>
        <w:tc>
          <w:tcPr>
            <w:tcW w:w="1620" w:type="dxa"/>
            <w:vAlign w:val="bottom"/>
            <w:gridSpan w:val="3"/>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Class D common stock</w:t>
            </w: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Non-redeemable</w:t>
            </w:r>
          </w:p>
        </w:tc>
        <w:tc>
          <w:tcPr>
            <w:tcW w:w="120" w:type="dxa"/>
            <w:vAlign w:val="bottom"/>
          </w:tcPr>
          <w:p>
            <w:pPr>
              <w:spacing w:after="0"/>
              <w:rPr>
                <w:sz w:val="3"/>
                <w:szCs w:val="3"/>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4"/>
              </w:rPr>
              <w:t>Redeemable</w:t>
            </w:r>
          </w:p>
        </w:tc>
        <w:tc>
          <w:tcPr>
            <w:tcW w:w="0" w:type="dxa"/>
            <w:vAlign w:val="bottom"/>
          </w:tcPr>
          <w:p>
            <w:pPr>
              <w:spacing w:after="0"/>
              <w:rPr>
                <w:sz w:val="1"/>
                <w:szCs w:val="1"/>
                <w:color w:val="auto"/>
              </w:rPr>
            </w:pPr>
          </w:p>
        </w:tc>
      </w:tr>
      <w:tr>
        <w:trPr>
          <w:trHeight w:val="108"/>
        </w:trPr>
        <w:tc>
          <w:tcPr>
            <w:tcW w:w="3260" w:type="dxa"/>
            <w:vAlign w:val="bottom"/>
          </w:tcPr>
          <w:p>
            <w:pPr>
              <w:spacing w:after="0"/>
              <w:rPr>
                <w:sz w:val="9"/>
                <w:szCs w:val="9"/>
                <w:color w:val="auto"/>
              </w:rPr>
            </w:pPr>
          </w:p>
        </w:tc>
        <w:tc>
          <w:tcPr>
            <w:tcW w:w="1800" w:type="dxa"/>
            <w:vAlign w:val="bottom"/>
            <w:gridSpan w:val="6"/>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800" w:type="dxa"/>
            <w:vAlign w:val="bottom"/>
            <w:tcBorders>
              <w:bottom w:val="single" w:sz="8" w:color="auto"/>
            </w:tcBorders>
            <w:gridSpan w:val="6"/>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0"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80" w:type="dxa"/>
            <w:vAlign w:val="bottom"/>
            <w:gridSpan w:val="3"/>
          </w:tcPr>
          <w:p>
            <w:pPr>
              <w:jc w:val="center"/>
              <w:ind w:right="100"/>
              <w:spacing w:after="0" w:line="140"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81"/>
        </w:trPr>
        <w:tc>
          <w:tcPr>
            <w:tcW w:w="3260" w:type="dxa"/>
            <w:vAlign w:val="bottom"/>
          </w:tcPr>
          <w:p>
            <w:pPr>
              <w:spacing w:after="0"/>
              <w:rPr>
                <w:sz w:val="15"/>
                <w:szCs w:val="15"/>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240"/>
              <w:spacing w:after="0" w:line="178"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0" w:type="dxa"/>
            <w:vAlign w:val="bottom"/>
          </w:tcPr>
          <w:p>
            <w:pPr>
              <w:spacing w:after="0"/>
              <w:rPr>
                <w:sz w:val="1"/>
                <w:szCs w:val="1"/>
                <w:color w:val="auto"/>
              </w:rPr>
            </w:pPr>
          </w:p>
        </w:tc>
      </w:tr>
      <w:tr>
        <w:trPr>
          <w:trHeight w:val="130"/>
        </w:trPr>
        <w:tc>
          <w:tcPr>
            <w:tcW w:w="326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December 31, 2020, as previously reported</w:t>
            </w: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986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49,170</w:t>
            </w: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(25,396)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6,685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30,459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w w:val="92"/>
              </w:rPr>
              <w:t>(986)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(49,170)</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25,396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(23,760)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December 31, 2020, as adjusted</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6,685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23,760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2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spacing w:after="0"/>
              <w:rPr>
                <w:sz w:val="9"/>
                <w:szCs w:val="9"/>
                <w:color w:val="auto"/>
              </w:rPr>
            </w:pPr>
          </w:p>
        </w:tc>
        <w:tc>
          <w:tcPr>
            <w:tcW w:w="2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ind w:left="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56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(88)</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(427)</w:t>
            </w: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Issuance of non-redeemable non-controlling interest</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6,223</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6,223</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3,808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Contributions from redeemable non-controlling interests</w:t>
            </w:r>
          </w:p>
        </w:tc>
        <w:tc>
          <w:tcPr>
            <w:tcW w:w="36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1,766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Distributions to redeemable non-controlling interests</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(2,103)</w:t>
            </w:r>
          </w:p>
        </w:tc>
        <w:tc>
          <w:tcPr>
            <w:tcW w:w="0" w:type="dxa"/>
            <w:vAlign w:val="bottom"/>
          </w:tcPr>
          <w:p>
            <w:pPr>
              <w:spacing w:after="0"/>
              <w:rPr>
                <w:sz w:val="1"/>
                <w:szCs w:val="1"/>
                <w:color w:val="auto"/>
              </w:rPr>
            </w:pPr>
          </w:p>
        </w:tc>
      </w:tr>
      <w:tr>
        <w:trPr>
          <w:trHeight w:val="145"/>
        </w:trPr>
        <w:tc>
          <w:tcPr>
            <w:tcW w:w="38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March 31, 2021</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12,820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12,834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26,964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2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spacing w:after="0"/>
              <w:rPr>
                <w:sz w:val="9"/>
                <w:szCs w:val="9"/>
                <w:color w:val="auto"/>
              </w:rPr>
            </w:pPr>
          </w:p>
        </w:tc>
        <w:tc>
          <w:tcPr>
            <w:tcW w:w="2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ind w:left="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56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18,802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Issuance of non-redeemable non-controlling interest</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5,171</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5,171</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Contributions from redeemable non-controlling interests</w:t>
            </w:r>
          </w:p>
        </w:tc>
        <w:tc>
          <w:tcPr>
            <w:tcW w:w="36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5,756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Distributions to redeemable non-controlling interests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(1,592)</w:t>
            </w:r>
          </w:p>
        </w:tc>
        <w:tc>
          <w:tcPr>
            <w:tcW w:w="0" w:type="dxa"/>
            <w:vAlign w:val="bottom"/>
          </w:tcPr>
          <w:p>
            <w:pPr>
              <w:spacing w:after="0"/>
              <w:rPr>
                <w:sz w:val="1"/>
                <w:szCs w:val="1"/>
                <w:color w:val="auto"/>
              </w:rPr>
            </w:pPr>
          </w:p>
        </w:tc>
      </w:tr>
      <w:tr>
        <w:trPr>
          <w:trHeight w:val="145"/>
        </w:trPr>
        <w:tc>
          <w:tcPr>
            <w:tcW w:w="38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June 30, 2021</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17,881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17,895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50,090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2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spacing w:after="0"/>
              <w:rPr>
                <w:sz w:val="9"/>
                <w:szCs w:val="9"/>
                <w:color w:val="auto"/>
              </w:rPr>
            </w:pPr>
          </w:p>
        </w:tc>
        <w:tc>
          <w:tcPr>
            <w:tcW w:w="2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ind w:left="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56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(216)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989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Issuance of non-redeemable non-controlling interest</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27,545</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27,545</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(4,523)</w:t>
            </w: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Contributions from redeemable non-controlling interests</w:t>
            </w:r>
          </w:p>
        </w:tc>
        <w:tc>
          <w:tcPr>
            <w:tcW w:w="36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September 30, 2021</w:t>
            </w: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142,377,450</w:t>
            </w:r>
          </w:p>
        </w:tc>
        <w:tc>
          <w:tcPr>
            <w:tcW w:w="840" w:type="dxa"/>
            <w:vAlign w:val="bottom"/>
            <w:gridSpan w:val="2"/>
          </w:tcPr>
          <w:p>
            <w:pPr>
              <w:jc w:val="right"/>
              <w:ind w:right="502"/>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auto"/>
                <w:w w:val="76"/>
              </w:rPr>
              <w:t>14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5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color w:val="auto"/>
              </w:rPr>
              <w:t>45,210</w:t>
            </w: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45,224</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47,112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52" w:right="31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(Restated)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560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18,950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(3,658)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9,581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PPA liability</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Convertible Note Payable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loss on derivative financial instruments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extinguishment of contingent liability</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(4,362)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repayment of Note receivable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businesses acquired: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(11,269)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received on previously recorded paid-in-kind interest income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spares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Brown gas and parts inventory</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(3,520)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(6,192)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(6,734)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6,970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tax credits payable</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payroll</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(2,386)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8,561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3,672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7"/>
                <w:szCs w:val="17"/>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(3,035)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14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(84,949)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acquired on acquisition of equity method investment</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1,955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short term investments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(146,936)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investment in other entity</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Note receivable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received from repayment of Note receivable</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10,855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(218,930</w:t>
            </w:r>
          </w:p>
        </w:tc>
        <w:tc>
          <w:tcPr>
            <w:tcW w:w="14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(69,763</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Sunoma loan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4,593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14,191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OPAL Term Loan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27,500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received from Business Combination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138,850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(8,462)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Senior Secured Credit Facility</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(3,674)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OPAL Term Loan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(11,277)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Municipality loan</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non-redeemable non-controlling interest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23,152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21,579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non-controlling interest, related party</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16,645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redeemable preferred units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members</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7,919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members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270,525</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52,729</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restricted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tcBorders>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42,054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15,388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restricted cash, and cash equivalents, end of period</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27,251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 net of $— and $531 capitalized, respectively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7,013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Convertible Note Payable related to business acquisition, excluding paid-in-kind interest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55,410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Class A common stock issued for redemption of Convertible Note Payable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30,595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Derivative warrant liabilities assumed related to Business Combination</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13,524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Earnout liabilities related to Business Combination</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45,900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put option on a forward purchase agreement related to Business Combination</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4,600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contingent consideration to redeem the non-controlling interest included in other long-term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 on redeemable preferred non-controlling interests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5,093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Accrual for purchase of Property, plant and equipment included in Accounts payable and Accrued capital expenses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9,284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 for deferred financing costs included in Accrued expenses and other current liabilities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714946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80"/>
          </w:cols>
          <w:pgMar w:left="300" w:top="736" w:right="319" w:bottom="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color w:val="auto"/>
        </w:rPr>
        <w:t>1. Organization and Description of Business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64"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21"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December 2, 2021, the Company, OPAL HoldCo LLC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amounts in these footnotes are presented in thousands of dollars except per share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COVID-19 Impact</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three and nine months ended September 30, 2022.</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September 30, 2022, our liquidity consisted of cash and cash equivalents including restricted cash of $71,360 and short term investments of $146,936.</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we had total indebtedness excluding the deferred financing costs of $219,987 which primarily consisted of $77,679 under the Senior Secured Credit Facility, $27,964 under the Convertible Note Payable, $91,223 under the OPAL Term Loan, $121 under the Municipality loan, and $23,000 under the Sunoma Loan. The amount outstanding under the Senior Secured Credit Facility is due to be repaid in December 2022 and therefore has been classified as a current liability.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60" w:name="page161"/>
    <w:bookmarkEnd w:id="160"/>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In August 2022, we entered into a delayed draw term loan facility for $105,000 to fund the construction of new RNG facilities which is available for us to drawdown upon achievement of certain milestones. In July 2022, we received a redemption notice from Biotown Bio Gas LLC (“Biotown”) for the Note receivable and the Company subsequently received $11,555 consisting of the principal balance $10,915, prepayment penalty of $546 and accrued interest of $94. Additionally, we have drawn $12,500 in September 2022 and $12,500 in October 2022 under the OPAL Term Loan following the commencement of operations of two additional RNG facilities. We entered into an amendment to the OPAL Term Loan to extend the commitment date to March 2023 for the remaining $10,000.</w:t>
      </w:r>
    </w:p>
    <w:p>
      <w:pPr>
        <w:spacing w:after="0" w:line="164"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following the date of this report.</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To fuel future growth, we anticipate seeking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on a going concern basis, which contemplates the realization of assets and the satisfaction of liabilities in the normal course of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condensed consolidated statements of operations for the nine months ended September 30, 2021 and condensed consolidated statements of changes in Redeemable non-controlling interest, Redeemable preferred non-controlling interests and stockholders’ equity as of September 30, 2021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commodity swap contracts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10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for additional information.</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Additionally, the Company entered into another commodity swap contract for a notional quantity of 26,280 MWh at 3 MWh per hour for one year - 2022. Please see Note 10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for additional information.</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recorded $169 of realized gain on the above swap arrangements as part of Revenues in its consolidated statements of operations for the nine months ended September 30, 2021. The Company previously reported this gain as part of Revenues in the condensed consolidated statement of operations but the gain was not properly disclosed in the notes to the financial statements.</w:t>
      </w:r>
    </w:p>
    <w:p>
      <w:pPr>
        <w:spacing w:after="0" w:line="1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Company concluded that these two contracts were economic hedges against market price volatility and are considered as derivatives under ASC 815 Derivatives and Hedging, which required the Company to record mark to market unrealized gain (loss) in its condensed consolidated statements of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61" w:name="page162"/>
    <w:bookmarkEnd w:id="161"/>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did not record an unrealized loss of $2,824 for the nine months ended September 30, 2021. Therefore, the Company restated its Revenues - RNG Fuel by $2,824 for the nine months ended September 30,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taxes collected on behalf of customers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collects federal and state taxes on its revenues generated from customers in our RNG Fuel segment and remits the same to the government subsequently. The Company concluded that these taxes should be presented on a net basis in Revenues-RNG fuel in its condensed consolidated statements of operations. Therefore, the Company restated its revenues and cost of sales by $1,140 for the nine months ended September 30, 2021. This adjustment did not have any impact on net income reported for the nine months ended September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These unaudited condensed consolidated financial statements are prepared in accordance with generally accepted accounting principles in the United States (“U.S. GAAP”) for interim financial information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Beacon RNG LLC (“Beacon”), Central Valley LLC (“Central Valley”), Fortistar Contracting LLC, Fortistar RNG LLC, and OPAL Fuel station services LLC (“Fuel station services”).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equity in the condensed consolidated balance sheets and as a non-redeemable non-controlling interests in the condensed consolidated statements of changes in redeemable non-controlling interests, redeemable preferred non-controlling interests and Stockholders’ equity.</w:t>
      </w:r>
    </w:p>
    <w:p>
      <w:pPr>
        <w:spacing w:after="0" w:line="16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The accompanying condensed consolidated financial statements reflect the activities of the Company, its subsidiaries, and its equity method investments for the nine months ended September 30, 2022 and 2021. Investments in unconsolidated entities in which the Company can influence the operating or financial decisions are accounted for under the equity method. As of September 30, 2022 and December 31,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Please see Note 4. </w:t>
      </w:r>
      <w:r>
        <w:rPr>
          <w:rFonts w:ascii="Times New Roman" w:cs="Times New Roman" w:eastAsia="Times New Roman" w:hAnsi="Times New Roman"/>
          <w:sz w:val="16"/>
          <w:szCs w:val="16"/>
          <w:i w:val="1"/>
          <w:iCs w:val="1"/>
          <w:color w:val="auto"/>
        </w:rPr>
        <w:t>Investment in other entities,</w:t>
      </w:r>
      <w:r>
        <w:rPr>
          <w:rFonts w:ascii="Times New Roman" w:cs="Times New Roman" w:eastAsia="Times New Roman" w:hAnsi="Times New Roman"/>
          <w:sz w:val="16"/>
          <w:szCs w:val="16"/>
          <w:color w:val="auto"/>
        </w:rPr>
        <w:t xml:space="preserve"> for additional information.</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Current Report on Form 8K, which was filed with SEC on July 27, 2022. In the opinion of management, the accompanying unaudited condensed financial statements include all adjustments, consisting of a normal recurring nature, which are necessary for a fair statement of the financial position, operating results, and cash flows for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Business Combination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for additional information.</w:t>
      </w:r>
    </w:p>
    <w:p>
      <w:pPr>
        <w:spacing w:after="0" w:line="17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the fair value of the Convertible Note Payable (as defined below), the impairment assessment of goodwill, and the fair value of derivative instruments. Actual results could differ from those estimates.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results of operations for the interim periods presented are not necessarily indicative of the results that may be expected for the entire year.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62" w:name="page163"/>
    <w:bookmarkEnd w:id="162"/>
    <w:p>
      <w:pPr>
        <w:ind w:left="5"/>
        <w:spacing w:after="0"/>
        <w:rPr>
          <w:sz w:val="20"/>
          <w:szCs w:val="20"/>
          <w:color w:val="auto"/>
        </w:rPr>
      </w:pPr>
      <w:r>
        <w:rPr>
          <w:rFonts w:ascii="Times New Roman" w:cs="Times New Roman" w:eastAsia="Times New Roman" w:hAnsi="Times New Roman"/>
          <w:sz w:val="16"/>
          <w:szCs w:val="16"/>
          <w:b w:val="1"/>
          <w:bCs w:val="1"/>
          <w:color w:val="auto"/>
        </w:rPr>
        <w:t>Accounting Pronouncements</w:t>
      </w:r>
    </w:p>
    <w:p>
      <w:pPr>
        <w:spacing w:after="0" w:line="194" w:lineRule="exact"/>
        <w:rPr>
          <w:sz w:val="20"/>
          <w:szCs w:val="20"/>
          <w:color w:val="auto"/>
        </w:rPr>
      </w:pPr>
    </w:p>
    <w:p>
      <w:pPr>
        <w:jc w:val="both"/>
        <w:ind w:left="5" w:firstLine="567"/>
        <w:spacing w:after="0" w:line="251" w:lineRule="auto"/>
        <w:rPr>
          <w:sz w:val="20"/>
          <w:szCs w:val="20"/>
          <w:color w:val="auto"/>
        </w:rPr>
      </w:pPr>
      <w:r>
        <w:rPr>
          <w:rFonts w:ascii="Times New Roman" w:cs="Times New Roman" w:eastAsia="Times New Roman" w:hAnsi="Times New Roman"/>
          <w:sz w:val="16"/>
          <w:szCs w:val="16"/>
          <w:color w:val="auto"/>
        </w:rPr>
        <w:t xml:space="preserve">In June 2022, the FASB issued Accounting Standards Update (“ASU”) 2022-03, </w:t>
      </w:r>
      <w:r>
        <w:rPr>
          <w:rFonts w:ascii="Times New Roman" w:cs="Times New Roman" w:eastAsia="Times New Roman" w:hAnsi="Times New Roman"/>
          <w:sz w:val="16"/>
          <w:szCs w:val="16"/>
          <w:i w:val="1"/>
          <w:iCs w:val="1"/>
          <w:color w:val="auto"/>
        </w:rPr>
        <w:t>Fair Value Measurement of Equity Securities Subject to Contractual Sale Restrictions</w:t>
      </w:r>
      <w:r>
        <w:rPr>
          <w:rFonts w:ascii="Times New Roman" w:cs="Times New Roman" w:eastAsia="Times New Roman" w:hAnsi="Times New Roman"/>
          <w:sz w:val="16"/>
          <w:szCs w:val="16"/>
          <w:color w:val="auto"/>
        </w:rPr>
        <w:t xml:space="preserve"> which states that a contractual restriction on the sale of an 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67"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 certain not-for-profit entities for one year. For companies filing under emerging growth company status and private not-for-profits, the leasing standard will be effective for fiscal years beginning after December 15, 2021. The Company is currently evaluating all of its contracts and expects to record right-of-use assets and corresponding liabilities on its consolidated balance sheet as of December 31, 2022 for its vehicle leases and office lease.</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ectPr>
          <w:pgSz w:w="11900" w:h="16838" w:orient="portrait"/>
          <w:cols w:equalWidth="0" w:num="1">
            <w:col w:w="11265"/>
          </w:cols>
          <w:pgMar w:left="315" w:top="806" w:right="319" w:bottom="1440" w:gutter="0" w:footer="0" w:header="0"/>
        </w:sectPr>
      </w:pP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5"/>
          <w:szCs w:val="15"/>
          <w:color w:val="auto"/>
        </w:rPr>
        <w:t>Cash, cash equivalents, and restricted cash consisted of the following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Cash and cash equivalents</w:t>
      </w:r>
    </w:p>
    <w:p>
      <w:pPr>
        <w:ind w:left="5"/>
        <w:spacing w:after="0" w:line="184" w:lineRule="auto"/>
        <w:rPr>
          <w:sz w:val="20"/>
          <w:szCs w:val="20"/>
          <w:color w:val="auto"/>
        </w:rPr>
      </w:pPr>
      <w:r>
        <w:rPr>
          <w:rFonts w:ascii="Times New Roman" w:cs="Times New Roman" w:eastAsia="Times New Roman" w:hAnsi="Times New Roman"/>
          <w:sz w:val="16"/>
          <w:szCs w:val="16"/>
          <w:color w:val="auto"/>
        </w:rPr>
        <w:t xml:space="preserve">Restricted cash - current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946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5"/>
        <w:spacing w:after="0"/>
        <w:rPr>
          <w:sz w:val="20"/>
          <w:szCs w:val="20"/>
          <w:color w:val="auto"/>
        </w:rPr>
      </w:pPr>
      <w:r>
        <w:rPr>
          <w:rFonts w:ascii="Times New Roman" w:cs="Times New Roman" w:eastAsia="Times New Roman" w:hAnsi="Times New Roman"/>
          <w:sz w:val="16"/>
          <w:szCs w:val="16"/>
          <w:color w:val="auto"/>
        </w:rPr>
        <w:t>Long-term assets:</w:t>
      </w:r>
    </w:p>
    <w:p>
      <w:pPr>
        <w:ind w:left="125"/>
        <w:spacing w:after="0" w:line="203" w:lineRule="auto"/>
        <w:rPr>
          <w:sz w:val="20"/>
          <w:szCs w:val="20"/>
          <w:color w:val="auto"/>
        </w:rPr>
      </w:pPr>
      <w:r>
        <w:rPr>
          <w:rFonts w:ascii="Times New Roman" w:cs="Times New Roman" w:eastAsia="Times New Roman" w:hAnsi="Times New Roman"/>
          <w:sz w:val="16"/>
          <w:szCs w:val="16"/>
          <w:color w:val="auto"/>
        </w:rPr>
        <w:t xml:space="preserve">Restricted cash held as collateral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9465" cy="157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ind w:left="5"/>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79"/>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25,286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39,314</w:t>
            </w:r>
          </w:p>
        </w:tc>
      </w:tr>
      <w:tr>
        <w:trPr>
          <w:trHeight w:val="224"/>
        </w:trPr>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41,419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28"/>
        </w:trPr>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w:t>
            </w: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71,360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42,054</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7965" w:space="720"/>
            <w:col w:w="2580"/>
          </w:cols>
          <w:pgMar w:left="315" w:top="806" w:right="319" w:bottom="1440" w:gutter="0" w:footer="0" w:header="0"/>
          <w:type w:val="continuous"/>
        </w:sectPr>
      </w:pPr>
    </w:p>
    <w:p>
      <w:pPr>
        <w:jc w:val="both"/>
        <w:ind w:left="285" w:hanging="285"/>
        <w:spacing w:after="0" w:line="210" w:lineRule="auto"/>
        <w:tabs>
          <w:tab w:leader="none" w:pos="285"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Restricted cash - current primarily consists of (i) $20,100 held in escrow to secure the Company’s purchase obligations under the forward purchase agreement with Meteora (See Note.3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 (ii) $5,800 equity contribution to a joint venture in connection with the closing of OPAL Term Loan II (iii) $1,778 relates to interest reserve on Sunoma Loan and (iv) $13,700 held in a restricted account for funding one of our RNG projects.</w:t>
      </w:r>
    </w:p>
    <w:p>
      <w:pPr>
        <w:spacing w:after="0" w:line="68" w:lineRule="exact"/>
        <w:rPr>
          <w:rFonts w:ascii="Times New Roman" w:cs="Times New Roman" w:eastAsia="Times New Roman" w:hAnsi="Times New Roman"/>
          <w:sz w:val="26"/>
          <w:szCs w:val="26"/>
          <w:color w:val="auto"/>
          <w:vertAlign w:val="superscript"/>
        </w:rPr>
      </w:pPr>
    </w:p>
    <w:p>
      <w:pPr>
        <w:ind w:left="285" w:hanging="285"/>
        <w:spacing w:after="0"/>
        <w:tabs>
          <w:tab w:leader="none" w:pos="285"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Restricted cash held as collateral represents the collateral requirements on our debt facilities.</w:t>
      </w: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color w:val="auto"/>
        </w:rPr>
        <w:t>Short term investments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considers highly liquid investments such as time deposits and certificates of deposit with an original maturity greater than three months at the time of purchase to be short term investments. The Short term investments of $146,936 consists of cash received upon closing of the Business Combination invested in money market accounts with maturities ranging between 1 and 12 months as of September 30, 2022. The amounts in these money market accounts are liquid and available for general use.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costs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Transaction costs consists of direct legal, consulting, audit and other fees related to the consummation of the Business Combination. These costs were initially capitalized as incurred and recorded as Deferred financing costs in the condensed consolidated balance sheet. Upon the completion of the Business Combination, transaction costs directly related to the issuance of shares were recognized as an offset to additional paid-in capital within the condensed consolidated statements of changes in redeemable non-controlling interest, redeemable preferred non-controlling interest and stockholders’ equity. The Company incurred $8,299 in transaction costs consisting of legal and professional fees, which were recorded as an offset to additional paid-in capital.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warrant liabilities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assumed publicly-traded warrants (the “Public Warrants”) and private warrants (the “Private Warrants”) upon the completion of the Business Combination. The Company accounts for warrants for shares of the Company’s stock that are not indexed to its own stock as liabilities at fair value on the condensed consolidated balance sheet. The warrants are remeasured at each balance sheet date and any change in fair value is recognized in the Company’s condensed consolidated statement of operations as part of change in fair value of derivative instruments,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Earnout Awards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Put option on forward purchase agreement</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with the change in the fair market value recognized in the statement of operations as part of change in fair value of derivative instruments, net. See Note.3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color w:val="auto"/>
        </w:rPr>
        <w:t>Redeemable non-controlling interests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At each balance sheet date, the mezzanine equity classified Redeemable non-controlling interests is adjusted up to their maximum redemption value if necessary, with an offset in Stockholders’ equity. As of September 30, 2022, the Company recorded an adjustment of $1,160,723.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The Business Combination was accounted for as a reverse recapitalization as OPAL Fuels was determined to be the accounting acquirer under FASB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Accordingly, for accounting purposes, the transaction is treated as the equivalent of OPAL Fuels issuing stock for the net assets of ArcLight,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accompanied by a recapitalization.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Company’s basic earnings per share of Class A common stock is computed based on the average number of outstanding shares of Class A common stock for the period.</w:t>
      </w:r>
    </w:p>
    <w:p>
      <w:pPr>
        <w:spacing w:after="0" w:line="206" w:lineRule="exact"/>
        <w:rPr>
          <w:sz w:val="20"/>
          <w:szCs w:val="20"/>
          <w:color w:val="auto"/>
        </w:rPr>
      </w:pPr>
    </w:p>
    <w:p>
      <w:pPr>
        <w:jc w:val="both"/>
        <w:ind w:right="20" w:firstLine="283"/>
        <w:spacing w:after="0" w:line="310" w:lineRule="auto"/>
        <w:rPr>
          <w:sz w:val="20"/>
          <w:szCs w:val="20"/>
          <w:color w:val="auto"/>
        </w:rPr>
      </w:pPr>
      <w:r>
        <w:rPr>
          <w:rFonts w:ascii="Times New Roman" w:cs="Times New Roman" w:eastAsia="Times New Roman" w:hAnsi="Times New Roman"/>
          <w:sz w:val="15"/>
          <w:szCs w:val="15"/>
          <w:color w:val="auto"/>
        </w:rPr>
        <w:t>The Company’s diluted earnings per share includes effects of the Company’s outstanding Redeemable non-controlling interests (OPAL Fuels Class B units), the put option a forward purchase agreement, redeemable preferred non-controlling interests, Sponsor Earnout Awards, OPAL Earnout Awards, Private Warrants and Public Warrants.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allowance for doubtful accounts was $100 and $— at September 30, 2022 and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 xml:space="preserve">The Company accounts for asset retirement obligations in accordance with FASB ASC 410, </w:t>
      </w:r>
      <w:r>
        <w:rPr>
          <w:rFonts w:ascii="Times New Roman" w:cs="Times New Roman" w:eastAsia="Times New Roman" w:hAnsi="Times New Roman"/>
          <w:sz w:val="16"/>
          <w:szCs w:val="16"/>
          <w:i w:val="1"/>
          <w:iCs w:val="1"/>
          <w:color w:val="auto"/>
        </w:rPr>
        <w:t>Asset Retirement and Environmental Obligations,</w:t>
      </w:r>
      <w:r>
        <w:rPr>
          <w:rFonts w:ascii="Times New Roman" w:cs="Times New Roman" w:eastAsia="Times New Roman" w:hAnsi="Times New Roman"/>
          <w:sz w:val="16"/>
          <w:szCs w:val="16"/>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65" w:name="page166"/>
    <w:bookmarkEnd w:id="165"/>
    <w:p>
      <w:pPr>
        <w:ind w:left="280"/>
        <w:spacing w:after="0"/>
        <w:rPr>
          <w:sz w:val="20"/>
          <w:szCs w:val="20"/>
          <w:color w:val="auto"/>
        </w:rPr>
      </w:pPr>
      <w:r>
        <w:rPr>
          <w:rFonts w:ascii="Times New Roman" w:cs="Times New Roman" w:eastAsia="Times New Roman" w:hAnsi="Times New Roman"/>
          <w:sz w:val="16"/>
          <w:szCs w:val="16"/>
          <w:color w:val="auto"/>
        </w:rPr>
        <w:t>As of September 30, 2022 and December 31, 2021, the Company estimated the value of its total asset retirement obligations to be $5,968 and $5,738, respectively.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changes in the asset retirement obligations were as follows as of September 30,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r>
      <w:tr>
        <w:trPr>
          <w:trHeight w:val="211"/>
        </w:trPr>
        <w:tc>
          <w:tcPr>
            <w:tcW w:w="10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Addition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2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r>
      <w:tr>
        <w:trPr>
          <w:trHeight w:val="176"/>
        </w:trPr>
        <w:tc>
          <w:tcPr>
            <w:tcW w:w="10020" w:type="dxa"/>
            <w:vAlign w:val="bottom"/>
            <w:tcBorders>
              <w:top w:val="single" w:sz="8" w:color="CCEEFF"/>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Total asset retirement obligation</w:t>
            </w: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5,968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0"/>
        </w:trPr>
        <w:tc>
          <w:tcPr>
            <w:tcW w:w="10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asset retirement obligation, net of current portion</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nine months ended September 30, 2022, the Company earned net revenues after discount and fees of $19,335 and $49,023, respectively under this contract which was recorded as part of Revenues - RNG fuel.</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66" w:name="page167"/>
    <w:bookmarkEnd w:id="166"/>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56" w:lineRule="exact"/>
        <w:rPr>
          <w:sz w:val="20"/>
          <w:szCs w:val="20"/>
          <w:color w:val="auto"/>
        </w:rPr>
      </w:pPr>
    </w:p>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the Company has concluded these agreements meet the criteria for a lease and are classified as operating leases. Typically, these agreements do not require any minimum consumption amounts and, therefore, no minimum payments. Included in “RNG fuel” revenues are $856 and $1,906 related to the lease portion of these agreements for the three and nine months ended September 30, 2022. The lease revenues included in Revenues - RNG fuel for the three and nine months ended September 30, 2021 were $694 and $1,644, respectively. In addition, the Company has assessed all power purchase agreements (“PPAs”) and concluded that certain PPAs contain a lease element requiring lease accounting. Included in “Renewable power” revenues are $384 and $1,014 related to the lease element of these PPAs for the three and nine months ended September 30, 2022. For the three and nine months ended September 30, 2021, the lease revenues from the PPAs included in “Renewable power” revenues were $765 and $1,642,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shows the disaggregation of revenue according to product line: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Borders>
              <w:bottom w:val="single" w:sz="8" w:color="CCEEFF"/>
            </w:tcBorders>
          </w:tcPr>
          <w:p>
            <w:pPr>
              <w:spacing w:after="0"/>
              <w:rPr>
                <w:sz w:val="17"/>
                <w:szCs w:val="17"/>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sales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28,162</w:t>
            </w:r>
          </w:p>
        </w:tc>
        <w:tc>
          <w:tcPr>
            <w:tcW w:w="120" w:type="dxa"/>
            <w:vAlign w:val="bottom"/>
            <w:shd w:val="clear" w:color="auto" w:fill="CCEEFF"/>
          </w:tcPr>
          <w:p>
            <w:pPr>
              <w:spacing w:after="0"/>
              <w:rPr>
                <w:sz w:val="16"/>
                <w:szCs w:val="16"/>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Third party construction</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18,660</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41,476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23,348</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3,480</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11,674</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Brown gas sales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12,430</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7,836</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19,649</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58,444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25,198</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Parts sales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1,355</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532</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agreements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2,433</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2,499</w:t>
            </w:r>
          </w:p>
        </w:tc>
      </w:tr>
      <w:tr>
        <w:trPr>
          <w:trHeight w:val="209"/>
        </w:trPr>
        <w:tc>
          <w:tcPr>
            <w:tcW w:w="5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5980" w:type="dxa"/>
            <w:vAlign w:val="bottom"/>
            <w:tcBorders>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Lease revenue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1,240</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1,459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2,920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3,286</w:t>
            </w:r>
          </w:p>
        </w:tc>
        <w:tc>
          <w:tcPr>
            <w:tcW w:w="120" w:type="dxa"/>
            <w:vAlign w:val="bottom"/>
            <w:tcBorders>
              <w:bottom w:val="single" w:sz="8" w:color="CCEEFF"/>
            </w:tcBorders>
          </w:tcPr>
          <w:p>
            <w:pPr>
              <w:spacing w:after="0"/>
              <w:rPr>
                <w:sz w:val="15"/>
                <w:szCs w:val="15"/>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66,550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47,184</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168,814</w:t>
            </w:r>
          </w:p>
        </w:tc>
        <w:tc>
          <w:tcPr>
            <w:tcW w:w="4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104,968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For the three and nine months ended September 30, 2022, 28% and 24.6%, respectively of revenue was recognized over time, and the remainder was for products and services transferred at a point in time. For the three and nine months ended September 30, 2021, approximately 29.8% and 22.2%, respectively, of revenue was recognized over time, and the remainder was for products and services transferred at a point in time.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shows the items consisting of items recorded as Other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20" w:type="dxa"/>
            <w:vAlign w:val="bottom"/>
            <w:gridSpan w:val="4"/>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Reversal of contingent consideration on acquisition of non-controlling interest</w:t>
            </w: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8"/>
              </w:rPr>
              <w:t>4,365</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4"/>
              </w:rPr>
              <w:t>4,365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Gain on redemption of Note receivable</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1,943</w:t>
            </w:r>
          </w:p>
        </w:tc>
        <w:tc>
          <w:tcPr>
            <w:tcW w:w="8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52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7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6,308</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6,308</w:t>
            </w:r>
          </w:p>
        </w:tc>
        <w:tc>
          <w:tcPr>
            <w:tcW w:w="4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6"/>
                <w:szCs w:val="16"/>
                <w:color w:val="auto"/>
              </w:rPr>
              <w:t>F-14</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8" w:right="31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provides information about receivables, contract assets, and contract liabilities from contracts with customers: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25,391</w:t>
            </w:r>
          </w:p>
        </w:tc>
        <w:tc>
          <w:tcPr>
            <w:tcW w:w="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and estimated earnings in excess of billings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12,514</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Accounts receivable retainage, net</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Contract assets 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14,676</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Billings in excess of costs and estimated earnings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Contract liabilities total</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20" w:type="dxa"/>
            <w:vAlign w:val="bottom"/>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During the nine months ended September 30, 2022, the Company recognized revenue of $9,785 that was included in “Contract liabilities” at December 31, 2021. During the nine months ended September 30, 2021, the Company recognized revenue of $4,678 that was included in “Contract liabilities” at December 31,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RNG inventory</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Company’s remaining performance obligations (“backlog”) represent the unrecognized revenue value of its contract commitments. The Company’s backlog may significantly vary each reporting period based on the timing of major new contract commitments. At September 30, 2022, the Company had a backlog of $36,311 which is anticipated to be recognized as revenue in the next 12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156"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Customers, Vendors and Concentration of Credit Risk</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For the three and nine months ended September 30, 2022, two customers accounted for 49% and 45% of revenue, respectively. For the three and nine months ended 2021, two customers accounted for 18% and 30% of revenue, respectively. At September 30, 2022, two customers accounted for 38% of accounts receivable. At December 31, 2021, one customer accounted for 11%, of accounts receivable.</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of September 30, 2022 one vendor, respectively accounted for 22% of the accounts payable. As of December 31, 2021, no vendors accounted for greater than 10% of the accounts payable.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color w:val="auto"/>
        </w:rPr>
        <w:t>3. Business Combination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connection with consummation of the Business Combination, the events summarized below, among others, occurred:</w:t>
      </w:r>
    </w:p>
    <w:p>
      <w:pPr>
        <w:spacing w:after="0" w:line="194" w:lineRule="exact"/>
        <w:rPr>
          <w:sz w:val="20"/>
          <w:szCs w:val="20"/>
          <w:color w:val="auto"/>
        </w:rPr>
      </w:pPr>
    </w:p>
    <w:p>
      <w:pPr>
        <w:jc w:val="both"/>
        <w:ind w:left="560" w:hanging="282"/>
        <w:spacing w:after="0" w:line="252" w:lineRule="auto"/>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condensed consolidated financial statements. Each Class B unit is paired with 1 non-economic share of Class D common stock issued by the Company.</w:t>
      </w:r>
    </w:p>
    <w:p>
      <w:pPr>
        <w:jc w:val="both"/>
        <w:ind w:left="560" w:hanging="282"/>
        <w:spacing w:after="0" w:line="263" w:lineRule="auto"/>
        <w:tabs>
          <w:tab w:leader="none" w:pos="5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ArcLight (i) contributed to OPAL Fuels $138,850 in cash net of transaction expenses of $9.7 million,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ind w:left="560" w:hanging="282"/>
        <w:spacing w:after="0"/>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issued 25,671,390 Class A Units of OPAL Fuels to the Company; and</w:t>
      </w:r>
    </w:p>
    <w:p>
      <w:pPr>
        <w:spacing w:after="0" w:line="5" w:lineRule="exact"/>
        <w:rPr>
          <w:rFonts w:ascii="Times New Roman" w:cs="Times New Roman" w:eastAsia="Times New Roman" w:hAnsi="Times New Roman"/>
          <w:sz w:val="16"/>
          <w:szCs w:val="16"/>
          <w:color w:val="auto"/>
        </w:rPr>
      </w:pPr>
    </w:p>
    <w:p>
      <w:pPr>
        <w:ind w:left="560" w:right="20" w:hanging="282"/>
        <w:spacing w:after="0" w:line="253" w:lineRule="auto"/>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162"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with the change in the fair market value recognized in the statement of operations. As of September 30, 2022, Meteora sold 340,000 shares. The fair value of the put option for the remaining 1,700,000 as of September 30, 2022 was estimated at $4,200. For the three and nine months ended September 30, 2022, the Company recorded a gain of $384 as change in fair value of derivative instruments, net in its Condensed Consolidated Statement of Operations.</w:t>
      </w:r>
    </w:p>
    <w:p>
      <w:pPr>
        <w:spacing w:after="0" w:line="17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 w:cs="Times New Roman" w:eastAsia="Times New Roman" w:hAnsi="Times New Roman"/>
          <w:sz w:val="16"/>
          <w:szCs w:val="16"/>
          <w:i w:val="1"/>
          <w:iCs w:val="1"/>
          <w:color w:val="auto"/>
        </w:rPr>
        <w:t>erivatives and Hedging</w:t>
      </w:r>
      <w:r>
        <w:rPr>
          <w:rFonts w:ascii="Times New Roman" w:cs="Times New Roman" w:eastAsia="Times New Roman" w:hAnsi="Times New Roman"/>
          <w:sz w:val="16"/>
          <w:szCs w:val="16"/>
          <w:color w:val="auto"/>
        </w:rPr>
        <w:t>. The fair value of Sponsor Earnout Awards as of September 30, 2022 was estimated at $4,600. For the three and nine months ended September 30, 2022, the Company recorded a gain of $1,100 as change in fair value of derivative instruments, net in its condensed consolidated statement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69" w:name="page170"/>
    <w:bookmarkEnd w:id="169"/>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because they are considered indexed to an obligation to repurchase shares by delivering cash or other assets as a result of certain settlement provisions. The fair value of OPAL Earnout Awards as of September 30, 2022 was estimated at $34,900. For the three and nine months ended September 30, 2022, the Company recorded a gain of $5,300 as change in fair value of derivative instruments,net in its condensed consolidated statements of operations.</w:t>
      </w:r>
    </w:p>
    <w:p>
      <w:pPr>
        <w:spacing w:after="0" w:line="16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Upon the completion of the business combination, the Company assumed the Public Warrants and Private Warrants. As of September 30, 2022, the Company had 6,223,261 and 9,223,261 Public Warrants and Private Warrants outstanding, respectively.</w:t>
      </w:r>
    </w:p>
    <w:p>
      <w:pPr>
        <w:spacing w:after="0" w:line="14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warrants have an exercise price of $11.50 per share, subject to adjustments, and will expire five years after the completion of a Business Combination or earlier upon redemption or liquidation. The fair value of the Public Warrants as of September 30, 2022 was estimated at $9,024. For the three and nine months ended September 30, 2022, the Company recorded an expense of $3,578 as change in fair value of derivative instruments, net in its condensed consolidated statements of operations.</w:t>
      </w:r>
    </w:p>
    <w:p>
      <w:pPr>
        <w:spacing w:after="0" w:line="16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Private Warrants are identical to the Public Warrants underlying the units sold in the Initial Public Offering, except that the Private Warrants and the Class A common stock issuable upon exercise of the Private Placement Warrants will not be transferable, assignable or salable until 30 days after the completion of a Business Combination, subject to certain limited exceptions. Additionally, the Private Warrants will be non-redeemable so long as they are held by the initial purchasers or such purchasers’ permitted transferees. If the Private Warrants are held by someone other than the Initial Shareholders or their permitted transferees, the Private Warrants will be redeemable by the Company and exercisable by such holders on the same basis as the Public Warrants. The fair value of the Private Warrants as of September 30, 2022 was estimated at $13,388. For the three and nine months ended September 30, 2022, the Company recorded an expense of $5,309 as change in fair value of derivative instruments, net in its condensed consolidated statements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Redemption of warrants for cash when the price per Class A common stock price equals or exceeds $18.00:</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Once the warrants become exercisable, the Company may redeem the outstanding warrants (except as described herein with respect to the Private Warrants):</w:t>
      </w:r>
    </w:p>
    <w:p>
      <w:pPr>
        <w:spacing w:after="0" w:line="194" w:lineRule="exact"/>
        <w:rPr>
          <w:sz w:val="20"/>
          <w:szCs w:val="20"/>
          <w:color w:val="auto"/>
        </w:rPr>
      </w:pPr>
    </w:p>
    <w:p>
      <w:pPr>
        <w:ind w:left="560" w:hanging="282"/>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w:t>
      </w:r>
    </w:p>
    <w:p>
      <w:pPr>
        <w:spacing w:after="0" w:line="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 to each warrant holder; and</w:t>
      </w:r>
    </w:p>
    <w:p>
      <w:pPr>
        <w:spacing w:after="0" w:line="5" w:lineRule="exact"/>
        <w:rPr>
          <w:rFonts w:ascii="Times New Roman" w:cs="Times New Roman" w:eastAsia="Times New Roman" w:hAnsi="Times New Roman"/>
          <w:sz w:val="16"/>
          <w:szCs w:val="16"/>
          <w:color w:val="auto"/>
        </w:rPr>
      </w:pPr>
    </w:p>
    <w:p>
      <w:pPr>
        <w:ind w:left="560" w:hanging="282"/>
        <w:spacing w:after="0" w:line="253" w:lineRule="auto"/>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last reported sale price (the “closing price”) of Class A common stock equals or exceeds $18.00 per share (as adjusted) for any 20 trading days within a 30-trading day period ending on the third trading day prior to the date on which the Company sends the notice of redemption to the warrant holders.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70" w:name="page171"/>
    <w:bookmarkEnd w:id="170"/>
    <w:p>
      <w:pPr>
        <w:ind w:left="5"/>
        <w:spacing w:after="0"/>
        <w:rPr>
          <w:sz w:val="20"/>
          <w:szCs w:val="20"/>
          <w:color w:val="auto"/>
        </w:rPr>
      </w:pPr>
      <w:r>
        <w:rPr>
          <w:rFonts w:ascii="Times New Roman" w:cs="Times New Roman" w:eastAsia="Times New Roman" w:hAnsi="Times New Roman"/>
          <w:sz w:val="16"/>
          <w:szCs w:val="16"/>
          <w:i w:val="1"/>
          <w:iCs w:val="1"/>
          <w:color w:val="auto"/>
        </w:rPr>
        <w:t>Redemption of warrants for Class A common stock when the price per share of Class A common stock equals or exceeds $10.00:</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Once the warrants become exercisable, the Company may redeem the outstanding warrants:</w:t>
      </w:r>
    </w:p>
    <w:p>
      <w:pPr>
        <w:spacing w:after="0" w:line="194" w:lineRule="exact"/>
        <w:rPr>
          <w:sz w:val="20"/>
          <w:szCs w:val="20"/>
          <w:color w:val="auto"/>
        </w:rPr>
      </w:pPr>
    </w:p>
    <w:p>
      <w:pPr>
        <w:ind w:left="565" w:hanging="282"/>
        <w:spacing w:after="0"/>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22" w:lineRule="exact"/>
        <w:rPr>
          <w:rFonts w:ascii="Times New Roman" w:cs="Times New Roman" w:eastAsia="Times New Roman" w:hAnsi="Times New Roman"/>
          <w:sz w:val="16"/>
          <w:szCs w:val="16"/>
          <w:color w:val="auto"/>
        </w:rPr>
      </w:pPr>
    </w:p>
    <w:p>
      <w:pPr>
        <w:jc w:val="both"/>
        <w:ind w:left="565" w:right="20" w:hanging="282"/>
        <w:spacing w:after="0" w:line="246" w:lineRule="auto"/>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1" w:lineRule="exact"/>
        <w:rPr>
          <w:rFonts w:ascii="Times New Roman" w:cs="Times New Roman" w:eastAsia="Times New Roman" w:hAnsi="Times New Roman"/>
          <w:sz w:val="16"/>
          <w:szCs w:val="16"/>
          <w:color w:val="auto"/>
        </w:rPr>
      </w:pPr>
    </w:p>
    <w:p>
      <w:pPr>
        <w:ind w:left="565" w:right="20" w:hanging="282"/>
        <w:spacing w:after="0" w:line="246" w:lineRule="auto"/>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closing price of Class A common stock equals or exceeds $10.00 per share (as adjusted) for any 20 trading days within the 30 trading day period ending three trading days before the Company sends the notice of redemption to the warrant holders; and</w:t>
      </w:r>
    </w:p>
    <w:p>
      <w:pPr>
        <w:jc w:val="both"/>
        <w:ind w:left="565" w:hanging="282"/>
        <w:spacing w:after="0" w:line="249" w:lineRule="auto"/>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closing price of the Class A common stock for any 20 trading days within a 30-trading day period ending on the third trading day prior to the date on which the Company sends the notice of redemption to the warrant holders is less than $18.00 per share (as adjusted), the Private Warrants must also be concurrently called for redemption on the same terms as the outstanding Public Warrants, as described above.</w:t>
      </w:r>
    </w:p>
    <w:p>
      <w:pPr>
        <w:spacing w:after="0" w:line="16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“fair market value” of Class A common stock for the above purpose shall mean the volume weighted average price of our Class A common stock during the ten trading days immediately following the date on which the notice of redemption is sent to the holders of warrants. In no event will the warrants be exercisable in connection with this redemption feature for more than 0.361 Class A common stock per warrant (subject to adjustment).</w:t>
      </w:r>
    </w:p>
    <w:p>
      <w:pPr>
        <w:spacing w:after="0" w:line="15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reconciles the elements of the Business Combination to the condensed consolidated statements of cash flows and the condensed consolidated statements of stockholders’ equity for the nine months ended September 30, 2022:</w:t>
      </w:r>
    </w:p>
    <w:p>
      <w:pPr>
        <w:spacing w:after="0" w:line="35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proceeds from Arclight, net of redemptions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17,775</w:t>
            </w:r>
          </w:p>
        </w:tc>
        <w:tc>
          <w:tcPr>
            <w:tcW w:w="100" w:type="dxa"/>
            <w:vAlign w:val="bottom"/>
            <w:shd w:val="clear" w:color="auto" w:fill="CCEEFF"/>
          </w:tcPr>
          <w:p>
            <w:pPr>
              <w:spacing w:after="0"/>
              <w:rPr>
                <w:sz w:val="16"/>
                <w:szCs w:val="16"/>
                <w:color w:val="auto"/>
              </w:rPr>
            </w:pP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Cash proceeds from PIPE investors</w:t>
            </w:r>
          </w:p>
        </w:tc>
        <w:tc>
          <w:tcPr>
            <w:tcW w:w="34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110,806</w:t>
            </w:r>
          </w:p>
        </w:tc>
        <w:tc>
          <w:tcPr>
            <w:tcW w:w="100" w:type="dxa"/>
            <w:vAlign w:val="bottom"/>
          </w:tcPr>
          <w:p>
            <w:pPr>
              <w:spacing w:after="0"/>
              <w:rPr>
                <w:sz w:val="16"/>
                <w:szCs w:val="16"/>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in escrow account for the Forward Purchase Agreement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20,040</w:t>
            </w:r>
          </w:p>
        </w:tc>
        <w:tc>
          <w:tcPr>
            <w:tcW w:w="100" w:type="dxa"/>
            <w:vAlign w:val="bottom"/>
            <w:shd w:val="clear" w:color="auto" w:fill="CCEEFF"/>
          </w:tcPr>
          <w:p>
            <w:pPr>
              <w:spacing w:after="0"/>
              <w:rPr>
                <w:sz w:val="16"/>
                <w:szCs w:val="16"/>
                <w:color w:val="auto"/>
              </w:rPr>
            </w:pPr>
          </w:p>
        </w:tc>
      </w:tr>
      <w:tr>
        <w:trPr>
          <w:trHeight w:val="240"/>
        </w:trPr>
        <w:tc>
          <w:tcPr>
            <w:tcW w:w="1002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Less: transaction costs and under writing fees paid </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(9,771)</w:t>
            </w:r>
          </w:p>
        </w:tc>
      </w:tr>
      <w:tr>
        <w:trPr>
          <w:trHeight w:val="209"/>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acquired from Business Combination</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100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Less: warrant liabilities</w:t>
            </w:r>
          </w:p>
        </w:tc>
        <w:tc>
          <w:tcPr>
            <w:tcW w:w="34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(13,524)</w:t>
            </w:r>
          </w:p>
        </w:tc>
        <w:tc>
          <w:tcPr>
            <w:tcW w:w="120" w:type="dxa"/>
            <w:vAlign w:val="bottom"/>
            <w:gridSpan w:val="2"/>
          </w:tcPr>
          <w:p>
            <w:pPr>
              <w:spacing w:after="0"/>
              <w:rPr>
                <w:sz w:val="15"/>
                <w:szCs w:val="15"/>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earnout liabilities</w:t>
            </w: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(45,900)</w:t>
            </w: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Less: put option with Meteora</w:t>
            </w:r>
          </w:p>
        </w:tc>
        <w:tc>
          <w:tcPr>
            <w:tcW w:w="3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(4,600)</w:t>
            </w:r>
          </w:p>
        </w:tc>
      </w:tr>
      <w:tr>
        <w:trPr>
          <w:trHeight w:val="256"/>
        </w:trPr>
        <w:tc>
          <w:tcPr>
            <w:tcW w:w="100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 xml:space="preserve">Less: Deferred financing costs recorded in additional paid-in-capital </w:t>
            </w:r>
            <w:r>
              <w:rPr>
                <w:rFonts w:ascii="Times New Roman" w:cs="Times New Roman" w:eastAsia="Times New Roman" w:hAnsi="Times New Roman"/>
                <w:sz w:val="26"/>
                <w:szCs w:val="26"/>
                <w:color w:val="auto"/>
                <w:vertAlign w:val="superscript"/>
              </w:rPr>
              <w:t>(2)</w:t>
            </w:r>
          </w:p>
        </w:tc>
        <w:tc>
          <w:tcPr>
            <w:tcW w:w="3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(6,569)</w:t>
            </w:r>
          </w:p>
        </w:tc>
      </w:tr>
      <w:tr>
        <w:trPr>
          <w:trHeight w:val="200"/>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from Business Combination recorded in Stockholders’ equity</w:t>
            </w: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68,257</w:t>
            </w: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285" w:hanging="285"/>
        <w:spacing w:after="0"/>
        <w:tabs>
          <w:tab w:leader="none" w:pos="285"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$8,041 of Sponsor specific transaction costs paid at closing.</w:t>
      </w:r>
    </w:p>
    <w:p>
      <w:pPr>
        <w:spacing w:after="0" w:line="143" w:lineRule="exact"/>
        <w:rPr>
          <w:rFonts w:ascii="Times New Roman" w:cs="Times New Roman" w:eastAsia="Times New Roman" w:hAnsi="Times New Roman"/>
          <w:sz w:val="26"/>
          <w:szCs w:val="26"/>
          <w:color w:val="auto"/>
          <w:vertAlign w:val="superscript"/>
        </w:rPr>
      </w:pPr>
    </w:p>
    <w:p>
      <w:pPr>
        <w:ind w:left="285" w:hanging="285"/>
        <w:spacing w:after="0" w:line="188" w:lineRule="auto"/>
        <w:tabs>
          <w:tab w:leader="none" w:pos="285"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Excludes $1,730 of transaction costs paid at closing and recorded on OPAL Fuels’ condensed consolidated balance sheet prior to closing.</w:t>
      </w: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71" w:name="page172"/>
    <w:bookmarkEnd w:id="171"/>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total number of shares of the Company’s Class A common stock outstanding immediately following the closing of the Business Combination was 25,671,390, consisting of the following:</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1002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8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 Public stockholders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1,752,181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1002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 xml:space="preserve">Class A - Sponsor shares </w:t>
            </w:r>
            <w:r>
              <w:rPr>
                <w:rFonts w:ascii="Times New Roman" w:cs="Times New Roman" w:eastAsia="Times New Roman" w:hAnsi="Times New Roman"/>
                <w:sz w:val="26"/>
                <w:szCs w:val="26"/>
                <w:color w:val="auto"/>
                <w:vertAlign w:val="superscript"/>
              </w:rPr>
              <w:t>(1)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7,779,076</w:t>
            </w:r>
          </w:p>
        </w:tc>
        <w:tc>
          <w:tcPr>
            <w:tcW w:w="100" w:type="dxa"/>
            <w:vAlign w:val="bottom"/>
          </w:tcPr>
          <w:p>
            <w:pPr>
              <w:spacing w:after="0"/>
              <w:rPr>
                <w:sz w:val="19"/>
                <w:szCs w:val="19"/>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 PIPE investors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11,080,600</w:t>
            </w: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Class A - Forward Purchase Agreement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tcPr>
          <w:p>
            <w:pPr>
              <w:spacing w:after="0"/>
              <w:rPr>
                <w:sz w:val="16"/>
                <w:szCs w:val="16"/>
                <w:color w:val="auto"/>
              </w:rPr>
            </w:pPr>
          </w:p>
        </w:tc>
      </w:tr>
      <w:tr>
        <w:trPr>
          <w:trHeight w:val="22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 Ares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3,059,533</w:t>
            </w:r>
          </w:p>
        </w:tc>
        <w:tc>
          <w:tcPr>
            <w:tcW w:w="100" w:type="dxa"/>
            <w:vAlign w:val="bottom"/>
            <w:shd w:val="clear" w:color="auto" w:fill="CCEEFF"/>
          </w:tcPr>
          <w:p>
            <w:pPr>
              <w:spacing w:after="0"/>
              <w:rPr>
                <w:sz w:val="19"/>
                <w:szCs w:val="19"/>
                <w:color w:val="auto"/>
              </w:rPr>
            </w:pPr>
          </w:p>
        </w:tc>
      </w:tr>
      <w:tr>
        <w:trPr>
          <w:trHeight w:val="176"/>
        </w:trPr>
        <w:tc>
          <w:tcPr>
            <w:tcW w:w="100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25,671,390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D - Opal Fuels equity holders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144,399,037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Total shares issued upon closing of Business Combination</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170,070,427</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285" w:hanging="285"/>
        <w:spacing w:after="0"/>
        <w:tabs>
          <w:tab w:leader="none" w:pos="285" w:val="left"/>
        </w:tabs>
        <w:numPr>
          <w:ilvl w:val="0"/>
          <w:numId w:val="71"/>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6"/>
          <w:szCs w:val="16"/>
          <w:color w:val="auto"/>
        </w:rPr>
        <w:t>Includes 763,908 Sponsor Earnout Awards subject to vesting and forfeiture conditions.</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incurred $8,299 in transaction costs relating to the Business Combination which were recorded as an offset to additional paid-in capital in the condensed consolidated Statements of Changes in Redeemable preferred units and Stockholders’ equity.</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4. Investment in Other Entities</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60"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Our equity method investments were as follows as of September 30, 2022 and December 31, 2021:</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170"/>
        </w:trPr>
        <w:tc>
          <w:tcPr>
            <w:tcW w:w="7320" w:type="dxa"/>
            <w:vAlign w:val="bottom"/>
          </w:tcPr>
          <w:p>
            <w:pPr>
              <w:spacing w:after="0"/>
              <w:rPr>
                <w:sz w:val="14"/>
                <w:szCs w:val="14"/>
                <w:color w:val="auto"/>
              </w:rPr>
            </w:pPr>
          </w:p>
        </w:tc>
        <w:tc>
          <w:tcPr>
            <w:tcW w:w="1320" w:type="dxa"/>
            <w:vAlign w:val="bottom"/>
            <w:gridSpan w:val="2"/>
          </w:tcPr>
          <w:p>
            <w:pPr>
              <w:jc w:val="center"/>
              <w:ind w:right="220"/>
              <w:spacing w:after="0" w:line="171" w:lineRule="exact"/>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80" w:type="dxa"/>
            <w:vAlign w:val="bottom"/>
          </w:tcPr>
          <w:p>
            <w:pPr>
              <w:spacing w:after="0"/>
              <w:rPr>
                <w:sz w:val="14"/>
                <w:szCs w:val="14"/>
                <w:color w:val="auto"/>
              </w:rPr>
            </w:pPr>
          </w:p>
        </w:tc>
        <w:tc>
          <w:tcPr>
            <w:tcW w:w="1320" w:type="dxa"/>
            <w:vAlign w:val="bottom"/>
            <w:tcBorders>
              <w:top w:val="single" w:sz="8" w:color="auto"/>
            </w:tcBorders>
            <w:gridSpan w:val="3"/>
          </w:tcPr>
          <w:p>
            <w:pPr>
              <w:jc w:val="right"/>
              <w:ind w:right="300"/>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21"/>
              <w:spacing w:after="0" w:line="17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ownership</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 Bend</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Noble Road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24,053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GREP</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3,925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investment in other entities</w:t>
            </w: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48,708</w:t>
            </w:r>
          </w:p>
        </w:tc>
        <w:tc>
          <w:tcPr>
            <w:tcW w:w="240" w:type="dxa"/>
            <w:vAlign w:val="bottom"/>
            <w:gridSpan w:val="2"/>
          </w:tcPr>
          <w:p>
            <w:pPr>
              <w:jc w:val="right"/>
              <w:ind w:right="9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Note receivable</w:t>
      </w:r>
    </w:p>
    <w:p>
      <w:pPr>
        <w:spacing w:after="0" w:line="184"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15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The Company recorded a gain on repayment of $1,943 as part of Other income in the condensed consolidated statement of operations for the three and nine months ended September 30, 2022.</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recorded $95 and $841 as a reduction to interest and financing expense, net in its condensed consolidated statement of operations for the three and nine months ended September 30, 2022, respectively.</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172" w:name="page173"/>
    <w:bookmarkEnd w:id="172"/>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$73 and $136 as a reduction to interest and financing expense, net in the condensed consolidated statement of operations for the three and nine months ended September 30, 2022, respectively.</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Note receivable - variable fee component of $1,865 and $1,656 is recorded as a long-term asset on its condensed consolidated balance sheets as of September 30, 2022 and December 31, 2021, respectively.</w:t>
      </w:r>
    </w:p>
    <w:p>
      <w:pPr>
        <w:spacing w:after="0" w:line="145"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net income from equity method investments: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70"/>
        </w:trPr>
        <w:tc>
          <w:tcPr>
            <w:tcW w:w="5980" w:type="dxa"/>
            <w:vAlign w:val="bottom"/>
          </w:tcPr>
          <w:p>
            <w:pPr>
              <w:spacing w:after="0"/>
              <w:rPr>
                <w:sz w:val="14"/>
                <w:szCs w:val="14"/>
                <w:color w:val="auto"/>
              </w:rPr>
            </w:pPr>
          </w:p>
        </w:tc>
        <w:tc>
          <w:tcPr>
            <w:tcW w:w="1360" w:type="dxa"/>
            <w:vAlign w:val="bottom"/>
            <w:tcBorders>
              <w:top w:val="single" w:sz="8" w:color="auto"/>
            </w:tcBorders>
            <w:gridSpan w:val="3"/>
          </w:tcPr>
          <w:p>
            <w:pPr>
              <w:jc w:val="center"/>
              <w:ind w:right="280"/>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140" w:type="dxa"/>
            <w:vAlign w:val="bottom"/>
            <w:tcBorders>
              <w:top w:val="single" w:sz="8" w:color="auto"/>
            </w:tcBorders>
            <w:gridSpan w:val="2"/>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gridSpan w:val="3"/>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1"/>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4"/>
                <w:szCs w:val="14"/>
                <w:color w:val="auto"/>
              </w:rPr>
            </w:pPr>
          </w:p>
        </w:tc>
      </w:tr>
      <w:tr>
        <w:trPr>
          <w:trHeight w:val="211"/>
        </w:trPr>
        <w:tc>
          <w:tcPr>
            <w:tcW w:w="5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213"/>
        </w:trPr>
        <w:tc>
          <w:tcPr>
            <w:tcW w:w="59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 xml:space="preserve">Revenue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42,158</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47,247</w:t>
            </w:r>
          </w:p>
        </w:tc>
        <w:tc>
          <w:tcPr>
            <w:tcW w:w="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14,181</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33,053</w:t>
            </w:r>
          </w:p>
        </w:tc>
        <w:tc>
          <w:tcPr>
            <w:tcW w:w="86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6,459</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31,356</w:t>
            </w:r>
          </w:p>
        </w:tc>
        <w:tc>
          <w:tcPr>
            <w:tcW w:w="8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5,400</w:t>
            </w:r>
          </w:p>
        </w:tc>
      </w:t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4"/>
        </w:trPr>
        <w:tc>
          <w:tcPr>
            <w:tcW w:w="59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 xml:space="preserve">Net income from equity method investments </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3,694</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3,658</w:t>
            </w:r>
          </w:p>
        </w:tc>
        <w:tc>
          <w:tcPr>
            <w:tcW w:w="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2,392</w:t>
            </w:r>
          </w:p>
        </w:tc>
      </w:tr>
    </w:tbl>
    <w:p>
      <w:pPr>
        <w:spacing w:after="0" w:line="172" w:lineRule="exact"/>
        <w:rPr>
          <w:sz w:val="20"/>
          <w:szCs w:val="20"/>
          <w:color w:val="auto"/>
        </w:rPr>
      </w:pPr>
    </w:p>
    <w:p>
      <w:pPr>
        <w:ind w:left="285" w:right="20" w:hanging="285"/>
        <w:spacing w:after="0" w:line="196" w:lineRule="auto"/>
        <w:tabs>
          <w:tab w:leader="none" w:pos="285"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Revenues include a realized gain of $32,796 from commodity swap contracts on our equity method investment, GREP for the three and nine months ended September 30, 2022.</w:t>
      </w:r>
    </w:p>
    <w:p>
      <w:pPr>
        <w:spacing w:after="0" w:line="160" w:lineRule="exact"/>
        <w:rPr>
          <w:rFonts w:ascii="Times New Roman" w:cs="Times New Roman" w:eastAsia="Times New Roman" w:hAnsi="Times New Roman"/>
          <w:sz w:val="26"/>
          <w:szCs w:val="26"/>
          <w:color w:val="auto"/>
          <w:vertAlign w:val="superscript"/>
        </w:rPr>
      </w:pPr>
    </w:p>
    <w:p>
      <w:pPr>
        <w:ind w:left="285" w:right="20" w:hanging="285"/>
        <w:spacing w:after="0" w:line="196" w:lineRule="auto"/>
        <w:tabs>
          <w:tab w:leader="none" w:pos="285"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Net income from equity method investments represents our portion of the net income from equity method investments in Pine Bend, Noble Road and GREP for the three and nine months ended September 30, 2022 and Beacon for the three and nine months ended September 30, 2021.</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Property, Plant, and Equipment, Net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net, consisted of the following as of September 30, 2022 and December 31, 2021:</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9"/>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6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Plant and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CNG/RNG fueling stations</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34,494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27,892</w:t>
            </w: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102,205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62,616</w:t>
            </w: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2,585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1,303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Service equipment</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1,692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815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307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6"/>
                <w:szCs w:val="16"/>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r>
      <w:tr>
        <w:trPr>
          <w:trHeight w:val="176"/>
        </w:trPr>
        <w:tc>
          <w:tcPr>
            <w:tcW w:w="86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347,831</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259,480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(97,476</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(89,710</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0"/>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250,355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169,770</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September 30, 2022, are expected to be operational during the fourth quarter of 2023 and early 2024.</w:t>
      </w:r>
    </w:p>
    <w:p>
      <w:pPr>
        <w:spacing w:after="0" w:line="15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Depreciation expense on property, plant, and equipment for the nine months ended September 30, 2022 and September 30, 2021 was $8,986 and $6,163, respectively.</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Intangible Assets, Net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8"/>
              </w:rPr>
              <w:t>Intangible assets, net, consisted of the following at September 30, 2022 and December 31, 2021:</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9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purchase agreements</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4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CNG sales contract</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14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2,266</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9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purchase agreements</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4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CNG sales contract</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(8,588</w:t>
            </w:r>
          </w:p>
        </w:tc>
        <w:tc>
          <w:tcPr>
            <w:tcW w:w="14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2,861</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$121 under the Municipality loan is shown as part of current liabilities on its condensed consolidated balance sheet as of September 30, 2022. Please see Note 8. </w:t>
      </w:r>
      <w:r>
        <w:rPr>
          <w:rFonts w:ascii="Times New Roman" w:cs="Times New Roman" w:eastAsia="Times New Roman" w:hAnsi="Times New Roman"/>
          <w:sz w:val="15"/>
          <w:szCs w:val="15"/>
          <w:i w:val="1"/>
          <w:iCs w:val="1"/>
          <w:color w:val="auto"/>
        </w:rPr>
        <w:t>Borrowings,</w:t>
      </w:r>
      <w:r>
        <w:rPr>
          <w:rFonts w:ascii="Times New Roman" w:cs="Times New Roman" w:eastAsia="Times New Roman" w:hAnsi="Times New Roman"/>
          <w:sz w:val="15"/>
          <w:szCs w:val="15"/>
          <w:color w:val="auto"/>
        </w:rPr>
        <w:t xml:space="preserve"> for additional information.</w:t>
      </w:r>
    </w:p>
    <w:p>
      <w:pPr>
        <w:spacing w:after="0" w:line="139"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Amortization expense for the nine months ended September 30, 2022 and 2021 was $595 and $346, respectively. At September 30, 2022, estimated future amortization expense for intangible assets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ended December 31, 2022</w:t>
            </w:r>
          </w:p>
        </w:tc>
        <w:tc>
          <w:tcPr>
            <w:tcW w:w="6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w:t>
            </w: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6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465</w:t>
            </w: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275</w:t>
            </w: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6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r>
      <w:tr>
        <w:trPr>
          <w:trHeight w:val="20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6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824</w:t>
            </w:r>
          </w:p>
        </w:tc>
      </w:tr>
      <w:tr>
        <w:trPr>
          <w:trHeight w:val="24"/>
        </w:trPr>
        <w:tc>
          <w:tcPr>
            <w:tcW w:w="4020" w:type="dxa"/>
            <w:vAlign w:val="bottom"/>
            <w:shd w:val="clear" w:color="auto" w:fill="CCEEFF"/>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2,266</w:t>
            </w:r>
          </w:p>
        </w:tc>
      </w:tr>
      <w:tr>
        <w:trPr>
          <w:trHeight w:val="20"/>
        </w:trPr>
        <w:tc>
          <w:tcPr>
            <w:tcW w:w="4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6"/>
        </w:trPr>
        <w:tc>
          <w:tcPr>
            <w:tcW w:w="40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jc w:val="right"/>
              <w:ind w:right="4581"/>
              <w:spacing w:after="0"/>
              <w:rPr>
                <w:sz w:val="20"/>
                <w:szCs w:val="20"/>
                <w:color w:val="auto"/>
              </w:rPr>
            </w:pPr>
            <w:r>
              <w:rPr>
                <w:rFonts w:ascii="Times New Roman" w:cs="Times New Roman" w:eastAsia="Times New Roman" w:hAnsi="Times New Roman"/>
                <w:sz w:val="16"/>
                <w:szCs w:val="16"/>
                <w:color w:val="auto"/>
              </w:rPr>
              <w:t>F-21</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6" w:right="319" w:bottom="1440" w:gutter="0" w:footer="0" w:header="0"/>
        </w:sectPr>
      </w:pPr>
    </w:p>
    <w:bookmarkStart w:id="174" w:name="page175"/>
    <w:bookmarkEnd w:id="174"/>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7.</w:t>
            </w:r>
          </w:p>
        </w:tc>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980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auto"/>
              </w:rPr>
              <w:t>The following table summarizes the changes in goodwill, if any, by reporting segment from the beginning of the period to the end of the period: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0"/>
              </w:rPr>
              <w:t>54,608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51,155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3,453</w:t>
            </w: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54,608</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40" w:type="dxa"/>
            <w:vAlign w:val="bottom"/>
            <w:vMerge w:val="continue"/>
          </w:tcPr>
          <w:p>
            <w:pPr>
              <w:spacing w:after="0"/>
              <w:rPr>
                <w:sz w:val="24"/>
                <w:szCs w:val="24"/>
                <w:color w:val="auto"/>
              </w:rPr>
            </w:pPr>
          </w:p>
        </w:tc>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borrowings under the various debt facilities as of September 30, 2022 and December 31, 2021:</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6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term loan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73,869</w:t>
            </w:r>
          </w:p>
        </w:tc>
        <w:tc>
          <w:tcPr>
            <w:tcW w:w="120" w:type="dxa"/>
            <w:vAlign w:val="bottom"/>
            <w:gridSpan w:val="2"/>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(724)</w:t>
            </w: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(70,179)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(73,145)</w:t>
            </w:r>
          </w:p>
        </w:tc>
      </w:tr>
      <w:tr>
        <w:trPr>
          <w:trHeight w:val="176"/>
        </w:trPr>
        <w:tc>
          <w:tcPr>
            <w:tcW w:w="8680" w:type="dxa"/>
            <w:vAlign w:val="bottom"/>
            <w:tcBorders>
              <w:top w:val="single" w:sz="8" w:color="CCEEFF"/>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Senior Secured Credit Facility, term loan, net of debt issuance costs</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(7,500)</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OPAL Term Loan</w:t>
            </w:r>
          </w:p>
        </w:tc>
        <w:tc>
          <w:tcPr>
            <w:tcW w:w="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91,223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75,000</w:t>
            </w:r>
          </w:p>
        </w:tc>
        <w:tc>
          <w:tcPr>
            <w:tcW w:w="120" w:type="dxa"/>
            <w:vAlign w:val="bottom"/>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(1,975)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(2,485)</w:t>
            </w: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(28,432)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(13,425)</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OPAL Term Loan, net of debt issuance costs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59,090</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Sunoma Loan</w:t>
            </w:r>
          </w:p>
        </w:tc>
        <w:tc>
          <w:tcPr>
            <w:tcW w:w="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23,000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17,524</w:t>
            </w:r>
          </w:p>
        </w:tc>
        <w:tc>
          <w:tcPr>
            <w:tcW w:w="120" w:type="dxa"/>
            <w:vAlign w:val="bottom"/>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(920)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(569)</w:t>
            </w: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(756)</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Sunoma Loan, net of debt issuance costs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3"/>
        </w:trPr>
        <w:tc>
          <w:tcPr>
            <w:tcW w:w="86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Convertible Note Payable</w:t>
            </w:r>
          </w:p>
        </w:tc>
        <w:tc>
          <w:tcPr>
            <w:tcW w:w="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27,964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58,710</w:t>
            </w:r>
          </w:p>
        </w:tc>
        <w:tc>
          <w:tcPr>
            <w:tcW w:w="120" w:type="dxa"/>
            <w:vAlign w:val="bottom"/>
            <w:gridSpan w:val="2"/>
          </w:tcPr>
          <w:p>
            <w:pPr>
              <w:spacing w:after="0"/>
              <w:rPr>
                <w:sz w:val="15"/>
                <w:szCs w:val="15"/>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(27,964)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6"/>
        </w:trPr>
        <w:tc>
          <w:tcPr>
            <w:tcW w:w="8680" w:type="dxa"/>
            <w:vAlign w:val="bottom"/>
            <w:tcBorders>
              <w:top w:val="single" w:sz="8" w:color="CCEEFF"/>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Convertible Note Payable</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58,710</w:t>
            </w:r>
          </w:p>
        </w:tc>
        <w:tc>
          <w:tcPr>
            <w:tcW w:w="120" w:type="dxa"/>
            <w:vAlign w:val="bottom"/>
            <w:tcBorders>
              <w:top w:val="single" w:sz="8" w:color="CCEEFF"/>
              <w:bottom w:val="single" w:sz="8" w:color="CCEEFF"/>
            </w:tcBorders>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Municipality Loan</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0"/>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Non-current borrowings total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82,896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134,083</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As of September 30, 2022, principal maturities of debt are expected as follows, excluding any subsequent refinancing transactions and any undrawn debt facilities as of the date of the condensed consolidated balance sheets:</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Senior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Secured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Credit</w:t>
            </w: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6"/>
                <w:szCs w:val="16"/>
                <w:b w:val="1"/>
                <w:bCs w:val="1"/>
                <w:color w:val="auto"/>
                <w:w w:val="94"/>
              </w:rPr>
              <w:t>OPAL Term</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360"/>
              <w:spacing w:after="0" w:line="161" w:lineRule="exact"/>
              <w:rPr>
                <w:sz w:val="20"/>
                <w:szCs w:val="20"/>
                <w:color w:val="auto"/>
              </w:rPr>
            </w:pPr>
            <w:r>
              <w:rPr>
                <w:rFonts w:ascii="Times New Roman" w:cs="Times New Roman" w:eastAsia="Times New Roman" w:hAnsi="Times New Roman"/>
                <w:sz w:val="16"/>
                <w:szCs w:val="16"/>
                <w:b w:val="1"/>
                <w:bCs w:val="1"/>
                <w:color w:val="auto"/>
                <w:w w:val="97"/>
              </w:rPr>
              <w:t>Municipality</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Facility</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Sunoma Loan</w:t>
            </w:r>
          </w:p>
        </w:tc>
        <w:tc>
          <w:tcPr>
            <w:tcW w:w="120" w:type="dxa"/>
            <w:vAlign w:val="bottom"/>
          </w:tcPr>
          <w:p>
            <w:pPr>
              <w:spacing w:after="0"/>
              <w:rPr>
                <w:sz w:val="20"/>
                <w:szCs w:val="20"/>
                <w:color w:val="auto"/>
              </w:rPr>
            </w:pPr>
          </w:p>
        </w:tc>
        <w:tc>
          <w:tcPr>
            <w:tcW w:w="12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6"/>
                <w:szCs w:val="16"/>
                <w:b w:val="1"/>
                <w:bCs w:val="1"/>
                <w:color w:val="auto"/>
              </w:rPr>
              <w:t xml:space="preserve">Note Payable </w:t>
            </w:r>
            <w:r>
              <w:rPr>
                <w:rFonts w:ascii="Times New Roman" w:cs="Times New Roman" w:eastAsia="Times New Roman" w:hAnsi="Times New Roman"/>
                <w:sz w:val="26"/>
                <w:szCs w:val="26"/>
                <w:b w:val="1"/>
                <w:bCs w:val="1"/>
                <w:color w:val="auto"/>
                <w:vertAlign w:val="superscript"/>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2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ending December 31, 2022</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77,679</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27,732</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28,751</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27,732</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31,544</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28,126</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31,938</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10,622</w:t>
            </w:r>
          </w:p>
        </w:tc>
        <w:tc>
          <w:tcPr>
            <w:tcW w:w="0" w:type="dxa"/>
            <w:vAlign w:val="bottom"/>
          </w:tcPr>
          <w:p>
            <w:pPr>
              <w:spacing w:after="0"/>
              <w:rPr>
                <w:sz w:val="1"/>
                <w:szCs w:val="1"/>
                <w:color w:val="auto"/>
              </w:rPr>
            </w:pPr>
          </w:p>
        </w:tc>
      </w:tr>
      <w:tr>
        <w:trPr>
          <w:trHeight w:val="24"/>
        </w:trPr>
        <w:tc>
          <w:tcPr>
            <w:tcW w:w="2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77,679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91,223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23,000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85" w:right="4680" w:hanging="5485"/>
        <w:spacing w:after="0" w:line="603" w:lineRule="auto"/>
        <w:tabs>
          <w:tab w:leader="none" w:pos="288"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Convertible Note Payable is redeemable on demand at the option of the Company or the lender. 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14946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color w:val="auto"/>
        </w:rPr>
        <w:t>Senior Secured Credit Facility</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September 30, 2022 and December 31, 2021, $70,179 and $73,869, respectively, was outstanding under the Senior Secured Credit Facility- term loan.</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September 30, 2022 and December 31, 2021, the total amount outstanding under the Working Capital Facility was $7,500. Additionally, the Company pays commitment fee of 0.75% on the unused portion of the facility.</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6"/>
          <w:szCs w:val="16"/>
          <w:b w:val="1"/>
          <w:bCs w:val="1"/>
          <w:color w:val="auto"/>
        </w:rPr>
        <w: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At September 30, 2022 and December 31, 2021, FM3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LFG rights agreements.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nine months ended September 30, 2022, FM3 was in compliance with all debt covenants.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Patronage dividends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is eligible to receive annual patronage dividends from one of its lenders, Cobank ACB under a profit sharing program made available to the borrowers. For the nine months ended September 30, 2022 and 2021, the Company received cash dividends of $126 and $139, respectively, which were recorded as credits to interest expense in its condensed consolidated statements of operations. Additionally, the Company recorded $489 as a long-term asset on its condensed consolidated balance sheets at September 30, 2022 and December 31, 2021, which represents the Company’s equity interest in Cobank SCB which will be redeemed for cash beginning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Term Loan</w:t>
      </w:r>
    </w:p>
    <w:p>
      <w:pPr>
        <w:spacing w:after="0" w:line="196"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76" w:name="page177"/>
    <w:bookmarkEnd w:id="176"/>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Pursuant to the OPAL Term Loan, the Company borrowed $75,000 in October 2021 and an another $15,000 in February 2022 pursuant to an amendment allowing the Company to drawdown later than the original commitment date.</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During the third quarter of 2022, one of the RNG projects went operational and the Company borrowed $12,500 under the OPAL Term Loan. In October 2022, the Company borrowed an additional $12,500 with an additional commitment of $10,000 remaining under this debt facility.</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OPAL Term Loan contains customary warranties and representations and certain financial covenants which require OPAL Intermediate Holdco to maintain (i) minimum liquidity of $15,000 until March 31, 2022 and $10,000 thereafter and (ii) a leverage ratio not to exceed 4:1. As of September 30, 2022, the Company is in compliance with the financial covenants under the OPAL Term Loan. Additionally, the OPAL Term Loan contains restrictions on distributions and additional indebtedness.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Sunoma Loan</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borrowings under the Sunoma Loan Agreement bear interest at a rate of 7.68% and have a maturity date of July 19, 2033. The Company is required to pay a quarterly amortization of principal of $954 beginning in October 2023. The Company paid $3,482 into interest and debt reserve accounts. This cash is recorded as Restricted cash under long term assets in the Condensed Consolidated Balance Sheet as of September 30, 2022.</w:t>
      </w:r>
    </w:p>
    <w:p>
      <w:pPr>
        <w:spacing w:after="0" w:line="154"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6"/>
          <w:szCs w:val="16"/>
          <w:color w:val="auto"/>
        </w:rPr>
        <w:t xml:space="preserve">The significant assets of Sunoma are parenthesized in the condensed consolidated balance sheets as September 30, 2022 and December 31, 2021. See Note 13. </w:t>
      </w:r>
      <w:r>
        <w:rPr>
          <w:rFonts w:ascii="Times New Roman" w:cs="Times New Roman" w:eastAsia="Times New Roman" w:hAnsi="Times New Roman"/>
          <w:sz w:val="16"/>
          <w:szCs w:val="16"/>
          <w:i w:val="1"/>
          <w:iCs w:val="1"/>
          <w:color w:val="auto"/>
        </w:rPr>
        <w:t>Variable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Interest Entities </w:t>
      </w:r>
      <w:r>
        <w:rPr>
          <w:rFonts w:ascii="Times New Roman" w:cs="Times New Roman" w:eastAsia="Times New Roman" w:hAnsi="Times New Roman"/>
          <w:sz w:val="16"/>
          <w:szCs w:val="16"/>
          <w:color w:val="auto"/>
        </w:rPr>
        <w:t>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Convertible Note Payable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spacing w:after="0" w:line="156"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5"/>
          <w:szCs w:val="15"/>
          <w:color w:val="auto"/>
        </w:rPr>
        <w:t>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77" w:name="page178"/>
    <w:bookmarkEnd w:id="177"/>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The Company elected to account for the Convertible Note using the fair value option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on May 1, 2021, which was determined to be $55,410. The fair value was subsequently remeasured on each reporting date and the change in fair value recorded as interest expense in the condensed consolidated statement of operations for each reporting period. At September 30, 2022, the Convertible Note was classified as a current liability in the condensed consolidated balance sheet at a fair value of 27,964 as it is redeemable on demand by the Company or Ares. At December 31,2021, the Convertible Note was classified as a non-current liability in the condensed consolidated balance sheet at a fair value of $58,710.</w:t>
      </w:r>
    </w:p>
    <w:p>
      <w:pPr>
        <w:spacing w:after="0" w:line="163"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recorded $(2,261) and $(151) as change in fair value of Convertible Note for the three and nine months ended September 30, 2022, respectively as interest and financing expense, net. Upon completion of the Business Combination, the Convertible Note no longer provided for the 10% prepayment penalty. Therefore, the change in fair value for the three months ended September 30, 2022 was ($2,906). The Company recorded $1,362 and $2,250 as payment-in-kind interest expense in the condensed consolidated statement of operations for the three and nine months ended September 30,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Municipality loan</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September 30, 2022 and December 31, 2021, $121 and $278, respectively, were outstanding on the loan.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Term Loan II</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$1,322 as third party fees. The transaction costs have been recorded as Deferred financing costs on the condensed consolidated balance sheet as of September 30, 2022.</w:t>
      </w:r>
    </w:p>
    <w:p>
      <w:pPr>
        <w:spacing w:after="0" w:line="16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 September 30, 2022, there was no principal amount outstanding under the OPAL Term Loan II.</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TruStar revolver credit facility</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7" w:right="319" w:bottom="1440" w:gutter="0" w:footer="0" w:header="0"/>
        </w:sectPr>
      </w:pPr>
    </w:p>
    <w:bookmarkStart w:id="178" w:name="page179"/>
    <w:bookmarkEnd w:id="178"/>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Interest rates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2022</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2022, the weighted average effective interest rate including amortization of debt issuance costs on Senior Secured Credit Facility was 6.8% and 5.40% including a margin plus LIBOR.</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2022, the weighted average effective interest rate including amortization of debt issuance costs on OPAL Term Loan was 6.4% and 5.20%.</w:t>
      </w:r>
    </w:p>
    <w:p>
      <w:pPr>
        <w:spacing w:after="0" w:line="14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2022, the interest rate on Sunoma Loan was 7.81% and 9.00%.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2022, the payment-in-kind interest rate on Convertible Note Payable was 8.00%.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2022, the weighted average interest rate on Municipality loan was 3.00%.</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2021</w:t>
      </w:r>
    </w:p>
    <w:p>
      <w:pPr>
        <w:spacing w:after="0" w:line="184"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2021, the interest rate on Senior Secured Credit Facility ranged between 3.14% and 3.26% including a margin plus LIBOR and commitment fees of 0.75% on unused portion of the Working capital facility.</w:t>
      </w:r>
    </w:p>
    <w:p>
      <w:pPr>
        <w:spacing w:after="0" w:line="13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nine months ended September 30, 2021, the interest rate on TruStar revolver credit facility was 1.52%.</w:t>
      </w:r>
    </w:p>
    <w:p>
      <w:pPr>
        <w:spacing w:after="0" w:line="182"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2021, the payment-in-kind interest rate on Convertible Note Payable was 8.0%. The change in fair value of the Note recorded as interest expense between May 1, 2021 and September 30, 2021 was $2,250.</w:t>
      </w:r>
    </w:p>
    <w:p>
      <w:pPr>
        <w:spacing w:after="0" w:line="13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2021, the weighted average interest rate on Municipality loan was 3.0%.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Company’s total interest expense for the three and nine months ended September 30, 2022 and 2021:</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20" w:type="dxa"/>
            <w:vAlign w:val="bottom"/>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7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TruStar revolver credit facility</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 xml:space="preserve">Convertible Note Payable mark-to-market </w:t>
            </w:r>
            <w:r>
              <w:rPr>
                <w:rFonts w:ascii="Times New Roman" w:cs="Times New Roman" w:eastAsia="Times New Roman" w:hAnsi="Times New Roman"/>
                <w:sz w:val="26"/>
                <w:szCs w:val="26"/>
                <w:color w:val="auto"/>
                <w:vertAlign w:val="superscript"/>
              </w:rPr>
              <w:t>(1)</w:t>
            </w:r>
          </w:p>
        </w:tc>
        <w:tc>
          <w:tcPr>
            <w:tcW w:w="7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4"/>
              </w:rPr>
              <w:t>(2,261)</w:t>
            </w:r>
          </w:p>
        </w:tc>
        <w:tc>
          <w:tcPr>
            <w:tcW w:w="7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1,362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Sunoma Loan</w:t>
            </w:r>
            <w:r>
              <w:rPr>
                <w:rFonts w:ascii="Times New Roman" w:cs="Times New Roman" w:eastAsia="Times New Roman" w:hAnsi="Times New Roman"/>
                <w:sz w:val="26"/>
                <w:szCs w:val="26"/>
                <w:color w:val="auto"/>
                <w:vertAlign w:val="superscript"/>
              </w:rPr>
              <w:t>(2)</w:t>
            </w: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424</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1,335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OPAL Term Loan</w:t>
            </w:r>
          </w:p>
        </w:tc>
        <w:tc>
          <w:tcPr>
            <w:tcW w:w="7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1,107</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2,850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 fees and other finance fees</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401</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605</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financing cost</w:t>
            </w:r>
          </w:p>
        </w:tc>
        <w:tc>
          <w:tcPr>
            <w:tcW w:w="7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616</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on loan receivable</w:t>
            </w: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(612)</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(1,512)</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vMerge w:val="continue"/>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776</w:t>
            </w:r>
          </w:p>
        </w:tc>
        <w:tc>
          <w:tcPr>
            <w:tcW w:w="76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2,354</w:t>
            </w: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7,184</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285" w:right="20" w:hanging="285"/>
        <w:spacing w:after="0" w:line="210" w:lineRule="auto"/>
        <w:tabs>
          <w:tab w:leader="none" w:pos="285"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mark-to-market on the Convertible Note Payable is negative for the three and nine months ended September 30, 2022 as the prepayment penalty is no longer applicable upon completion of the Business Combination. The change in fair value of the Convertible Note Payable recorded for the three months ended September 30, 2022 was $2,906.</w:t>
      </w:r>
    </w:p>
    <w:p>
      <w:pPr>
        <w:spacing w:after="0" w:line="160" w:lineRule="exact"/>
        <w:rPr>
          <w:rFonts w:ascii="Times New Roman" w:cs="Times New Roman" w:eastAsia="Times New Roman" w:hAnsi="Times New Roman"/>
          <w:sz w:val="26"/>
          <w:szCs w:val="26"/>
          <w:color w:val="auto"/>
          <w:vertAlign w:val="superscript"/>
        </w:rPr>
      </w:pPr>
    </w:p>
    <w:p>
      <w:pPr>
        <w:ind w:left="285" w:hanging="285"/>
        <w:spacing w:after="0" w:line="196" w:lineRule="auto"/>
        <w:tabs>
          <w:tab w:leader="none" w:pos="285"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interest on Sunoma Loan was capitalized during the construction phase of the RNG facility. Sunoma became operational in December 2021. Therefore, the interest for the three and nine months ended September 30, 2022 has been expensed.</w:t>
      </w:r>
    </w:p>
    <w:p>
      <w:pPr>
        <w:spacing w:after="0" w:line="3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4"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Future minimum lease payments are as follows:</w:t>
            </w:r>
          </w:p>
        </w:tc>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8"/>
        </w:trPr>
        <w:tc>
          <w:tcPr>
            <w:tcW w:w="66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ending December 31, 2022</w:t>
            </w:r>
          </w:p>
        </w:tc>
        <w:tc>
          <w:tcPr>
            <w:tcW w:w="37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987</w:t>
            </w: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937</w:t>
            </w: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852</w:t>
            </w:r>
          </w:p>
        </w:tc>
      </w:tr>
      <w:tr>
        <w:trPr>
          <w:trHeight w:val="201"/>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r>
      <w:tr>
        <w:trPr>
          <w:trHeight w:val="24"/>
        </w:trPr>
        <w:tc>
          <w:tcPr>
            <w:tcW w:w="666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incurred rent expense of $359 and $1,050 for the three and nine months ended September 30, 2022, respectively. The Company incurred rent expense of $201 and $604 for the three and nine months ended September 30, 2021,respectively.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Derivative Financial Instruments and Fair Value Measurements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swaps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condensed consolidated statements of operations. The swaps expired in September 2022 as the facility is scheduled to be repaid in December 2022.</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Company accounted for the swaption as an economic hedge and included the change in the fair market value in the condensed consolidated statement of operations.</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records the fair value of the interest rate swap as an asset or liability on its balance sheet. The effective portion of the swap is recorded in Accumulated other comprehensive income. No portion of the cash flow hedges were ineffective during the three and nine months ended September 30, 2022.</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80" w:name="page181"/>
    <w:bookmarkEnd w:id="180"/>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interest rate swaps in place as of September 30, 2022 and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Interest rate swap detail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Notional Amount</w:t>
            </w:r>
          </w:p>
        </w:tc>
      </w:tr>
      <w:tr>
        <w:trPr>
          <w:trHeight w:val="170"/>
        </w:trPr>
        <w:tc>
          <w:tcPr>
            <w:tcW w:w="1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ind w:left="140"/>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21"/>
              <w:spacing w:after="0" w:line="171"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4"/>
                <w:szCs w:val="14"/>
                <w:color w:val="auto"/>
              </w:rPr>
            </w:pPr>
          </w:p>
        </w:tc>
      </w:tr>
      <w:tr>
        <w:trPr>
          <w:trHeight w:val="211"/>
        </w:trPr>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Start date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End date</w:t>
            </w:r>
          </w:p>
        </w:tc>
        <w:tc>
          <w:tcPr>
            <w:tcW w:w="220" w:type="dxa"/>
            <w:vAlign w:val="bottom"/>
          </w:tcPr>
          <w:p>
            <w:pPr>
              <w:spacing w:after="0"/>
              <w:rPr>
                <w:sz w:val="18"/>
                <w:szCs w:val="18"/>
                <w:color w:val="auto"/>
              </w:rPr>
            </w:pPr>
          </w:p>
        </w:tc>
        <w:tc>
          <w:tcPr>
            <w:tcW w:w="1460" w:type="dxa"/>
            <w:vAlign w:val="bottom"/>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189"/>
        </w:trPr>
        <w:tc>
          <w:tcPr>
            <w:tcW w:w="1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15, 2022</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2.47%</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June 28, 2024</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August 4, 2027</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41,284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15, 2022</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2.47%</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June 28, 2024</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August 4, 2027</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location and amounts of derivatives fair values in the condensed consolidated balance sheets 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4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Location of Fair Value Recognized in Balance Sheet</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swaption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interest swaps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(992)</w:t>
            </w:r>
          </w:p>
        </w:tc>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the interest rate swaps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0" w:type="dxa"/>
            <w:vAlign w:val="bottom"/>
          </w:tcPr>
          <w:p>
            <w:pPr>
              <w:spacing w:after="0"/>
              <w:rPr>
                <w:sz w:val="1"/>
                <w:szCs w:val="1"/>
                <w:color w:val="auto"/>
              </w:rPr>
            </w:pPr>
          </w:p>
        </w:tc>
      </w:tr>
      <w:tr>
        <w:trPr>
          <w:trHeight w:val="24"/>
        </w:trPr>
        <w:tc>
          <w:tcPr>
            <w:tcW w:w="35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220" w:type="dxa"/>
            <w:vAlign w:val="bottom"/>
            <w:vMerge w:val="continue"/>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effect of derivative instruments on the condensed consolidated statement of operations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100" w:type="dxa"/>
            <w:vAlign w:val="bottom"/>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(Loss) Gain Recognized in</w:t>
            </w:r>
          </w:p>
        </w:tc>
      </w:tr>
      <w:tr>
        <w:trPr>
          <w:trHeight w:val="223"/>
        </w:trPr>
        <w:tc>
          <w:tcPr>
            <w:tcW w:w="30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Operations from</w:t>
            </w:r>
          </w:p>
        </w:tc>
      </w:tr>
      <w:tr>
        <w:trPr>
          <w:trHeight w:val="204"/>
        </w:trPr>
        <w:tc>
          <w:tcPr>
            <w:tcW w:w="3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r>
      <w:tr>
        <w:trPr>
          <w:trHeight w:val="18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1,269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Swaption</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246</w:t>
            </w:r>
          </w:p>
        </w:tc>
        <w:tc>
          <w:tcPr>
            <w:tcW w:w="74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periodic settlements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(1,631)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(2,149)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(677)</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(1,279)</w:t>
            </w:r>
          </w:p>
        </w:tc>
        <w:tc>
          <w:tcPr>
            <w:tcW w:w="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r>
      <w:tr>
        <w:trPr>
          <w:trHeight w:val="172"/>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6"/>
                <w:szCs w:val="16"/>
                <w:color w:val="auto"/>
              </w:rPr>
              <w:t>Change in fair value of derivative</w:t>
            </w:r>
          </w:p>
        </w:tc>
      </w:tr>
      <w:tr>
        <w:trPr>
          <w:trHeight w:val="206"/>
        </w:trPr>
        <w:tc>
          <w:tcPr>
            <w:tcW w:w="3040" w:type="dxa"/>
            <w:vAlign w:val="bottom"/>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195</w:t>
            </w:r>
          </w:p>
        </w:tc>
        <w:tc>
          <w:tcPr>
            <w:tcW w:w="82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w:t>
            </w: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2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instruments, net</w:t>
            </w:r>
          </w:p>
        </w:tc>
      </w:tr>
    </w:tbl>
    <w:p>
      <w:pPr>
        <w:spacing w:after="0" w:line="172"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5"/>
          <w:szCs w:val="15"/>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4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81" w:name="page182"/>
    <w:bookmarkEnd w:id="181"/>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fair value of derivative instruments on the Company’s condensed consolidated balance sheets and the effect of netting arrangements and collateral on its financial position: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Net Amounts of</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of 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 the</w:t>
            </w:r>
          </w:p>
        </w:tc>
        <w:tc>
          <w:tcPr>
            <w:tcW w:w="0" w:type="dxa"/>
            <w:vAlign w:val="bottom"/>
          </w:tcPr>
          <w:p>
            <w:pPr>
              <w:spacing w:after="0"/>
              <w:rPr>
                <w:sz w:val="1"/>
                <w:szCs w:val="1"/>
                <w:color w:val="auto"/>
              </w:rPr>
            </w:pPr>
          </w:p>
        </w:tc>
      </w:tr>
      <w:tr>
        <w:trPr>
          <w:trHeight w:val="211"/>
        </w:trPr>
        <w:tc>
          <w:tcPr>
            <w:tcW w:w="71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 asset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01"/>
        </w:trPr>
        <w:tc>
          <w:tcPr>
            <w:tcW w:w="7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Swaption asset</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4"/>
        </w:trPr>
        <w:tc>
          <w:tcPr>
            <w:tcW w:w="7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 liability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collateral balances with counterparties outstanding as of the period-end 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Commodity swap contracts</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168"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64" w:lineRule="exact"/>
        <w:rPr>
          <w:sz w:val="20"/>
          <w:szCs w:val="20"/>
          <w:color w:val="auto"/>
        </w:rPr>
      </w:pPr>
    </w:p>
    <w:p>
      <w:pPr>
        <w:ind w:right="30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commodity swaps in place as of September 30, 2022 and December 31, 2021. There were no new commodity swap contracts entered during the nine months ended September 30,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9"/>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Quantity per</w:t>
            </w:r>
          </w:p>
        </w:tc>
        <w:tc>
          <w:tcPr>
            <w:tcW w:w="10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Contract Price</w:t>
            </w:r>
          </w:p>
        </w:tc>
      </w:tr>
      <w:tr>
        <w:trPr>
          <w:trHeight w:val="211"/>
        </w:trPr>
        <w:tc>
          <w:tcPr>
            <w:tcW w:w="294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28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Period To</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Year (“MWh”)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 MWh)</w:t>
            </w:r>
          </w:p>
        </w:tc>
      </w:tr>
      <w:tr>
        <w:trPr>
          <w:trHeight w:val="189"/>
        </w:trPr>
        <w:tc>
          <w:tcPr>
            <w:tcW w:w="2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14, 2018</w:t>
            </w: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ind w:left="481"/>
              <w:spacing w:after="0"/>
              <w:rPr>
                <w:sz w:val="20"/>
                <w:szCs w:val="20"/>
                <w:color w:val="auto"/>
              </w:rPr>
            </w:pPr>
            <w:r>
              <w:rPr>
                <w:rFonts w:ascii="Times New Roman" w:cs="Times New Roman" w:eastAsia="Times New Roman" w:hAnsi="Times New Roman"/>
                <w:sz w:val="16"/>
                <w:szCs w:val="16"/>
                <w:color w:val="auto"/>
                <w:w w:val="98"/>
              </w:rPr>
              <w:t>January 1, 2019</w:t>
            </w: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September 30, 2022</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8"/>
              </w:rPr>
              <w:t>66.12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October 28, 2021</w:t>
            </w:r>
          </w:p>
        </w:tc>
        <w:tc>
          <w:tcPr>
            <w:tcW w:w="228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w w:val="98"/>
              </w:rPr>
              <w:t>November 1, 2021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December 31, 2022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48.75</w:t>
            </w:r>
          </w:p>
        </w:tc>
      </w:tr>
      <w:tr>
        <w:trPr>
          <w:trHeight w:val="189"/>
        </w:trPr>
        <w:tc>
          <w:tcPr>
            <w:tcW w:w="2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27, 2021</w:t>
            </w:r>
          </w:p>
        </w:tc>
        <w:tc>
          <w:tcPr>
            <w:tcW w:w="2280" w:type="dxa"/>
            <w:vAlign w:val="bottom"/>
            <w:shd w:val="clear" w:color="auto" w:fill="CCEEFF"/>
          </w:tcPr>
          <w:p>
            <w:pPr>
              <w:jc w:val="center"/>
              <w:ind w:left="481"/>
              <w:spacing w:after="0"/>
              <w:rPr>
                <w:sz w:val="20"/>
                <w:szCs w:val="20"/>
                <w:color w:val="auto"/>
              </w:rPr>
            </w:pPr>
            <w:r>
              <w:rPr>
                <w:rFonts w:ascii="Times New Roman" w:cs="Times New Roman" w:eastAsia="Times New Roman" w:hAnsi="Times New Roman"/>
                <w:sz w:val="16"/>
                <w:szCs w:val="16"/>
                <w:color w:val="auto"/>
                <w:w w:val="98"/>
              </w:rPr>
              <w:t>January 1, 2022</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December 31, 2022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50.75</w:t>
            </w:r>
          </w:p>
        </w:tc>
      </w:tr>
      <w:tr>
        <w:trPr>
          <w:trHeight w:val="571"/>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6"/>
                <w:szCs w:val="16"/>
                <w:color w:val="auto"/>
              </w:rPr>
              <w:t>F-29</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8" w:right="319" w:bottom="1440" w:gutter="0" w:footer="0" w:header="0"/>
        </w:sectPr>
      </w:pPr>
    </w:p>
    <w:bookmarkStart w:id="182" w:name="page183"/>
    <w:bookmarkEnd w:id="182"/>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effect of commodity swaps on the condensed consolidated statements of operations for the three and nine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Derivatives not designated</w:t>
            </w:r>
          </w:p>
        </w:tc>
        <w:tc>
          <w:tcPr>
            <w:tcW w:w="2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Location of (loss) gain</w:t>
            </w:r>
          </w:p>
        </w:tc>
        <w:tc>
          <w:tcPr>
            <w:tcW w:w="240" w:type="dxa"/>
            <w:vAlign w:val="bottom"/>
          </w:tcPr>
          <w:p>
            <w:pPr>
              <w:spacing w:after="0"/>
              <w:rPr>
                <w:sz w:val="16"/>
                <w:szCs w:val="16"/>
                <w:color w:val="auto"/>
              </w:rPr>
            </w:pPr>
          </w:p>
        </w:tc>
        <w:tc>
          <w:tcPr>
            <w:tcW w:w="18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3500" w:type="dxa"/>
            <w:vAlign w:val="bottom"/>
            <w:gridSpan w:val="2"/>
            <w:vMerge w:val="continue"/>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as hedging instruments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recognized</w:t>
            </w:r>
          </w:p>
        </w:tc>
        <w:tc>
          <w:tcPr>
            <w:tcW w:w="24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Commodity swaps - realized loss</w:t>
            </w:r>
          </w:p>
        </w:tc>
        <w:tc>
          <w:tcPr>
            <w:tcW w:w="1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 Renewable power</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Commodity swaps - unrealized gain (loss)</w:t>
            </w: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 Renewable power</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0" w:type="dxa"/>
            <w:vAlign w:val="bottom"/>
          </w:tcPr>
          <w:p>
            <w:pPr>
              <w:spacing w:after="0"/>
              <w:rPr>
                <w:sz w:val="1"/>
                <w:szCs w:val="1"/>
                <w:color w:val="auto"/>
              </w:rPr>
            </w:pPr>
          </w:p>
        </w:tc>
      </w:tr>
      <w:tr>
        <w:trPr>
          <w:trHeight w:val="24"/>
        </w:trPr>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realized and unrealized gain (loss)</w:t>
            </w:r>
          </w:p>
        </w:tc>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 Renewable power</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3500" w:type="dxa"/>
            <w:vAlign w:val="bottom"/>
            <w:gridSpan w:val="2"/>
            <w:vMerge w:val="continue"/>
            <w:shd w:val="clear" w:color="auto" w:fill="CCEEFF"/>
          </w:tcPr>
          <w:p>
            <w:pPr>
              <w:spacing w:after="0"/>
              <w:rPr>
                <w:sz w:val="18"/>
                <w:szCs w:val="18"/>
                <w:color w:val="auto"/>
              </w:rPr>
            </w:pPr>
          </w:p>
        </w:tc>
        <w:tc>
          <w:tcPr>
            <w:tcW w:w="24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(1,223</w:t>
            </w:r>
          </w:p>
        </w:tc>
        <w:tc>
          <w:tcPr>
            <w:tcW w:w="14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40" w:type="dxa"/>
            <w:vAlign w:val="bottom"/>
            <w:vMerge w:val="continue"/>
            <w:shd w:val="clear" w:color="auto" w:fill="CCEEFF"/>
          </w:tcPr>
          <w:p>
            <w:pPr>
              <w:spacing w:after="0"/>
              <w:rPr>
                <w:sz w:val="18"/>
                <w:szCs w:val="18"/>
                <w:color w:val="auto"/>
              </w:rPr>
            </w:pPr>
          </w:p>
        </w:tc>
        <w:tc>
          <w:tcPr>
            <w:tcW w:w="4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derivative assets and liabilities related to commodity swaps as of September 30, 2022 and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gridSpan w:val="6"/>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Fair value</w:t>
            </w:r>
          </w:p>
        </w:tc>
      </w:tr>
      <w:tr>
        <w:trPr>
          <w:trHeight w:val="170"/>
        </w:trPr>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240"/>
              <w:spacing w:after="0" w:line="171"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1"/>
              <w:spacing w:after="0" w:line="171"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211"/>
        </w:trPr>
        <w:tc>
          <w:tcPr>
            <w:tcW w:w="3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recognized in Balance Sheet</w:t>
            </w:r>
          </w:p>
        </w:tc>
      </w:tr>
      <w:tr>
        <w:trPr>
          <w:trHeight w:val="189"/>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8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unrealized gain on commodity swaps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w:t>
            </w: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Derivative financial asset, current portion</w:t>
            </w:r>
          </w:p>
        </w:tc>
      </w:tr>
      <w:tr>
        <w:trPr>
          <w:trHeight w:val="20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unrealized loss on commodity swaps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derivative liabilities</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 The change in fair value on these derivative instruments in recorded as change in fair value of derivative instruments, net in the condensed consolidated statement of operations for the three and nine months ended September 30, 2022.</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effect of change in fair value of other derivative liabilities on the condensed consolidated statements of operations for the three and nine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Location of (Loss) Gain</w:t>
            </w:r>
          </w:p>
        </w:tc>
      </w:tr>
      <w:tr>
        <w:trPr>
          <w:trHeight w:val="223"/>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Derivative liability</w:t>
            </w:r>
          </w:p>
        </w:tc>
        <w:tc>
          <w:tcPr>
            <w:tcW w:w="720" w:type="dxa"/>
            <w:vAlign w:val="bottom"/>
          </w:tcPr>
          <w:p>
            <w:pPr>
              <w:spacing w:after="0"/>
              <w:rPr>
                <w:sz w:val="19"/>
                <w:szCs w:val="19"/>
                <w:color w:val="auto"/>
              </w:rPr>
            </w:pPr>
          </w:p>
        </w:tc>
        <w:tc>
          <w:tcPr>
            <w:tcW w:w="150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Recognized in Operations from</w:t>
            </w:r>
          </w:p>
        </w:tc>
      </w:tr>
      <w:tr>
        <w:trPr>
          <w:trHeight w:val="204"/>
        </w:trPr>
        <w:tc>
          <w:tcPr>
            <w:tcW w:w="2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r>
      <w:tr>
        <w:trPr>
          <w:trHeight w:val="18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Put option to Meteora</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384</w:t>
            </w:r>
          </w:p>
        </w:tc>
        <w:tc>
          <w:tcPr>
            <w:tcW w:w="9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384</w:t>
            </w:r>
          </w:p>
        </w:tc>
        <w:tc>
          <w:tcPr>
            <w:tcW w:w="8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3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Sponsor Earnout Awards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1,100</w:t>
            </w:r>
          </w:p>
        </w:tc>
        <w:tc>
          <w:tcPr>
            <w:tcW w:w="840" w:type="dxa"/>
            <w:vAlign w:val="bottom"/>
          </w:tcPr>
          <w:p>
            <w:pPr>
              <w:spacing w:after="0"/>
              <w:rPr>
                <w:sz w:val="16"/>
                <w:szCs w:val="16"/>
                <w:color w:val="auto"/>
              </w:rPr>
            </w:pPr>
          </w:p>
        </w:tc>
        <w:tc>
          <w:tcPr>
            <w:tcW w:w="33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Earnout Awards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5,300</w:t>
            </w:r>
          </w:p>
        </w:tc>
        <w:tc>
          <w:tcPr>
            <w:tcW w:w="84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72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4"/>
              </w:rPr>
              <w:t>(3,578)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(3,578)</w:t>
            </w:r>
          </w:p>
        </w:tc>
        <w:tc>
          <w:tcPr>
            <w:tcW w:w="840" w:type="dxa"/>
            <w:vAlign w:val="bottom"/>
          </w:tcPr>
          <w:p>
            <w:pPr>
              <w:spacing w:after="0"/>
              <w:rPr>
                <w:sz w:val="16"/>
                <w:szCs w:val="16"/>
                <w:color w:val="auto"/>
              </w:rPr>
            </w:pPr>
          </w:p>
        </w:tc>
        <w:tc>
          <w:tcPr>
            <w:tcW w:w="33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(5,309)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(5,309)</w:t>
            </w:r>
          </w:p>
        </w:tc>
        <w:tc>
          <w:tcPr>
            <w:tcW w:w="84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44"/>
        </w:trPr>
        <w:tc>
          <w:tcPr>
            <w:tcW w:w="2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40" w:type="dxa"/>
            <w:vAlign w:val="bottom"/>
            <w:tcBorders>
              <w:top w:val="single" w:sz="8" w:color="CCEEFF"/>
            </w:tcBorders>
            <w:gridSpan w:val="2"/>
          </w:tcPr>
          <w:p>
            <w:pPr>
              <w:ind w:left="220"/>
              <w:spacing w:after="0" w:line="145" w:lineRule="exact"/>
              <w:rPr>
                <w:sz w:val="20"/>
                <w:szCs w:val="20"/>
                <w:color w:val="auto"/>
              </w:rPr>
            </w:pPr>
            <w:r>
              <w:rPr>
                <w:rFonts w:ascii="Times New Roman" w:cs="Times New Roman" w:eastAsia="Times New Roman" w:hAnsi="Times New Roman"/>
                <w:sz w:val="16"/>
                <w:szCs w:val="16"/>
                <w:color w:val="auto"/>
              </w:rPr>
              <w:t>Change in fair value of derivative</w:t>
            </w:r>
          </w:p>
        </w:tc>
      </w:tr>
      <w:tr>
        <w:trPr>
          <w:trHeight w:val="245"/>
        </w:trPr>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00"/>
              <w:spacing w:after="0" w:line="241" w:lineRule="exact"/>
              <w:rPr>
                <w:sz w:val="20"/>
                <w:szCs w:val="20"/>
                <w:color w:val="auto"/>
              </w:rPr>
            </w:pPr>
            <w:r>
              <w:rPr>
                <w:rFonts w:ascii="Times New Roman" w:cs="Times New Roman" w:eastAsia="Times New Roman" w:hAnsi="Times New Roman"/>
                <w:sz w:val="14"/>
                <w:szCs w:val="14"/>
                <w:color w:val="auto"/>
              </w:rPr>
              <w:t>(2,103</w:t>
            </w:r>
            <w:r>
              <w:rPr>
                <w:rFonts w:ascii="Times New Roman" w:cs="Times New Roman" w:eastAsia="Times New Roman" w:hAnsi="Times New Roman"/>
                <w:sz w:val="27"/>
                <w:szCs w:val="27"/>
                <w:color w:val="auto"/>
                <w:vertAlign w:val="superscript"/>
              </w:rPr>
              <w:t>)</w:t>
            </w:r>
          </w:p>
        </w:tc>
        <w:tc>
          <w:tcPr>
            <w:tcW w:w="9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line="241" w:lineRule="exact"/>
              <w:rPr>
                <w:sz w:val="20"/>
                <w:szCs w:val="20"/>
                <w:color w:val="auto"/>
              </w:rPr>
            </w:pPr>
            <w:r>
              <w:rPr>
                <w:rFonts w:ascii="Times New Roman" w:cs="Times New Roman" w:eastAsia="Times New Roman" w:hAnsi="Times New Roman"/>
                <w:sz w:val="14"/>
                <w:szCs w:val="14"/>
                <w:color w:val="auto"/>
              </w:rPr>
              <w:t>(2,103</w:t>
            </w:r>
            <w:r>
              <w:rPr>
                <w:rFonts w:ascii="Times New Roman" w:cs="Times New Roman" w:eastAsia="Times New Roman" w:hAnsi="Times New Roman"/>
                <w:sz w:val="27"/>
                <w:szCs w:val="27"/>
                <w:color w:val="auto"/>
                <w:vertAlign w:val="superscript"/>
              </w:rPr>
              <w:t>)</w:t>
            </w:r>
          </w:p>
        </w:tc>
        <w:tc>
          <w:tcPr>
            <w:tcW w:w="84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3300" w:type="dxa"/>
            <w:vAlign w:val="bottom"/>
            <w:gridSpan w:val="3"/>
          </w:tcPr>
          <w:p>
            <w:pPr>
              <w:ind w:left="120"/>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instruments, net</w:t>
            </w: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566"/>
        </w:trPr>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w w:val="92"/>
              </w:rPr>
              <w:t>F-30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8"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carrying value of the Company’s long-term debt of $82,896 and $134,083 as of September 30, 2022 and December 31, 2021, respectively, represents the total amount to be repaid if the debt has to be discharged in full and therefore approximates its fair value.</w:t>
      </w:r>
    </w:p>
    <w:p>
      <w:pPr>
        <w:spacing w:after="0" w:line="14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 xml:space="preserve">The Company follows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regarding fair value measurements which establishes a three-tier fair value hierarchy and prioritizes the inputs used in valuation techniques that measure fair value. These tiers include: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defined as observable inputs such as quoted prices for identical instruments in active markets;</w:t>
      </w:r>
    </w:p>
    <w:p>
      <w:pPr>
        <w:spacing w:after="0" w:line="194" w:lineRule="exact"/>
        <w:rPr>
          <w:sz w:val="20"/>
          <w:szCs w:val="20"/>
          <w:color w:val="auto"/>
        </w:rPr>
      </w:pPr>
    </w:p>
    <w:p>
      <w:pPr>
        <w:ind w:left="280" w:right="20"/>
        <w:spacing w:after="0" w:line="275" w:lineRule="auto"/>
        <w:rPr>
          <w:sz w:val="20"/>
          <w:szCs w:val="20"/>
          <w:color w:val="auto"/>
        </w:rPr>
      </w:pPr>
      <w:r>
        <w:rPr>
          <w:rFonts w:ascii="Times New Roman" w:cs="Times New Roman" w:eastAsia="Times New Roman" w:hAnsi="Times New Roman"/>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defined as unobservable inputs in which little or no market data exists, therefore requiring an entity to develop its own assumptions.</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84" w:name="page185"/>
    <w:bookmarkEnd w:id="184"/>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The Company’s Convertible Note Payable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based on discount rates ranging from 7.0% to 7.5%.</w:t>
      </w:r>
    </w:p>
    <w:p>
      <w:pPr>
        <w:spacing w:after="0" w:line="15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accounted for its outstanding warrants by recording its fair value of a liability on the Closing Date of the Business Combination and recording the change in the fair value at the balance sheet date in the condensed consolidated statement of operations. The Company has the option to redeem the warrants at a conversion price of $0.10 per Warrant if the share price exceeds $10 per share and is less than $18 per share. The fair value of the Public Warrants and Private Warrants was based on a 20 day volume weighted average closing price of $9.68.</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fair value of the Sponsor Earnout Awards as of September 30, 2022 was determined using a Monte Carlo valuation model with a distribution of potential outcomes on a daily basis over the five year post-close period. Assumptions used in the valuation are as follows:</w:t>
      </w:r>
    </w:p>
    <w:p>
      <w:pPr>
        <w:spacing w:after="0" w:line="145" w:lineRule="exact"/>
        <w:rPr>
          <w:sz w:val="20"/>
          <w:szCs w:val="20"/>
          <w:color w:val="auto"/>
        </w:rPr>
      </w:pPr>
    </w:p>
    <w:p>
      <w:pPr>
        <w:ind w:left="560" w:hanging="282"/>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stock price — The Company’s closing stock price of $8.28 as of September 30, 2022;</w:t>
      </w:r>
    </w:p>
    <w:p>
      <w:pPr>
        <w:spacing w:after="0" w:line="22"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volatility —65% based on historical and implied volatilities of selected industry peers deemed to be comparable to our business corresponding to the expected term of the awards;</w:t>
      </w:r>
    </w:p>
    <w:p>
      <w:pPr>
        <w:ind w:left="560" w:hanging="282"/>
        <w:spacing w:after="0" w:line="246" w:lineRule="auto"/>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4.1% based on the U.S. Treasury yield curve in effect at the time of issuance for zero-coupon U.S. Treasury notes with maturities corresponding to the expected 4.8 year term of the earnout period;</w:t>
      </w:r>
    </w:p>
    <w:p>
      <w:pPr>
        <w:ind w:left="560" w:hanging="282"/>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zero.</w:t>
      </w:r>
    </w:p>
    <w:p>
      <w:pPr>
        <w:spacing w:after="0" w:line="177"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fair value of the OPAL Earnout Awards as of September 30, 2022 was determined using a Monte Carlo valuation model with a distribution of potential outcomes for stock price and EBITDA over the 2-year period commencing on January 1, 2023 and ending on December 31, 2024. Assumptions used in the valuation are as follows:</w:t>
      </w:r>
    </w:p>
    <w:p>
      <w:pPr>
        <w:spacing w:after="0" w:line="145" w:lineRule="exact"/>
        <w:rPr>
          <w:sz w:val="20"/>
          <w:szCs w:val="20"/>
          <w:color w:val="auto"/>
        </w:rPr>
      </w:pPr>
    </w:p>
    <w:p>
      <w:pPr>
        <w:ind w:left="560" w:hanging="282"/>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stock price — The Company’s closing stock price of $8.28 as of September 30, 2022;</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cost of capital - 16% based on an average of historical volatilities of selected industry peers deemed to be comparable to our business.</w:t>
      </w:r>
    </w:p>
    <w:p>
      <w:pPr>
        <w:spacing w:after="0" w:line="5"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volatility —60% based on historical and implied volatilities of selected industry peers deemed to be comparable to our business corresponding to the expected term of the awards;</w:t>
      </w:r>
    </w:p>
    <w:p>
      <w:pPr>
        <w:ind w:left="560" w:hanging="282"/>
        <w:spacing w:after="0" w:line="246" w:lineRule="auto"/>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4.2% based on the U.S. Treasury yield curve in effect at the time of issuance for zero-coupon U.S. Treasury notes with maturities corresponding to the expected 2.2 year term of the earnout period;</w:t>
      </w:r>
    </w:p>
    <w:p>
      <w:pPr>
        <w:ind w:left="560" w:hanging="282"/>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zero.</w:t>
      </w:r>
    </w:p>
    <w:p>
      <w:pPr>
        <w:spacing w:after="0" w:line="177"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fair value of the Company’s put option with Meteora as of September 30, 2022 was determined using a Monte Carlo valuation model with a distribution of potential outcomes on a daily basis over the 6 month post-close period. Assumptions used in the valuation are as follows:</w:t>
      </w:r>
    </w:p>
    <w:p>
      <w:pPr>
        <w:spacing w:after="0" w:line="145" w:lineRule="exact"/>
        <w:rPr>
          <w:sz w:val="20"/>
          <w:szCs w:val="20"/>
          <w:color w:val="auto"/>
        </w:rPr>
      </w:pPr>
    </w:p>
    <w:p>
      <w:pPr>
        <w:ind w:left="560" w:hanging="282"/>
        <w:spacing w:after="0"/>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stock price — The Company’s closing stock price of $8.28 as of September 30, 2022;</w:t>
      </w:r>
    </w:p>
    <w:p>
      <w:pPr>
        <w:spacing w:after="0" w:line="22"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volatility —80% based on historical and implied volatilities of selected industry peers deemed to be comparable to our business corresponding to the expected term of the awards;</w:t>
      </w:r>
    </w:p>
    <w:p>
      <w:pPr>
        <w:ind w:left="560" w:hanging="282"/>
        <w:spacing w:after="0" w:line="246" w:lineRule="auto"/>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3.5% based on the U.S. Treasury yield curve in effect at the time of issuance for zero-coupon U.S. Treasury notes with maturities corresponding to the expected 0.3 year term of the Forward Purchase Agreement ;</w:t>
      </w:r>
    </w:p>
    <w:p>
      <w:pPr>
        <w:ind w:left="560" w:hanging="282"/>
        <w:spacing w:after="0"/>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zero.</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85" w:name="page186"/>
    <w:bookmarkEnd w:id="185"/>
    <w:p>
      <w:pPr>
        <w:ind w:left="280"/>
        <w:spacing w:after="0"/>
        <w:rPr>
          <w:sz w:val="20"/>
          <w:szCs w:val="20"/>
          <w:color w:val="auto"/>
        </w:rPr>
      </w:pPr>
      <w:r>
        <w:rPr>
          <w:rFonts w:ascii="Times New Roman" w:cs="Times New Roman" w:eastAsia="Times New Roman" w:hAnsi="Times New Roman"/>
          <w:sz w:val="16"/>
          <w:szCs w:val="16"/>
          <w:color w:val="auto"/>
        </w:rPr>
        <w:t>There were no transfers of assets between Level 1, Level 2, or Level 3 of the fair value hierarchy as of September 30, 2022 or December 31, 2021.</w:t>
      </w:r>
    </w:p>
    <w:p>
      <w:pPr>
        <w:spacing w:after="0" w:line="194" w:lineRule="exact"/>
        <w:rPr>
          <w:sz w:val="20"/>
          <w:szCs w:val="20"/>
          <w:color w:val="auto"/>
        </w:rPr>
      </w:pPr>
    </w:p>
    <w:p>
      <w:pPr>
        <w:ind w:right="100" w:firstLine="283"/>
        <w:spacing w:after="0" w:line="275" w:lineRule="auto"/>
        <w:rPr>
          <w:sz w:val="20"/>
          <w:szCs w:val="20"/>
          <w:color w:val="auto"/>
        </w:rPr>
      </w:pPr>
      <w:r>
        <w:rPr>
          <w:rFonts w:ascii="Times New Roman" w:cs="Times New Roman" w:eastAsia="Times New Roman" w:hAnsi="Times New Roman"/>
          <w:sz w:val="16"/>
          <w:szCs w:val="16"/>
          <w:color w:val="auto"/>
        </w:rPr>
        <w:t>The Company’s assets and liabilities that are measured at fair value on a recurring basis include the following as of September 30, 2022 and December 31, 2021, set forth by level, within the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Fair value as of September 30, 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88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5,968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5,968</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8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27,964</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Put option with Meteora</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4,216</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8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Commodity swap contracts</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warrant liabilities</w:t>
            </w:r>
          </w:p>
        </w:tc>
        <w:tc>
          <w:tcPr>
            <w:tcW w:w="8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22,410</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Earnout liabilities</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39,500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39,500</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Swaption</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r>
      <w:tr>
        <w:trPr>
          <w:trHeight w:val="206"/>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88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1,189</w:t>
            </w: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 as of December 31, 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88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 on acquisition of non-controlling interest</w:t>
            </w: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8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992</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992</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Commodity swap contracts</w:t>
            </w:r>
          </w:p>
        </w:tc>
        <w:tc>
          <w:tcPr>
            <w:tcW w:w="88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r>
    </w:tbl>
    <w:p>
      <w:pPr>
        <w:spacing w:after="0" w:line="15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 xml:space="preserve">A summary of changes in the fair values of the Company’s Level 3 instruments, attributable to asset retirement obligations, for the three and nine months ended September 30, 2022 is included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Related Parties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Related parties are represented by the Ultimate Parent and other affiliates, subsidiaries and other entities under common control with the Ultimate Parent.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contributions and distribution from and to members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During the nine months ended September 30, 2022 and 2021, the Company received contributions from its Ultimate Parent of $0 and $7,919, respectively. Additionally, the Company made distributions to its Ultimate Parent of $0 and $3,695 for the nine months ended September 30, 2022 and 2021,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 of non-controlling interests to Related Parties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$2,658 and $5,093 for the three and nine months ended September 30, 2022. Please see Note 13,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xml:space="preserve"> for additional information.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i w:val="1"/>
          <w:iCs w:val="1"/>
          <w:color w:val="auto"/>
        </w:rPr>
        <w:t>Purchase of investments from Related Parties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an income of $3034 and $2,478 as its share of net income for the three months and nine months ended September 30, 2022 and increased its investment in GREP as of September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contracts with Related Parties</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June 2020, Fuel Station Services,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condensed consolidated statements of operations for the three and nine months ended September 30, 2022. During 2021, the Company accounted for Beacon under equity method for the period between January 1, 2021 and April 30, 2021 and consolidated Beacon for the remaining part of the year. Therefore, all environmental fees earned after May 1, 2021 are eliminated in the condensed consolidated statement of operations. For the period between January 1, 2021 and April 30, 2021, the company earned environmental processing fees of $632, net of intersegment elimination.</w:t>
      </w:r>
    </w:p>
    <w:p>
      <w:pPr>
        <w:spacing w:after="0" w:line="16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March 2021, Fuel Station Services, contracted with Noble Road to dispense Noble Road’s RNG and to generate and market the resulting RINs created on behalf of Noble Road The term of this contract run from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the first quarter of 2022. For the three and nine months ended September 30, 2022, the Company earned environmental processing fees of $80 and $322, net of intersegment elimination, under this agreement which are included in Fuel Station Services revenues in the condensed consolidated statements of operations. For the three and nine months ended September 30, 2021, the Company earned $0, net of intersegment elimination under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 agreements with Related Parties</w:t>
      </w:r>
    </w:p>
    <w:p>
      <w:pPr>
        <w:spacing w:after="0" w:line="196" w:lineRule="exact"/>
        <w:rPr>
          <w:sz w:val="20"/>
          <w:szCs w:val="20"/>
          <w:color w:val="auto"/>
        </w:rPr>
      </w:pPr>
    </w:p>
    <w:p>
      <w:pPr>
        <w:jc w:val="both"/>
        <w:ind w:right="20" w:firstLine="283"/>
        <w:spacing w:after="0" w:line="272" w:lineRule="auto"/>
        <w:rPr>
          <w:sz w:val="20"/>
          <w:szCs w:val="20"/>
          <w:color w:val="auto"/>
        </w:rPr>
      </w:pPr>
      <w:r>
        <w:rPr>
          <w:rFonts w:ascii="Times New Roman" w:cs="Times New Roman" w:eastAsia="Times New Roman" w:hAnsi="Times New Roman"/>
          <w:sz w:val="15"/>
          <w:szCs w:val="15"/>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nine months ended September 30, 2022 and 2021, there have been no material services provided by the Company’s employees to Fortistar.</w:t>
      </w:r>
    </w:p>
    <w:p>
      <w:pPr>
        <w:spacing w:after="0" w:line="15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87" w:name="page188"/>
    <w:bookmarkEnd w:id="187"/>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following table summarizes the various fees recorded under the agreements described above which are included in “Selling, general, and administrative” expenses except for $1,518 incurred as transaction costs for the Business Combination recorded in additional paid-in capital and $26 recorded as Deferred financing costs as of September 30,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80" w:type="dxa"/>
            <w:vAlign w:val="bottom"/>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Staffing and management services</w:t>
            </w: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Rent - fixed compensation</w:t>
            </w:r>
          </w:p>
        </w:tc>
        <w:tc>
          <w:tcPr>
            <w:tcW w:w="74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168</w:t>
            </w:r>
          </w:p>
        </w:tc>
        <w:tc>
          <w:tcPr>
            <w:tcW w:w="82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 services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636</w:t>
            </w:r>
          </w:p>
        </w:tc>
        <w:tc>
          <w:tcPr>
            <w:tcW w:w="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vMerge w:val="continue"/>
          </w:tcPr>
          <w:p>
            <w:pPr>
              <w:spacing w:after="0"/>
              <w:rPr>
                <w:sz w:val="17"/>
                <w:szCs w:val="17"/>
                <w:color w:val="auto"/>
              </w:rPr>
            </w:pP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1,382</w:t>
            </w:r>
          </w:p>
        </w:tc>
        <w:tc>
          <w:tcPr>
            <w:tcW w:w="82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3,846</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September 30, 2022 and December 31, 2021, the Company had Accounts payable, related party in the amounts of $489 and $166,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Reportable Segments and Geographic Information</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58" w:lineRule="exact"/>
        <w:rPr>
          <w:sz w:val="20"/>
          <w:szCs w:val="20"/>
          <w:color w:val="auto"/>
        </w:rPr>
      </w:pPr>
    </w:p>
    <w:p>
      <w:pPr>
        <w:ind w:left="560" w:hanging="282"/>
        <w:spacing w:after="0" w:line="259" w:lineRule="auto"/>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w:t>
      </w:r>
      <w:r>
        <w:rPr>
          <w:rFonts w:ascii="Times New Roman" w:cs="Times New Roman" w:eastAsia="Times New Roman" w:hAnsi="Times New Roman"/>
          <w:sz w:val="16"/>
          <w:szCs w:val="16"/>
          <w:color w:val="auto"/>
        </w:rPr>
        <w:t>The RNG Fuel segment relates to all RNG supply and dispensing activities directly related to the generation and sale of brown gas and environmental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credits, and consists of</w:t>
      </w:r>
    </w:p>
    <w:p>
      <w:pPr>
        <w:ind w:left="840" w:right="60" w:hanging="278"/>
        <w:spacing w:after="0" w:line="246" w:lineRule="auto"/>
        <w:tabs>
          <w:tab w:leader="none" w:pos="84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and construction – RNG facilities in which long term gas right contracts have been, or are in the process of being ratified and the construction of RNG generation facilities.</w:t>
      </w:r>
    </w:p>
    <w:p>
      <w:pPr>
        <w:ind w:left="840" w:hanging="278"/>
        <w:spacing w:after="0"/>
        <w:tabs>
          <w:tab w:leader="none" w:pos="84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RNG supply operating facilities – This includes the generation, extraction, and sale of RNG - plus associated RINs and LCFSs from landfills.</w:t>
      </w:r>
    </w:p>
    <w:p>
      <w:pPr>
        <w:spacing w:after="0" w:line="5" w:lineRule="exact"/>
        <w:rPr>
          <w:rFonts w:ascii="Times New Roman" w:cs="Times New Roman" w:eastAsia="Times New Roman" w:hAnsi="Times New Roman"/>
          <w:sz w:val="16"/>
          <w:szCs w:val="16"/>
          <w:color w:val="auto"/>
        </w:rPr>
      </w:pPr>
    </w:p>
    <w:p>
      <w:pPr>
        <w:ind w:left="840" w:right="20" w:hanging="278"/>
        <w:spacing w:after="0" w:line="253" w:lineRule="auto"/>
        <w:tabs>
          <w:tab w:leader="none" w:pos="84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w:t>
      </w:r>
    </w:p>
    <w:p>
      <w:pPr>
        <w:spacing w:after="0" w:line="162" w:lineRule="exact"/>
        <w:rPr>
          <w:sz w:val="20"/>
          <w:szCs w:val="20"/>
          <w:color w:val="auto"/>
        </w:rPr>
      </w:pPr>
    </w:p>
    <w:p>
      <w:pPr>
        <w:jc w:val="both"/>
        <w:ind w:left="560"/>
        <w:spacing w:after="0" w:line="251" w:lineRule="auto"/>
        <w:rPr>
          <w:sz w:val="20"/>
          <w:szCs w:val="20"/>
          <w:color w:val="auto"/>
        </w:rPr>
      </w:pPr>
      <w:r>
        <w:rPr>
          <w:rFonts w:ascii="Times New Roman" w:cs="Times New Roman" w:eastAsia="Times New Roman" w:hAnsi="Times New Roman"/>
          <w:sz w:val="16"/>
          <w:szCs w:val="16"/>
          <w:color w:val="auto"/>
        </w:rPr>
        <w:t>For the three and nine months ended September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period between January 1, 2021 and September 30, 2021 were consolidated in its condensed consolidated statement of operations. As of September 30, 2022, Central Valley, Emerald, and Sapphire are not operational. Sunoma became operational in December 2021, Noble Road in January 2022, Pine Bend in September 2022 and New River in April 2022.</w:t>
      </w:r>
    </w:p>
    <w:p>
      <w:pPr>
        <w:spacing w:after="0" w:line="163" w:lineRule="exact"/>
        <w:rPr>
          <w:sz w:val="20"/>
          <w:szCs w:val="20"/>
          <w:color w:val="auto"/>
        </w:rPr>
      </w:pPr>
    </w:p>
    <w:p>
      <w:pPr>
        <w:ind w:left="560" w:hanging="282"/>
        <w:spacing w:after="0" w:line="259" w:lineRule="auto"/>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Through its Fuel Station Services segment</w:t>
      </w:r>
      <w:r>
        <w:rPr>
          <w:rFonts w:ascii="Times New Roman" w:cs="Times New Roman" w:eastAsia="Times New Roman" w:hAnsi="Times New Roman"/>
          <w:sz w:val="16"/>
          <w:szCs w:val="16"/>
          <w:b w:val="1"/>
          <w:bCs w:val="1"/>
          <w:color w:val="auto"/>
        </w:rPr>
        <w:t>, t</w:t>
      </w:r>
      <w:r>
        <w:rPr>
          <w:rFonts w:ascii="Times New Roman" w:cs="Times New Roman" w:eastAsia="Times New Roman" w:hAnsi="Times New Roman"/>
          <w:sz w:val="16"/>
          <w:szCs w:val="16"/>
          <w:color w:val="auto"/>
        </w:rPr>
        <w:t>he Company provides construction and maintenance services to third-party owners of vehicle Fueling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Stations. This segment includes:</w:t>
      </w:r>
    </w:p>
    <w:p>
      <w:pPr>
        <w:ind w:left="840" w:hanging="278"/>
        <w:spacing w:after="0"/>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and maintenance contracts for RNG/CNG fueling sites. Includes a manufacturing division that builds Compact Fueling Systems and Defueling systems.</w:t>
      </w:r>
    </w:p>
    <w:p>
      <w:pPr>
        <w:spacing w:after="0" w:line="5" w:lineRule="exact"/>
        <w:rPr>
          <w:rFonts w:ascii="Times New Roman" w:cs="Times New Roman" w:eastAsia="Times New Roman" w:hAnsi="Times New Roman"/>
          <w:sz w:val="16"/>
          <w:szCs w:val="16"/>
          <w:color w:val="auto"/>
        </w:rPr>
      </w:pPr>
    </w:p>
    <w:p>
      <w:pPr>
        <w:ind w:left="840" w:right="20" w:hanging="278"/>
        <w:spacing w:after="0" w:line="253" w:lineRule="auto"/>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Party CNG Construction of Fueling Stations - Design/build and serve as general contractor for typically Guarantee Maximum Price or fixed priced contracts for customers typically lasting less than one year.</w:t>
      </w:r>
    </w:p>
    <w:p>
      <w:pPr>
        <w:spacing w:after="0" w:line="159" w:lineRule="exact"/>
        <w:rPr>
          <w:rFonts w:ascii="Times New Roman" w:cs="Times New Roman" w:eastAsia="Times New Roman" w:hAnsi="Times New Roman"/>
          <w:sz w:val="16"/>
          <w:szCs w:val="16"/>
          <w:color w:val="auto"/>
        </w:rPr>
      </w:pPr>
    </w:p>
    <w:p>
      <w:pPr>
        <w:ind w:left="560" w:hanging="282"/>
        <w:spacing w:after="0" w:line="278" w:lineRule="auto"/>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Portfolio. </w:t>
      </w:r>
      <w:r>
        <w:rPr>
          <w:rFonts w:ascii="Times New Roman" w:cs="Times New Roman" w:eastAsia="Times New Roman" w:hAnsi="Times New Roman"/>
          <w:sz w:val="16"/>
          <w:szCs w:val="16"/>
          <w:color w:val="auto"/>
        </w:rPr>
        <w:t>The Renewable Power portfolio segment generates renewable power through methane-rich landfills and digester gas collection systems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is then sold to public utilities throughout the United States. The Renewable Power portfolio operates primarily in Southern California.</w:t>
      </w:r>
    </w:p>
    <w:p>
      <w:pPr>
        <w:spacing w:after="0" w:line="1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Corporate. </w:t>
      </w:r>
      <w:r>
        <w:rPr>
          <w:rFonts w:ascii="Times New Roman" w:cs="Times New Roman" w:eastAsia="Times New Roman" w:hAnsi="Times New Roman"/>
          <w:sz w:val="16"/>
          <w:szCs w:val="16"/>
          <w:color w:val="auto"/>
        </w:rPr>
        <w:t>This segment consists of activities managed and maintained at the Company corporate level primarily including but not limited to:</w:t>
      </w:r>
    </w:p>
    <w:p>
      <w:pPr>
        <w:spacing w:after="0" w:line="24" w:lineRule="exact"/>
        <w:rPr>
          <w:rFonts w:ascii="Times New Roman" w:cs="Times New Roman" w:eastAsia="Times New Roman" w:hAnsi="Times New Roman"/>
          <w:sz w:val="16"/>
          <w:szCs w:val="16"/>
          <w:b w:val="1"/>
          <w:bCs w:val="1"/>
          <w:color w:val="auto"/>
        </w:rPr>
      </w:pPr>
    </w:p>
    <w:p>
      <w:pPr>
        <w:ind w:left="840" w:hanging="278"/>
        <w:spacing w:after="0"/>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accounting, finance, sales activities such as: payroll, stock compensation expense, travel and other related costs.</w:t>
      </w:r>
    </w:p>
    <w:p>
      <w:pPr>
        <w:spacing w:after="0" w:line="5"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professional fees (audit, tax, legal etc.).</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88" w:name="page189"/>
    <w:bookmarkEnd w:id="188"/>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49,247</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11,351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69,335</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33,672</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38,682</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98,157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55,009</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23,763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18,383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56,448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35,560</w:t>
            </w:r>
          </w:p>
        </w:tc>
      </w:tr>
      <w:tr>
        <w:trPr>
          <w:trHeight w:val="224"/>
        </w:trPr>
        <w:tc>
          <w:tcPr>
            <w:tcW w:w="59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166</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Intersegment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(3,150)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(8,172)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(5,147)</w:t>
            </w: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(42,158)</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(47,247)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(14,181)</w:t>
            </w: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66,550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47,184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168,814</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104,968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1" w:lineRule="exact"/>
        <w:rPr>
          <w:sz w:val="20"/>
          <w:szCs w:val="20"/>
          <w:color w:val="auto"/>
        </w:rPr>
      </w:pPr>
    </w:p>
    <w:p>
      <w:pPr>
        <w:ind w:left="285" w:hanging="285"/>
        <w:spacing w:after="0"/>
        <w:tabs>
          <w:tab w:leader="none" w:pos="285"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Other includes revenues of Fortistar Contracting LLC.</w:t>
      </w:r>
    </w:p>
    <w:p>
      <w:pPr>
        <w:spacing w:after="0" w:line="116"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080" w:type="dxa"/>
            <w:vAlign w:val="bottom"/>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Renewable Power</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4"/>
              </w:rPr>
              <w:t>(1,440)</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4"/>
              </w:rPr>
              <w:t>(1,043)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(3,559)</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(3,113)</w:t>
            </w:r>
          </w:p>
        </w:tc>
        <w:tc>
          <w:tcPr>
            <w:tcW w:w="0" w:type="dxa"/>
            <w:vAlign w:val="bottom"/>
          </w:tcPr>
          <w:p>
            <w:pPr>
              <w:spacing w:after="0"/>
              <w:rPr>
                <w:sz w:val="1"/>
                <w:szCs w:val="1"/>
                <w:color w:val="auto"/>
              </w:rPr>
            </w:pPr>
          </w:p>
        </w:tc>
      </w:tr>
      <w:tr>
        <w:trPr>
          <w:trHeight w:val="189"/>
        </w:trPr>
        <w:tc>
          <w:tcPr>
            <w:tcW w:w="5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RNG Fuel</w:t>
            </w:r>
          </w:p>
        </w:tc>
        <w:tc>
          <w:tcPr>
            <w:tcW w:w="720" w:type="dxa"/>
            <w:vAlign w:val="bottom"/>
          </w:tcPr>
          <w:p>
            <w:pPr>
              <w:spacing w:after="0"/>
              <w:rPr>
                <w:sz w:val="16"/>
                <w:szCs w:val="16"/>
                <w:color w:val="auto"/>
              </w:rPr>
            </w:pPr>
          </w:p>
        </w:tc>
        <w:tc>
          <w:tcPr>
            <w:tcW w:w="6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(189)</w:t>
            </w:r>
          </w:p>
        </w:tc>
        <w:tc>
          <w:tcPr>
            <w:tcW w:w="720" w:type="dxa"/>
            <w:vAlign w:val="bottom"/>
          </w:tcPr>
          <w:p>
            <w:pPr>
              <w:spacing w:after="0"/>
              <w:rPr>
                <w:sz w:val="16"/>
                <w:szCs w:val="16"/>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(240)</w:t>
            </w:r>
          </w:p>
        </w:tc>
        <w:tc>
          <w:tcPr>
            <w:tcW w:w="3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Corporate</w:t>
            </w: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853</w:t>
            </w:r>
          </w:p>
        </w:tc>
        <w:tc>
          <w:tcPr>
            <w:tcW w:w="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4"/>
              </w:rPr>
              <w:t>(1,311)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(3,385)</w:t>
            </w:r>
          </w:p>
        </w:tc>
        <w:tc>
          <w:tcPr>
            <w:tcW w:w="3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00"/>
        </w:trPr>
        <w:tc>
          <w:tcPr>
            <w:tcW w:w="5980" w:type="dxa"/>
            <w:vAlign w:val="bottom"/>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40" w:type="dxa"/>
            <w:vAlign w:val="bottom"/>
            <w:vMerge w:val="continue"/>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(2,354</w:t>
            </w:r>
          </w:p>
        </w:tc>
        <w:tc>
          <w:tcPr>
            <w:tcW w:w="140" w:type="dxa"/>
            <w:vAlign w:val="bottom"/>
            <w:vMerge w:val="continue"/>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(7,184</w:t>
            </w:r>
          </w:p>
        </w:tc>
        <w:tc>
          <w:tcPr>
            <w:tcW w:w="220" w:type="dxa"/>
            <w:vAlign w:val="bottom"/>
            <w:vMerge w:val="continue"/>
          </w:tcPr>
          <w:p>
            <w:pPr>
              <w:spacing w:after="0"/>
              <w:rPr>
                <w:sz w:val="17"/>
                <w:szCs w:val="17"/>
                <w:color w:val="auto"/>
              </w:rPr>
            </w:pP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20" w:type="dxa"/>
            <w:vAlign w:val="bottom"/>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1,176</w:t>
            </w:r>
          </w:p>
        </w:tc>
        <w:tc>
          <w:tcPr>
            <w:tcW w:w="76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1,268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4,283</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shd w:val="clear" w:color="auto" w:fill="CCEEFF"/>
          </w:tcPr>
          <w:p>
            <w:pPr>
              <w:spacing w:after="0"/>
              <w:rPr>
                <w:sz w:val="16"/>
                <w:szCs w:val="16"/>
                <w:color w:val="auto"/>
              </w:rPr>
            </w:pP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74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2,621</w:t>
            </w:r>
          </w:p>
        </w:tc>
        <w:tc>
          <w:tcPr>
            <w:tcW w:w="7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1,206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6,379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w:t>
            </w:r>
          </w:p>
        </w:tc>
        <w:tc>
          <w:tcPr>
            <w:tcW w:w="7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331</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6"/>
                <w:szCs w:val="16"/>
                <w:color w:val="auto"/>
              </w:rPr>
            </w:pPr>
          </w:p>
        </w:tc>
      </w:tr>
      <w:tr>
        <w:trPr>
          <w:trHeight w:val="224"/>
        </w:trPr>
        <w:tc>
          <w:tcPr>
            <w:tcW w:w="5980" w:type="dxa"/>
            <w:vAlign w:val="bottom"/>
          </w:tcPr>
          <w:p>
            <w:pPr>
              <w:ind w:left="140"/>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r>
      <w:tr>
        <w:trPr>
          <w:trHeight w:val="20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(699)</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(1,272)</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w:t>
            </w:r>
          </w:p>
        </w:tc>
      </w:tr>
      <w:tr>
        <w:trPr>
          <w:trHeight w:val="24"/>
        </w:trPr>
        <w:tc>
          <w:tcPr>
            <w:tcW w:w="59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3,258</w:t>
            </w:r>
          </w:p>
        </w:tc>
        <w:tc>
          <w:tcPr>
            <w:tcW w:w="76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2,613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9,816</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1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(1) Other includes amortization of intangible assets and depreciation expense not allocated to any segment.</w:t>
      </w:r>
    </w:p>
    <w:p>
      <w:pPr>
        <w:spacing w:after="0" w:line="13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1,098</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(1,676)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(1,071)</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(6,526)</w:t>
            </w: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12,137</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25,779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2,109</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5,523</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120" w:type="dxa"/>
            <w:vAlign w:val="bottom"/>
            <w:shd w:val="clear" w:color="auto" w:fill="CCEEFF"/>
          </w:tcPr>
          <w:p>
            <w:pPr>
              <w:spacing w:after="0"/>
              <w:rPr>
                <w:sz w:val="16"/>
                <w:szCs w:val="16"/>
                <w:color w:val="auto"/>
              </w:rPr>
            </w:pP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(13,669)</w:t>
            </w:r>
          </w:p>
        </w:tc>
        <w:tc>
          <w:tcPr>
            <w:tcW w:w="72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4"/>
              </w:rPr>
              <w:t>(8,591)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(33,329)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20" w:type="dxa"/>
            <w:vAlign w:val="bottom"/>
          </w:tcPr>
          <w:p>
            <w:pPr>
              <w:spacing w:after="0"/>
              <w:rPr>
                <w:sz w:val="16"/>
                <w:szCs w:val="16"/>
                <w:color w:val="auto"/>
              </w:rPr>
            </w:pPr>
          </w:p>
        </w:tc>
      </w:tr>
      <w:tr>
        <w:trPr>
          <w:trHeight w:val="20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3,694</w:t>
            </w:r>
          </w:p>
        </w:tc>
        <w:tc>
          <w:tcPr>
            <w:tcW w:w="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3,658</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shd w:val="clear" w:color="auto" w:fill="CCEEFF"/>
          </w:tcPr>
          <w:p>
            <w:pPr>
              <w:spacing w:after="0"/>
              <w:rPr>
                <w:sz w:val="17"/>
                <w:szCs w:val="17"/>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5,369</w:t>
            </w: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Purchases of Property, Plant, and Equipment: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1,800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3,353</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6,653</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20" w:type="dxa"/>
            <w:vAlign w:val="bottom"/>
          </w:tcPr>
          <w:p>
            <w:pPr>
              <w:spacing w:after="0"/>
              <w:rPr>
                <w:sz w:val="16"/>
                <w:szCs w:val="16"/>
                <w:color w:val="auto"/>
              </w:rPr>
            </w:pPr>
          </w:p>
        </w:tc>
      </w:tr>
      <w:tr>
        <w:trPr>
          <w:trHeight w:val="20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25,937</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76,496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52,874</w:t>
            </w:r>
          </w:p>
        </w:tc>
        <w:tc>
          <w:tcPr>
            <w:tcW w:w="120" w:type="dxa"/>
            <w:vAlign w:val="bottom"/>
            <w:shd w:val="clear" w:color="auto" w:fill="CCEEFF"/>
          </w:tcPr>
          <w:p>
            <w:pPr>
              <w:spacing w:after="0"/>
              <w:rPr>
                <w:sz w:val="17"/>
                <w:szCs w:val="17"/>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29,790</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28,971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84,949</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63,393</w:t>
            </w:r>
          </w:p>
        </w:tc>
        <w:tc>
          <w:tcPr>
            <w:tcW w:w="1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42,654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43,728</w:t>
            </w: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387,434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215,512</w:t>
            </w:r>
          </w:p>
        </w:tc>
        <w:tc>
          <w:tcPr>
            <w:tcW w:w="120" w:type="dxa"/>
            <w:vAlign w:val="bottom"/>
          </w:tcPr>
          <w:p>
            <w:pPr>
              <w:spacing w:after="0"/>
              <w:rPr>
                <w:sz w:val="16"/>
                <w:szCs w:val="16"/>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56,372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56,567</w:t>
            </w: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120,888</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17,887</w:t>
            </w:r>
          </w:p>
        </w:tc>
      </w:tr>
      <w:tr>
        <w:trPr>
          <w:trHeight w:val="20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47,150</w:t>
            </w:r>
          </w:p>
        </w:tc>
      </w:tr>
      <w:tr>
        <w:trPr>
          <w:trHeight w:val="216"/>
        </w:trPr>
        <w:tc>
          <w:tcPr>
            <w:tcW w:w="86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656,056</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380,844</w:t>
            </w:r>
          </w:p>
        </w:tc>
        <w:tc>
          <w:tcPr>
            <w:tcW w:w="12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3"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6"/>
          <w:szCs w:val="16"/>
          <w:color w:val="auto"/>
        </w:rPr>
        <w:t>Geographic Information: The Company’s assets and revenue generating activities are domiciled in the United States.</w:t>
      </w: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974"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color w:val="auto"/>
        </w:rPr>
        <w:t>13. Variable Interest Entities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September 30,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the three months ended September 30,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condensed consolidated balance sheet as of September 30, 2022 and recorded $4,365 as Other income in its condensed consolidated statement of operations for the three and nine months ended September 30, 2022.</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September 30, 2022 and December 31, 2021.</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145" w:lineRule="exact"/>
        <w:rPr>
          <w:sz w:val="20"/>
          <w:szCs w:val="20"/>
          <w:color w:val="auto"/>
        </w:rPr>
      </w:pPr>
    </w:p>
    <w:p>
      <w:pPr>
        <w:ind w:left="560" w:right="20" w:hanging="282"/>
        <w:spacing w:after="0" w:line="275" w:lineRule="auto"/>
        <w:tabs>
          <w:tab w:leader="none" w:pos="5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 and</w:t>
      </w:r>
    </w:p>
    <w:p>
      <w:pPr>
        <w:spacing w:after="0" w:line="169"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obligation to absorb the potential losses for the right to receive potential benefits, which could be significant to the VIE;</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90" w:name="page191"/>
    <w:bookmarkEnd w:id="190"/>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45"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major condensed consolidated balance sheet items for consolidated VIEs as of September 30, 2022 and December 31, 2021. The information below is presented on an aggregate basis based on similar risk and reward characteristics and the nature of our involvement with the VIEs, such as:</w:t>
      </w:r>
    </w:p>
    <w:p>
      <w:pPr>
        <w:spacing w:after="0" w:line="169" w:lineRule="exact"/>
        <w:rPr>
          <w:sz w:val="20"/>
          <w:szCs w:val="20"/>
          <w:color w:val="auto"/>
        </w:rPr>
      </w:pPr>
    </w:p>
    <w:p>
      <w:pPr>
        <w:ind w:left="565" w:hanging="282"/>
        <w:spacing w:after="0"/>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VIEs are RNG facilities and they are reported under the RNG Fuel Supply segment;</w:t>
      </w:r>
    </w:p>
    <w:p>
      <w:pPr>
        <w:spacing w:after="0" w:line="217"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our interest in these entities is primarily equity based and therefore carry similar risk and reward characteristics;</w:t>
      </w:r>
    </w:p>
    <w:p>
      <w:pPr>
        <w:spacing w:after="0" w:line="218"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amount of assets that can only be used to settle obligations of the VIEs are parenthesized in the condensed consolidated balance sheets and are included in the asset totals listed in the table below.</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68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1,991</w:t>
            </w:r>
          </w:p>
        </w:tc>
        <w:tc>
          <w:tcPr>
            <w:tcW w:w="0" w:type="dxa"/>
            <w:vAlign w:val="bottom"/>
          </w:tcPr>
          <w:p>
            <w:pPr>
              <w:spacing w:after="0"/>
              <w:rPr>
                <w:sz w:val="1"/>
                <w:szCs w:val="1"/>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 current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7,623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investments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34,476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2,144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capital expenses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Sunoma Loan- current portion</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4,276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3,022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Sunoma loan, net of debt issuance costs</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tcBorders>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26,356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19,221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10,692</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120"/>
              <w:spacing w:after="0" w:line="236" w:lineRule="exact"/>
              <w:rPr>
                <w:sz w:val="20"/>
                <w:szCs w:val="20"/>
                <w:color w:val="auto"/>
              </w:rPr>
            </w:pPr>
            <w:r>
              <w:rPr>
                <w:rFonts w:ascii="Times New Roman" w:cs="Times New Roman" w:eastAsia="Times New Roman" w:hAnsi="Times New Roman"/>
                <w:sz w:val="16"/>
                <w:szCs w:val="16"/>
                <w:color w:val="auto"/>
              </w:rPr>
              <w:t xml:space="preserve">Non-redeemable non-controlling interests </w:t>
            </w:r>
            <w:r>
              <w:rPr>
                <w:rFonts w:ascii="Times New Roman" w:cs="Times New Roman" w:eastAsia="Times New Roman" w:hAnsi="Times New Roman"/>
                <w:sz w:val="26"/>
                <w:szCs w:val="26"/>
                <w:color w:val="auto"/>
                <w:vertAlign w:val="superscript"/>
              </w:rPr>
              <w:t>(1)</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26,674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equity</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61,086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11,880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87,442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285" w:hanging="285"/>
        <w:spacing w:after="0" w:line="210" w:lineRule="auto"/>
        <w:tabs>
          <w:tab w:leader="none" w:pos="285"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August 2022, the Company paid $5,845 as prepayment of its share of equity contribution in a joint venture to meet the equity requirements. As of September 30, 2022, $2,922 of the payment has been reflected as part of non-redeemable non-controlling interest in the condensed consolidated statement of changes in Redeemable non-controlling interests, redeemable preferred non-controlling interests and stockholders’ equity.</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191" w:name="page192"/>
    <w:bookmarkEnd w:id="191"/>
    <w:p>
      <w:pPr>
        <w:ind w:left="5"/>
        <w:spacing w:after="0"/>
        <w:rPr>
          <w:sz w:val="20"/>
          <w:szCs w:val="20"/>
          <w:color w:val="auto"/>
        </w:rPr>
      </w:pPr>
      <w:r>
        <w:rPr>
          <w:rFonts w:ascii="Times New Roman" w:cs="Times New Roman" w:eastAsia="Times New Roman" w:hAnsi="Times New Roman"/>
          <w:sz w:val="16"/>
          <w:szCs w:val="16"/>
          <w:b w:val="1"/>
          <w:bCs w:val="1"/>
          <w:color w:val="auto"/>
        </w:rPr>
        <w:t>14. Redeemable non-controlling interests, Redeemable preferred non-controlling interests and Stockholders’ Equity</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 xml:space="preserve">The condensed consolidated statements of change in Redeemable non-controlling interests, Redeemable preferred non-controlling interests and stockholders’ equity reflect the reverse recapitalization and Business Combination as mentioned in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these condensed consolidated statements of change in redeemable preferred units and stockholders’ equity were retroactively adjusted.</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98"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5"/>
          <w:szCs w:val="15"/>
          <w:color w:val="auto"/>
        </w:rPr>
        <w:t>After giving effect to the Business Combination, there are currently (i) 25,671,390 shares of Class A common stock issued and outstanding, (ii) 144,399,037 shares of New OPAL Class D common stock issued and outstanding, (iii) no shares of Class B common stock, par value $0.0001 per share, of (“Class B common stock”) issued and outstanding</w:t>
      </w:r>
    </w:p>
    <w:p>
      <w:pPr>
        <w:ind w:left="5" w:right="20" w:hanging="5"/>
        <w:spacing w:after="0" w:line="253" w:lineRule="auto"/>
        <w:tabs>
          <w:tab w:leader="none" w:pos="10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16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 xml:space="preserve">As part of the Business Combination, $68,257 of Class A common stock and Additional paid-in capital was recorded, net of transaction costs of $6,569. Please see Note 3, </w:t>
      </w:r>
      <w:r>
        <w:rPr>
          <w:rFonts w:ascii="Times New Roman" w:cs="Times New Roman" w:eastAsia="Times New Roman" w:hAnsi="Times New Roman"/>
          <w:sz w:val="16"/>
          <w:szCs w:val="16"/>
          <w:i w:val="1"/>
          <w:iCs w:val="1"/>
          <w:color w:val="auto"/>
        </w:rPr>
        <w:t xml:space="preserve">Business Combination </w:t>
      </w:r>
      <w:r>
        <w:rPr>
          <w:rFonts w:ascii="Times New Roman" w:cs="Times New Roman" w:eastAsia="Times New Roman" w:hAnsi="Times New Roman"/>
          <w:sz w:val="16"/>
          <w:szCs w:val="16"/>
          <w:color w:val="auto"/>
        </w:rPr>
        <w:t>for additional information</w:t>
      </w:r>
      <w:r>
        <w:rPr>
          <w:rFonts w:ascii="Times New Roman" w:cs="Times New Roman" w:eastAsia="Times New Roman" w:hAnsi="Times New Roman"/>
          <w:sz w:val="16"/>
          <w:szCs w:val="16"/>
          <w:i w:val="1"/>
          <w:iCs w:val="1"/>
          <w:color w:val="auto"/>
        </w:rPr>
        <w:t>.</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Class A common stock</w:t>
      </w:r>
    </w:p>
    <w:p>
      <w:pPr>
        <w:spacing w:after="0" w:line="194" w:lineRule="exact"/>
        <w:rPr>
          <w:sz w:val="20"/>
          <w:szCs w:val="20"/>
          <w:color w:val="auto"/>
        </w:rPr>
      </w:pPr>
    </w:p>
    <w:p>
      <w:pPr>
        <w:jc w:val="both"/>
        <w:ind w:left="5"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A common stock is entitled to one vote for each share of Class A common stock held of record by such holder on all matters on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61" w:lineRule="exact"/>
        <w:rPr>
          <w:sz w:val="20"/>
          <w:szCs w:val="20"/>
          <w:color w:val="auto"/>
        </w:rPr>
      </w:pPr>
    </w:p>
    <w:p>
      <w:pPr>
        <w:jc w:val="both"/>
        <w:ind w:left="5"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Dividends and other distributions of cash, stock or property may be declared and paid on the shares of Class A common stock and the shares of Class C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out of the assets of the Company that are by law available therefor, at the times and in the amounts as our board in its discretion may determine.</w:t>
      </w:r>
    </w:p>
    <w:p>
      <w:pPr>
        <w:spacing w:after="0" w:line="141" w:lineRule="exact"/>
        <w:rPr>
          <w:sz w:val="20"/>
          <w:szCs w:val="20"/>
          <w:color w:val="auto"/>
        </w:rPr>
      </w:pPr>
    </w:p>
    <w:p>
      <w:pPr>
        <w:jc w:val="both"/>
        <w:ind w:left="5" w:right="20"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35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i w:val="1"/>
          <w:iCs w:val="1"/>
          <w:color w:val="auto"/>
        </w:rPr>
        <w:t>Class B common stock</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Shares of Class B common stock may, together with the corresponding Class B Units, be exchanged for shares of Class A common stock.</w:t>
      </w:r>
    </w:p>
    <w:p>
      <w:pPr>
        <w:spacing w:after="0" w:line="192" w:lineRule="exact"/>
        <w:rPr>
          <w:sz w:val="20"/>
          <w:szCs w:val="20"/>
          <w:color w:val="auto"/>
        </w:rPr>
      </w:pPr>
    </w:p>
    <w:p>
      <w:pPr>
        <w:jc w:val="both"/>
        <w:ind w:right="20"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B common stock will be entitled to one vote for each share of Class B common stock held of record by such holder on all matters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Dividends of cash or property may not be declared or paid on shares of Class B common stock.</w:t>
      </w:r>
    </w:p>
    <w:p>
      <w:pPr>
        <w:spacing w:after="0" w:line="194"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 C common stock</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Shares of Class C common stock may be converted to shares of Class A common stock, as discussed further below</w:t>
      </w:r>
      <w:r>
        <w:rPr>
          <w:rFonts w:ascii="Times New Roman" w:cs="Times New Roman" w:eastAsia="Times New Roman" w:hAnsi="Times New Roman"/>
          <w:sz w:val="16"/>
          <w:szCs w:val="16"/>
          <w:i w:val="1"/>
          <w:iCs w:val="1"/>
          <w:color w:val="auto"/>
        </w:rPr>
        <w:t>.</w:t>
      </w:r>
    </w:p>
    <w:p>
      <w:pPr>
        <w:spacing w:after="0" w:line="194" w:lineRule="exact"/>
        <w:rPr>
          <w:sz w:val="20"/>
          <w:szCs w:val="20"/>
          <w:color w:val="auto"/>
        </w:rPr>
      </w:pPr>
    </w:p>
    <w:p>
      <w:pPr>
        <w:jc w:val="both"/>
        <w:ind w:left="560" w:hanging="282"/>
        <w:spacing w:after="0" w:line="262"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Voluntary Conversion. </w:t>
      </w:r>
      <w:r>
        <w:rPr>
          <w:rFonts w:ascii="Times New Roman" w:cs="Times New Roman" w:eastAsia="Times New Roman" w:hAnsi="Times New Roman"/>
          <w:sz w:val="16"/>
          <w:szCs w:val="16"/>
          <w:color w:val="auto"/>
        </w:rPr>
        <w:t>Each share of Class C common stock shall be convertible into one share of Class A common stock at the option of the holder thereof,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5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Automatic Conversion. </w:t>
      </w:r>
      <w:r>
        <w:rPr>
          <w:rFonts w:ascii="Times New Roman" w:cs="Times New Roman" w:eastAsia="Times New Roman" w:hAnsi="Times New Roman"/>
          <w:sz w:val="16"/>
          <w:szCs w:val="16"/>
          <w:color w:val="auto"/>
        </w:rPr>
        <w:t>Each share of Class C common stock shall automatically, without any further action, convert into one share of Class A common stock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other than a Transfer to a qualified stockholder (as defined in the Charter).</w:t>
      </w:r>
    </w:p>
    <w:p>
      <w:pPr>
        <w:spacing w:after="0" w:line="141"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C common stock will be entitled to five votes for each share of Class C common stock held of record by such holder on all matters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93" w:name="page194"/>
    <w:bookmarkEnd w:id="193"/>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Dividends and other distributions of cash, stock or property may be declared and paid on the shares of Class A common stock and the shares of Class C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out of the assets of the Company that are by law available therefor, at the times and in the amounts as our board in its discretion may determine.</w:t>
      </w:r>
    </w:p>
    <w:p>
      <w:pPr>
        <w:spacing w:after="0" w:line="141" w:lineRule="exact"/>
        <w:rPr>
          <w:sz w:val="20"/>
          <w:szCs w:val="20"/>
          <w:color w:val="auto"/>
        </w:rPr>
      </w:pPr>
    </w:p>
    <w:p>
      <w:pPr>
        <w:jc w:val="both"/>
        <w:ind w:right="20"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 D common stock</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spacing w:after="0" w:line="14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Voluntary Conversion</w:t>
      </w:r>
      <w:r>
        <w:rPr>
          <w:rFonts w:ascii="Times New Roman" w:cs="Times New Roman" w:eastAsia="Times New Roman" w:hAnsi="Times New Roman"/>
          <w:sz w:val="16"/>
          <w:szCs w:val="16"/>
          <w:color w:val="auto"/>
        </w:rPr>
        <w:t>. Each share of Class D common stock shall be convertible into one share of Class B common stock at the option of the holder thereof at any time upon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written notice to the Company;</w:t>
      </w:r>
    </w:p>
    <w:p>
      <w:pPr>
        <w:spacing w:after="0" w:line="141"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Automatic Conversion</w:t>
      </w:r>
      <w:r>
        <w:rPr>
          <w:rFonts w:ascii="Times New Roman" w:cs="Times New Roman" w:eastAsia="Times New Roman" w:hAnsi="Times New Roman"/>
          <w:sz w:val="16"/>
          <w:szCs w:val="16"/>
          <w:color w:val="auto"/>
        </w:rPr>
        <w:t>. Each share of Class D common stock shall automatically, without any further action, convert into one share of Class B common stock upon a transfer,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a transfer to a qualified stockholder.</w:t>
      </w:r>
    </w:p>
    <w:p>
      <w:pPr>
        <w:spacing w:after="0" w:line="141"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D common stock will be entitled to five votes for each share of Class D common stock held of record by such holder on all matters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Dividends of cash or property may not be declared or paid on shares of Class D common stock.</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i w:val="1"/>
          <w:iCs w:val="1"/>
          <w:color w:val="auto"/>
        </w:rPr>
        <w:t>Redeemable preferred non-controlling interests</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On November 29, 2021, as part of an exchange agreement (“Hillman exchange”), the Company issued 300,000 Series A-1 preferred units to Hillman in return for Hillman’s non-controlling interest in four RNG project subsidiaries.</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During the nine months ended September 30, 2022, the Company had drawn $100,000 and issued 1,000,000 Series A preferred units.</w:t>
      </w:r>
    </w:p>
    <w:p>
      <w:pPr>
        <w:spacing w:after="0" w:line="15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September 30, 2022.</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changes in the redeemable preferred non-controlling interests which represent Series A and Series A-1 preferred units outstanding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level from December 31, 2021 to September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Series A-1 preferred units</w:t>
            </w:r>
          </w:p>
        </w:tc>
        <w:tc>
          <w:tcPr>
            <w:tcW w:w="254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Series A preferred units</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136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30,210</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Series A units issued by OPAL Fuels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dividends attributable to OPAL Fuels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1,752</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3,031</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Paid-in kind dividends attributable to Class A common stockholders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32,030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1,000,000</w:t>
            </w: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103,273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Terms of Redeemable preferred units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Series A and Series A-1 preferred units (together the “Preferred Units”) have substantially the same terms and features which are listed below:</w:t>
      </w:r>
    </w:p>
    <w:p>
      <w:pPr>
        <w:spacing w:after="0" w:line="19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5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95" w:name="page196"/>
    <w:bookmarkEnd w:id="195"/>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spacing w:after="0" w:line="164" w:lineRule="exact"/>
        <w:rPr>
          <w:sz w:val="20"/>
          <w:szCs w:val="20"/>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20-day volume-weighted average price (“VWAP”) of the Company’s common shares.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the estimated proceeds to be received by the holder of a common unit if the net assets of the Company were sold at fair market value and distributed.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Redeemable non-controlling interests</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September 30, 2022, the Company recorded $1,160,723 to adjust the carrying value to their redemption value based on a 5 day VWAP of $8.47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Net Income (loss) Per Share</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basic loss per share of Class A common stock is computed by dividing the net loss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unaudited condensed consolidated financial statements. Therefore net loss per share information has not been presented for periods prior to Business Combination on July 21, 2022. The basic and diluted net loss per share for the three and nine months ended September 30, 2022 represent only the period from July 21, 2022 to September 30, 2022.</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96" w:name="page197"/>
    <w:bookmarkEnd w:id="196"/>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diluted loss per share of Class A common stock for the three and nine months ended September 30, 2022 does not include Redeemable preferred non-controlling interests, Convertible Note Payable because the substantive contingency for conversion has not been met as of September 30, 2022. It does not include 9,223,261 Private Warrants and 6,223,261 Public Warrants as their strike price at $11.50 exceeded the average market price for the Company during the measurement period.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September 30, 2022.</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calculation of basic and diluted net loss per share: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8680" w:type="dxa"/>
            <w:vAlign w:val="bottom"/>
          </w:tcPr>
          <w:p>
            <w:pPr>
              <w:spacing w:after="0"/>
              <w:rPr>
                <w:sz w:val="24"/>
                <w:szCs w:val="24"/>
                <w:color w:val="auto"/>
              </w:rPr>
            </w:pPr>
          </w:p>
        </w:tc>
        <w:tc>
          <w:tcPr>
            <w:tcW w:w="128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7"/>
              </w:rPr>
              <w:t>Nine Months</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70"/>
        </w:trPr>
        <w:tc>
          <w:tcPr>
            <w:tcW w:w="8680" w:type="dxa"/>
            <w:vAlign w:val="bottom"/>
          </w:tcPr>
          <w:p>
            <w:pPr>
              <w:spacing w:after="0"/>
              <w:rPr>
                <w:sz w:val="14"/>
                <w:szCs w:val="14"/>
                <w:color w:val="auto"/>
              </w:rPr>
            </w:pPr>
          </w:p>
        </w:tc>
        <w:tc>
          <w:tcPr>
            <w:tcW w:w="1140" w:type="dxa"/>
            <w:vAlign w:val="bottom"/>
            <w:tcBorders>
              <w:top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Class A common stockholders</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change in fair value of the put option on the forward purchase agreement</w:t>
            </w:r>
          </w:p>
        </w:tc>
        <w:tc>
          <w:tcPr>
            <w:tcW w:w="220" w:type="dxa"/>
            <w:vAlign w:val="bottom"/>
          </w:tcPr>
          <w:p>
            <w:pPr>
              <w:spacing w:after="0"/>
              <w:rPr>
                <w:sz w:val="17"/>
                <w:szCs w:val="17"/>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attributable to Class A common stockholders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4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 - basic</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25,671,390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25,671,390</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Effect of the dilutive put option on a forward purchase agreement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152,382</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 - diluted</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25,823,772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25,823,772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 per share of Class A common stock</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Income taxes</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6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For the three and nine months ended September 30, 2022, the Company recorded zero income tax expense. The effective tax rate for the three months ended September 30, 2022 was 0%. The difference between the Company’s effective tax rate for the three and nine months ended September 30, 2022 and the U.S. statutory tax rate of 21% was primarily due to a full valuation allowance recorded on the Company’s net U.S. deferred tax assets. The Company did not record a tax provision for the three and nine months ended September 30, 2021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97" w:name="page198"/>
    <w:bookmarkEnd w:id="197"/>
    <w:p>
      <w:pPr>
        <w:ind w:left="5" w:right="8800" w:hanging="5"/>
        <w:spacing w:after="0" w:line="494" w:lineRule="auto"/>
        <w:tabs>
          <w:tab w:leader="none" w:pos="242"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Letters of Credit</w:t>
      </w:r>
    </w:p>
    <w:p>
      <w:pPr>
        <w:spacing w:after="0" w:line="1"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and December 31, 2021, the Company was required to maintain nine standby letters of credit totaling $9,348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Purchase Options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45"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18. Subsequent Events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On October 4, 2022, the Company granted 428,902 restricted stock units for certain eligible employees and board of directors under the OPAL Fuels Inc. 2022 Omnibus Equity Incentive Plan. The aggregate fair value of the grant was $3,405 based on the closing share price of $7.94 on October 3, 2022. The shares will vest in full on October 3, 2023. The amortization of the above grants will be included in the selling, general and administrative expenses in the condensed consolidated statement of operations beginning in the fourth quarter of 2022.</w:t>
      </w:r>
    </w:p>
    <w:p>
      <w:pPr>
        <w:spacing w:after="0" w:line="16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On October 12, 2022, the Company borrowed $12,500 under the OPAL Term Loan.</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OPAL Fuels Inc.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2020 and 2019 Consolidated Financial Statements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Parties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discussed in Note 10 “Related Parties” to the consolidated financial statements, OPAL Fuels Inc. and its subsidiaries have entered into significant transactions with Fortistar, LLC, which is a related party. Our opinion is not modified with respect to this matter.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Stamford, 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15, 2022, except for the effects of the recapitalization described in Note 1, as to which the date is November 17, 2022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99" w:name="page200"/>
    <w:bookmarkEnd w:id="199"/>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28"/>
        </w:trPr>
        <w:tc>
          <w:tcPr>
            <w:tcW w:w="7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61"/>
              <w:spacing w:after="0" w:line="225" w:lineRule="exact"/>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26"/>
                <w:szCs w:val="26"/>
                <w:b w:val="1"/>
                <w:bCs w:val="1"/>
                <w:color w:val="auto"/>
                <w:vertAlign w:val="superscript"/>
              </w:rPr>
              <w:t>(1)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 xml:space="preserve">(Restated) </w:t>
            </w:r>
            <w:r>
              <w:rPr>
                <w:rFonts w:ascii="Times New Roman" w:cs="Times New Roman" w:eastAsia="Times New Roman" w:hAnsi="Times New Roman"/>
                <w:sz w:val="26"/>
                <w:szCs w:val="26"/>
                <w:b w:val="1"/>
                <w:bCs w:val="1"/>
                <w:color w:val="auto"/>
                <w:w w:val="90"/>
                <w:vertAlign w:val="superscript"/>
              </w:rPr>
              <w:t>(1)(2)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750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Cash and cash equivalents (includes $1,991 and $5,088 at December 31, 2021 and December 31, 2020, respectively, related to</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39,314</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12,823</w:t>
            </w: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Accounts receivable, net (includes $40 and $— at December 31, 2021 and December 31, 2020, respectively, related to</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25,391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22,002</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2,276</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Contract assets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5,524</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Parts inventory</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4,244</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Prepaid expense and other current assets (includes $113 and $— at December 31, 2021 and December 31, 2020, respectively,</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2,981</w:t>
            </w:r>
          </w:p>
        </w:tc>
        <w:tc>
          <w:tcPr>
            <w:tcW w:w="0" w:type="dxa"/>
            <w:vAlign w:val="bottom"/>
          </w:tcPr>
          <w:p>
            <w:pPr>
              <w:spacing w:after="0"/>
              <w:rPr>
                <w:sz w:val="1"/>
                <w:szCs w:val="1"/>
                <w:color w:val="auto"/>
              </w:rPr>
            </w:pPr>
          </w:p>
        </w:tc>
      </w:tr>
      <w:tr>
        <w:trPr>
          <w:trHeight w:val="204"/>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financial asset, current portion</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current assets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500" w:type="dxa"/>
            <w:vAlign w:val="bottom"/>
          </w:tcPr>
          <w:p>
            <w:pPr>
              <w:ind w:left="280"/>
              <w:spacing w:after="0" w:line="173" w:lineRule="exact"/>
              <w:rPr>
                <w:sz w:val="20"/>
                <w:szCs w:val="20"/>
                <w:color w:val="auto"/>
              </w:rPr>
            </w:pPr>
            <w:r>
              <w:rPr>
                <w:rFonts w:ascii="Times New Roman" w:cs="Times New Roman" w:eastAsia="Times New Roman" w:hAnsi="Times New Roman"/>
                <w:sz w:val="16"/>
                <w:szCs w:val="16"/>
                <w:color w:val="auto"/>
              </w:rPr>
              <w:t>Capital spares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Property, plant, and equipment, net (includes $27,359 and $18,834 at December 31, 2021 and December 31, 2020, respectively,</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169,770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79,492</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47,150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Note receivable</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Note receivable - variable fee component</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long-term asset</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Intangible assets, net</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financial asset, non-current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Restricted cash (includes $1,163 and $2,199 at December 31, 2021 and December 31, 2020, respectively, related to consolidated</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01"/>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3,453</w:t>
            </w:r>
          </w:p>
        </w:tc>
        <w:tc>
          <w:tcPr>
            <w:tcW w:w="0" w:type="dxa"/>
            <w:vAlign w:val="bottom"/>
          </w:tcPr>
          <w:p>
            <w:pPr>
              <w:spacing w:after="0"/>
              <w:rPr>
                <w:sz w:val="1"/>
                <w:szCs w:val="1"/>
                <w:color w:val="auto"/>
              </w:rPr>
            </w:pPr>
          </w:p>
        </w:tc>
      </w:tr>
      <w:tr>
        <w:trPr>
          <w:trHeight w:val="24"/>
        </w:trPr>
        <w:tc>
          <w:tcPr>
            <w:tcW w:w="75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1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380,844</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169,458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Preferred Units, and Members’ Equity</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Accounts payable (includes $544 and $864 at December 31, 2021 and December 31, 2020, respectively, related to consolidated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VIEs)</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12,581</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8,683</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Fuel tax credits payable</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payroll</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Accrued capital expenses (includes $1,722$— and $3,300 at December 31, 2021 and December 31, 2020, respectively, related to</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Accrued expenses and other current liabilities (includes $0 and $776 at December 31, 2021 and December 31, 2020, respectively</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7,323</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Contract liabilities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4,678</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Liability under power sales agreement, 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term loan, 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73,145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working capital facility, 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5,182</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OPAL term loan, 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Sunoma loan, current portion (includes $756 and $— at December 31, 2021 and December 31, 2020, respectively, related to</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Municipality loan, 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Asset retirement obligation, current portion</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176"/>
        </w:trPr>
        <w:tc>
          <w:tcPr>
            <w:tcW w:w="7500" w:type="dxa"/>
            <w:vAlign w:val="bottom"/>
            <w:tcBorders>
              <w:top w:val="single" w:sz="8" w:color="CCEEFF"/>
              <w:bottom w:val="single" w:sz="8" w:color="CCEEFF"/>
            </w:tcBorders>
          </w:tcPr>
          <w:p>
            <w:pPr>
              <w:ind w:left="42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118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142,116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42,862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Asset retirement obligation, non-current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TruStar revolver credit facility</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term loan, net of debt issuance costs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72,256</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working capital facility</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OPAL term loan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59,090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Convertible note payable</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58,710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Municipality loan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Sunoma loan, net of debt issuance costs (includes $16,199 and $470 at December 31, 2021 and December 31, 2020, respectively,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financial liability, non-current portion</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50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Commitments and contingencies (Note 20)</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30,210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23,760</w:t>
            </w: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 xml:space="preserve">Stockholders’ equity </w:t>
            </w:r>
            <w:r>
              <w:rPr>
                <w:rFonts w:ascii="Times New Roman" w:cs="Times New Roman" w:eastAsia="Times New Roman" w:hAnsi="Times New Roman"/>
                <w:sz w:val="26"/>
                <w:szCs w:val="26"/>
                <w:color w:val="auto"/>
                <w:vertAlign w:val="superscript"/>
              </w:rPr>
              <w:t>(1)</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80"/>
              <w:spacing w:after="0" w:line="172" w:lineRule="exact"/>
              <w:rPr>
                <w:sz w:val="20"/>
                <w:szCs w:val="20"/>
                <w:color w:val="auto"/>
              </w:rPr>
            </w:pPr>
            <w:r>
              <w:rPr>
                <w:rFonts w:ascii="Times New Roman" w:cs="Times New Roman" w:eastAsia="Times New Roman" w:hAnsi="Times New Roman"/>
                <w:sz w:val="16"/>
                <w:szCs w:val="16"/>
                <w:color w:val="auto"/>
                <w:w w:val="98"/>
              </w:rPr>
              <w:t>Class D common stock, $0.0001 par value, 154,309,729 shares authorized as of September 30, 2022; 144,399,037</w:t>
            </w:r>
          </w:p>
        </w:tc>
        <w:tc>
          <w:tcPr>
            <w:tcW w:w="1380" w:type="dxa"/>
            <w:vAlign w:val="bottom"/>
            <w:gridSpan w:val="2"/>
          </w:tcPr>
          <w:p>
            <w:pPr>
              <w:jc w:val="right"/>
              <w:ind w:right="601"/>
              <w:spacing w:after="0" w:line="172" w:lineRule="exact"/>
              <w:rPr>
                <w:sz w:val="20"/>
                <w:szCs w:val="20"/>
                <w:color w:val="auto"/>
              </w:rPr>
            </w:pPr>
            <w:r>
              <w:rPr>
                <w:rFonts w:ascii="Times New Roman" w:cs="Times New Roman" w:eastAsia="Times New Roman" w:hAnsi="Times New Roman"/>
                <w:sz w:val="16"/>
                <w:szCs w:val="16"/>
                <w:color w:val="auto"/>
              </w:rPr>
              <w:t>issued and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outstanding at December 31, 2021 and 2020</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1"/>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7500" w:type="dxa"/>
            <w:vAlign w:val="bottom"/>
            <w:tcBorders>
              <w:top w:val="single" w:sz="8" w:color="CCEEFF"/>
              <w:bottom w:val="single" w:sz="8" w:color="CCEEFF"/>
            </w:tcBorders>
          </w:tcPr>
          <w:p>
            <w:pPr>
              <w:ind w:left="420"/>
              <w:spacing w:after="0" w:line="173" w:lineRule="exact"/>
              <w:rPr>
                <w:sz w:val="20"/>
                <w:szCs w:val="20"/>
                <w:color w:val="auto"/>
              </w:rPr>
            </w:pPr>
            <w:r>
              <w:rPr>
                <w:rFonts w:ascii="Times New Roman" w:cs="Times New Roman" w:eastAsia="Times New Roman" w:hAnsi="Times New Roman"/>
                <w:sz w:val="16"/>
                <w:szCs w:val="16"/>
                <w:color w:val="auto"/>
              </w:rPr>
              <w:t>Total Stockholders’ equity attributable to the Company</w:t>
            </w:r>
          </w:p>
        </w:tc>
        <w:tc>
          <w:tcPr>
            <w:tcW w:w="118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Non-controlling interest in subsidiaries</w:t>
            </w:r>
          </w:p>
        </w:tc>
        <w:tc>
          <w:tcPr>
            <w:tcW w:w="1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00" w:type="dxa"/>
            <w:vAlign w:val="bottom"/>
            <w:tcBorders>
              <w:bottom w:val="single" w:sz="8" w:color="CCEEFF"/>
            </w:tcBorders>
          </w:tcPr>
          <w:p>
            <w:pPr>
              <w:ind w:left="420"/>
              <w:spacing w:after="0" w:line="173" w:lineRule="exact"/>
              <w:rPr>
                <w:sz w:val="20"/>
                <w:szCs w:val="20"/>
                <w:color w:val="auto"/>
              </w:rPr>
            </w:pPr>
            <w:r>
              <w:rPr>
                <w:rFonts w:ascii="Times New Roman" w:cs="Times New Roman" w:eastAsia="Times New Roman" w:hAnsi="Times New Roman"/>
                <w:sz w:val="16"/>
                <w:szCs w:val="16"/>
                <w:color w:val="auto"/>
              </w:rPr>
              <w:t>Total stockholders’ equity</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6,699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 Redeemable preferred, Redeemable non-controlling interests and Stockholders’ equity</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806" w:right="319" w:bottom="0" w:gutter="0" w:footer="0" w:header="0"/>
        </w:sectPr>
      </w:pPr>
    </w:p>
    <w:bookmarkStart w:id="200" w:name="page201"/>
    <w:bookmarkEnd w:id="200"/>
    <w:p>
      <w:pPr>
        <w:ind w:left="285" w:hanging="285"/>
        <w:spacing w:after="0"/>
        <w:tabs>
          <w:tab w:leader="none" w:pos="285"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450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45085"/>
                    </a:xfrm>
                    <a:prstGeom prst="rect">
                      <a:avLst/>
                    </a:prstGeom>
                    <a:noFill/>
                  </pic:spPr>
                </pic:pic>
              </a:graphicData>
            </a:graphic>
          </wp:anchor>
        </w:drawing>
        <w:t>Retroactively restated for the reverse recapitalization upon completion of Business Combination as described in Note 1.</w:t>
      </w:r>
    </w:p>
    <w:p>
      <w:pPr>
        <w:ind w:left="285" w:hanging="285"/>
        <w:spacing w:after="0" w:line="187" w:lineRule="auto"/>
        <w:tabs>
          <w:tab w:leader="none" w:pos="285"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described in Note 2, Restatement of financial statements to these consolidated financial statements, we have restated the consolidated financial statements for the years ended December 31, 2020 and 2019.</w:t>
      </w:r>
    </w:p>
    <w:p>
      <w:pPr>
        <w:spacing w:after="0" w:line="17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290" w:right="339" w:bottom="1440" w:gutter="0" w:footer="0" w:header="0"/>
        </w:sectPr>
      </w:pPr>
    </w:p>
    <w:bookmarkStart w:id="201" w:name="page202"/>
    <w:bookmarkEnd w:id="201"/>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5"/>
              </w:rPr>
              <w:t>(Restated)</w:t>
            </w:r>
            <w:r>
              <w:rPr>
                <w:rFonts w:ascii="Times New Roman" w:cs="Times New Roman" w:eastAsia="Times New Roman" w:hAnsi="Times New Roman"/>
                <w:sz w:val="26"/>
                <w:szCs w:val="26"/>
                <w:b w:val="1"/>
                <w:bCs w:val="1"/>
                <w:color w:val="auto"/>
                <w:w w:val="95"/>
                <w:vertAlign w:val="superscript"/>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7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70,360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11,545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45,324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51,250</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50,440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54,911</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 net</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166,124</w:t>
            </w: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117,706</w:t>
            </w:r>
          </w:p>
        </w:tc>
        <w:tc>
          <w:tcPr>
            <w:tcW w:w="2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119,702</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41,075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37,755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Fuel station service</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42,838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45,037</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29,380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20,474</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8,338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assets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17,689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termination of PPA</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sale/disposal of assets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(2,051)</w:t>
            </w: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155,098</w:t>
            </w: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135,542</w:t>
            </w:r>
          </w:p>
        </w:tc>
        <w:tc>
          <w:tcPr>
            <w:tcW w:w="2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114,747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Other income (expenses):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(6,655)</w:t>
            </w: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(8,026)</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gain (loss) on derivative financial instruments, net</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tcPr>
          <w:p>
            <w:pPr>
              <w:spacing w:after="0"/>
              <w:rPr>
                <w:sz w:val="16"/>
                <w:szCs w:val="16"/>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19,818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PPP loan forgiveness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equity method investments</w:t>
            </w: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7"/>
                <w:szCs w:val="17"/>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Borders>
              <w:top w:val="single" w:sz="8" w:color="CCEEFF"/>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Paid-in-kind preferred dividends</w:t>
            </w:r>
          </w:p>
        </w:tc>
        <w:tc>
          <w:tcPr>
            <w:tcW w:w="24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32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1"/>
                <w:szCs w:val="11"/>
                <w:color w:val="auto"/>
              </w:rPr>
              <w:t xml:space="preserve">Net income (loss) attributable to Redeemable non-controlling interests </w:t>
            </w:r>
            <w:r>
              <w:rPr>
                <w:rFonts w:ascii="Times New Roman" w:cs="Times New Roman" w:eastAsia="Times New Roman" w:hAnsi="Times New Roman"/>
                <w:sz w:val="17"/>
                <w:szCs w:val="17"/>
                <w:color w:val="auto"/>
                <w:vertAlign w:val="superscript"/>
              </w:rPr>
              <w:t>(2)</w:t>
            </w:r>
          </w:p>
        </w:tc>
        <w:tc>
          <w:tcPr>
            <w:tcW w:w="240" w:type="dxa"/>
            <w:vAlign w:val="bottom"/>
            <w:tcBorders>
              <w:top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41,363</w:t>
            </w:r>
          </w:p>
        </w:tc>
        <w:tc>
          <w:tcPr>
            <w:tcW w:w="80" w:type="dxa"/>
            <w:vAlign w:val="bottom"/>
            <w:tcBorders>
              <w:top w:val="single" w:sz="8" w:color="CCEEFF"/>
            </w:tcBorders>
            <w:vMerge w:val="restart"/>
          </w:tcPr>
          <w:p>
            <w:pPr>
              <w:spacing w:after="0"/>
              <w:rPr>
                <w:sz w:val="12"/>
                <w:szCs w:val="12"/>
                <w:color w:val="auto"/>
              </w:rPr>
            </w:pPr>
          </w:p>
        </w:tc>
        <w:tc>
          <w:tcPr>
            <w:tcW w:w="140" w:type="dxa"/>
            <w:vAlign w:val="bottom"/>
            <w:tcBorders>
              <w:top w:val="single" w:sz="8" w:color="CCEEFF"/>
            </w:tcBorders>
            <w:vMerge w:val="restart"/>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jc w:val="right"/>
              <w:ind w:right="81"/>
              <w:spacing w:after="0" w:line="149"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86"/>
        </w:trPr>
        <w:tc>
          <w:tcPr>
            <w:tcW w:w="73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60" w:type="dxa"/>
            <w:vAlign w:val="bottom"/>
            <w:gridSpan w:val="2"/>
          </w:tcPr>
          <w:p>
            <w:pPr>
              <w:jc w:val="right"/>
              <w:ind w:right="141"/>
              <w:spacing w:after="0" w:line="83" w:lineRule="exact"/>
              <w:rPr>
                <w:sz w:val="20"/>
                <w:szCs w:val="20"/>
                <w:color w:val="auto"/>
              </w:rPr>
            </w:pPr>
            <w:r>
              <w:rPr>
                <w:rFonts w:ascii="Times New Roman" w:cs="Times New Roman" w:eastAsia="Times New Roman" w:hAnsi="Times New Roman"/>
                <w:sz w:val="9"/>
                <w:szCs w:val="9"/>
                <w:color w:val="auto"/>
              </w:rPr>
              <w:t>(25,358</w:t>
            </w:r>
          </w:p>
        </w:tc>
        <w:tc>
          <w:tcPr>
            <w:tcW w:w="1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196" w:lineRule="auto"/>
        <w:tabs>
          <w:tab w:leader="none" w:pos="285" w:val="left"/>
        </w:tabs>
        <w:numPr>
          <w:ilvl w:val="0"/>
          <w:numId w:val="8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described in Note 2, Restatement of financial statements to these consolidated financial statements, we have restated the consolidated financial statements for the years ended December 31, 2020 and 2019.</w:t>
      </w:r>
    </w:p>
    <w:p>
      <w:pPr>
        <w:jc w:val="both"/>
        <w:ind w:left="285" w:hanging="285"/>
        <w:spacing w:after="0" w:line="204" w:lineRule="auto"/>
        <w:tabs>
          <w:tab w:leader="none" w:pos="285" w:val="left"/>
        </w:tabs>
        <w:numPr>
          <w:ilvl w:val="0"/>
          <w:numId w:val="8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Retroactively restated for the reverse recapitalization upon completion of Business Combination as described in Note 1. Net income (loss) per share information has not been presented for the years ended December 31, 2021, 2020 and 2019 as there are no common shares outstanding upon retroactive restatement resulting from Business Combination as described in Note 1.</w:t>
      </w:r>
    </w:p>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02" w:name="page203"/>
    <w:bookmarkEnd w:id="20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REDEEMABLE NON-CONTROLLING INTEREST, REDEEMABLE PREFERRED NON-</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CONTROLLING INTEREST AND STOCKHOLDERS’ (DEFICIT) EQUITY</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unit data)</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preferred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1780" w:type="dxa"/>
            <w:vAlign w:val="bottom"/>
            <w:gridSpan w:val="4"/>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Legacy Common Units</w:t>
            </w:r>
          </w:p>
        </w:tc>
        <w:tc>
          <w:tcPr>
            <w:tcW w:w="100" w:type="dxa"/>
            <w:vAlign w:val="bottom"/>
            <w:vMerge w:val="restart"/>
          </w:tcPr>
          <w:p>
            <w:pPr>
              <w:spacing w:after="0"/>
              <w:rPr>
                <w:sz w:val="16"/>
                <w:szCs w:val="16"/>
                <w:color w:val="auto"/>
              </w:rPr>
            </w:pPr>
          </w:p>
        </w:tc>
        <w:tc>
          <w:tcPr>
            <w:tcW w:w="17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D common stock</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non-</w:t>
            </w:r>
          </w:p>
        </w:tc>
        <w:tc>
          <w:tcPr>
            <w:tcW w:w="10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800" w:type="dxa"/>
            <w:vAlign w:val="bottom"/>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204"/>
        </w:trPr>
        <w:tc>
          <w:tcPr>
            <w:tcW w:w="2560" w:type="dxa"/>
            <w:vAlign w:val="bottom"/>
          </w:tcPr>
          <w:p>
            <w:pPr>
              <w:spacing w:after="0"/>
              <w:rPr>
                <w:sz w:val="17"/>
                <w:szCs w:val="17"/>
                <w:color w:val="auto"/>
              </w:rPr>
            </w:pPr>
          </w:p>
        </w:tc>
        <w:tc>
          <w:tcPr>
            <w:tcW w:w="1780" w:type="dxa"/>
            <w:vAlign w:val="bottom"/>
            <w:tcBorders>
              <w:bottom w:val="single" w:sz="8" w:color="auto"/>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780" w:type="dxa"/>
            <w:vAlign w:val="bottom"/>
            <w:tcBorders>
              <w:bottom w:val="single" w:sz="8" w:color="auto"/>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controlling</w:t>
            </w:r>
          </w:p>
        </w:tc>
        <w:tc>
          <w:tcPr>
            <w:tcW w:w="98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interests</w:t>
            </w:r>
          </w:p>
        </w:tc>
        <w:tc>
          <w:tcPr>
            <w:tcW w:w="10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01"/>
              <w:spacing w:after="0" w:line="212" w:lineRule="exact"/>
              <w:rPr>
                <w:sz w:val="20"/>
                <w:szCs w:val="20"/>
                <w:color w:val="auto"/>
              </w:rPr>
            </w:pPr>
            <w:r>
              <w:rPr>
                <w:rFonts w:ascii="Times New Roman" w:cs="Times New Roman" w:eastAsia="Times New Roman" w:hAnsi="Times New Roman"/>
                <w:sz w:val="15"/>
                <w:szCs w:val="15"/>
                <w:b w:val="1"/>
                <w:bCs w:val="1"/>
                <w:color w:val="auto"/>
              </w:rPr>
              <w:t xml:space="preserve">Equity </w:t>
            </w:r>
            <w:r>
              <w:rPr>
                <w:rFonts w:ascii="Times New Roman" w:cs="Times New Roman" w:eastAsia="Times New Roman" w:hAnsi="Times New Roman"/>
                <w:sz w:val="24"/>
                <w:szCs w:val="24"/>
                <w:b w:val="1"/>
                <w:bCs w:val="1"/>
                <w:color w:val="auto"/>
                <w:vertAlign w:val="superscript"/>
              </w:rPr>
              <w:t>(1)</w:t>
            </w:r>
          </w:p>
        </w:tc>
        <w:tc>
          <w:tcPr>
            <w:tcW w:w="960" w:type="dxa"/>
            <w:vAlign w:val="bottom"/>
            <w:gridSpan w:val="3"/>
          </w:tcPr>
          <w:p>
            <w:pPr>
              <w:jc w:val="center"/>
              <w:ind w:right="80"/>
              <w:spacing w:after="0" w:line="212" w:lineRule="exact"/>
              <w:rPr>
                <w:sz w:val="20"/>
                <w:szCs w:val="20"/>
                <w:color w:val="auto"/>
              </w:rPr>
            </w:pPr>
            <w:r>
              <w:rPr>
                <w:rFonts w:ascii="Times New Roman" w:cs="Times New Roman" w:eastAsia="Times New Roman" w:hAnsi="Times New Roman"/>
                <w:sz w:val="15"/>
                <w:szCs w:val="15"/>
                <w:b w:val="1"/>
                <w:bCs w:val="1"/>
                <w:color w:val="auto"/>
                <w:w w:val="99"/>
              </w:rPr>
              <w:t xml:space="preserve">interests </w:t>
            </w:r>
            <w:r>
              <w:rPr>
                <w:rFonts w:ascii="Times New Roman" w:cs="Times New Roman" w:eastAsia="Times New Roman" w:hAnsi="Times New Roman"/>
                <w:sz w:val="24"/>
                <w:szCs w:val="24"/>
                <w:b w:val="1"/>
                <w:bCs w:val="1"/>
                <w:color w:val="auto"/>
                <w:w w:val="99"/>
                <w:vertAlign w:val="superscript"/>
              </w:rPr>
              <w:t>(1)</w:t>
            </w:r>
          </w:p>
        </w:tc>
        <w:tc>
          <w:tcPr>
            <w:tcW w:w="980" w:type="dxa"/>
            <w:vAlign w:val="bottom"/>
            <w:gridSpan w:val="3"/>
          </w:tcPr>
          <w:p>
            <w:pPr>
              <w:ind w:left="60"/>
              <w:spacing w:after="0" w:line="212" w:lineRule="exact"/>
              <w:rPr>
                <w:sz w:val="20"/>
                <w:szCs w:val="20"/>
                <w:color w:val="auto"/>
              </w:rPr>
            </w:pPr>
            <w:r>
              <w:rPr>
                <w:rFonts w:ascii="Times New Roman" w:cs="Times New Roman" w:eastAsia="Times New Roman" w:hAnsi="Times New Roman"/>
                <w:sz w:val="15"/>
                <w:szCs w:val="15"/>
                <w:b w:val="1"/>
                <w:bCs w:val="1"/>
                <w:color w:val="auto"/>
              </w:rPr>
              <w:t xml:space="preserve">interests </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159"/>
        </w:trPr>
        <w:tc>
          <w:tcPr>
            <w:tcW w:w="256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2018, as previously</w:t>
            </w: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(7,418)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56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6"/>
                <w:szCs w:val="26"/>
                <w:color w:val="auto"/>
                <w:vertAlign w:val="superscript"/>
              </w:rPr>
              <w:t>(1)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3,078</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restated</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20" w:type="dxa"/>
            <w:vAlign w:val="bottom"/>
            <w:tcBorders>
              <w:top w:val="single" w:sz="8" w:color="CCEEFF"/>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Retroactive application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560" w:type="dxa"/>
            <w:vAlign w:val="bottom"/>
          </w:tcPr>
          <w:p>
            <w:pPr>
              <w:ind w:left="140"/>
              <w:spacing w:after="0" w:line="248" w:lineRule="exact"/>
              <w:rPr>
                <w:sz w:val="20"/>
                <w:szCs w:val="20"/>
                <w:color w:val="auto"/>
              </w:rPr>
            </w:pPr>
            <w:r>
              <w:rPr>
                <w:rFonts w:ascii="Times New Roman" w:cs="Times New Roman" w:eastAsia="Times New Roman" w:hAnsi="Times New Roman"/>
                <w:sz w:val="16"/>
                <w:szCs w:val="16"/>
                <w:color w:val="auto"/>
              </w:rPr>
              <w:t xml:space="preserve">recapitalization </w:t>
            </w:r>
            <w:r>
              <w:rPr>
                <w:rFonts w:ascii="Times New Roman" w:cs="Times New Roman" w:eastAsia="Times New Roman" w:hAnsi="Times New Roman"/>
                <w:sz w:val="26"/>
                <w:szCs w:val="26"/>
                <w:color w:val="auto"/>
                <w:vertAlign w:val="superscript"/>
              </w:rPr>
              <w:t>(2)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7,418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(5,211)</w:t>
            </w: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2018, as adjusted</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3"/>
        </w:trPr>
        <w:tc>
          <w:tcPr>
            <w:tcW w:w="25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80"/>
              <w:spacing w:after="0" w:line="173"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(5,249)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Contributions from 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30,057</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Distributions to 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76"/>
        </w:trPr>
        <w:tc>
          <w:tcPr>
            <w:tcW w:w="256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December 31, 2019</w:t>
            </w: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580"/>
              <w:spacing w:after="0" w:line="173" w:lineRule="exact"/>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bottom w:val="single" w:sz="8" w:color="CCEEFF"/>
              <w:right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22,498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Issuance of non-redeemable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6,698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1,834</w:t>
            </w: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Contributions from 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15,128</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Distributions to 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Assignment of related party loan and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line of credit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80"/>
              <w:spacing w:after="0" w:line="173"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(804)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41,573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Issuance of non-redeemable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56,231</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56,231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3,158</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Issuance to Redeemable preferred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(29,913)</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(29,913)</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Acquisition of non-controlling interest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5"/>
                <w:szCs w:val="15"/>
                <w:color w:val="auto"/>
              </w:rPr>
            </w:pPr>
          </w:p>
        </w:tc>
        <w:tc>
          <w:tcPr>
            <w:tcW w:w="96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(9,124)</w:t>
            </w: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Contributions from 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7,531</w:t>
            </w: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Distributions to 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224"/>
        </w:trPr>
        <w:tc>
          <w:tcPr>
            <w:tcW w:w="256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 xml:space="preserve">Deconsolidation of entities </w:t>
            </w:r>
            <w:r>
              <w:rPr>
                <w:rFonts w:ascii="Times New Roman" w:cs="Times New Roman" w:eastAsia="Times New Roman" w:hAnsi="Times New Roman"/>
                <w:sz w:val="26"/>
                <w:szCs w:val="26"/>
                <w:color w:val="auto"/>
                <w:vertAlign w:val="superscript"/>
              </w:rPr>
              <w:t>(4)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(30,679)</w:t>
            </w:r>
          </w:p>
        </w:tc>
        <w:tc>
          <w:tcPr>
            <w:tcW w:w="100" w:type="dxa"/>
            <w:vAlign w:val="bottom"/>
          </w:tcPr>
          <w:p>
            <w:pPr>
              <w:spacing w:after="0"/>
              <w:rPr>
                <w:sz w:val="19"/>
                <w:szCs w:val="19"/>
                <w:color w:val="auto"/>
              </w:rPr>
            </w:pP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(30,679)</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Paid-in-kind preferred dividends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4"/>
        </w:trPr>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30,210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63,545</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196" w:lineRule="auto"/>
        <w:tabs>
          <w:tab w:leader="none" w:pos="285"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described in Note 2, Restatement of financial statements to these consolidated financial statements, we have restated the consolidated financial statements for the years ended December 31, 2020 and 2019.</w:t>
      </w:r>
    </w:p>
    <w:p>
      <w:pPr>
        <w:ind w:left="285" w:hanging="285"/>
        <w:spacing w:after="0" w:line="187" w:lineRule="auto"/>
        <w:tabs>
          <w:tab w:leader="none" w:pos="285" w:val="left"/>
        </w:tabs>
        <w:numPr>
          <w:ilvl w:val="0"/>
          <w:numId w:val="9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Retroactively restated for the reverse recapitalization upon completion of Business Combination as described in Note 1.</w:t>
      </w:r>
    </w:p>
    <w:p>
      <w:pPr>
        <w:spacing w:after="0" w:line="1" w:lineRule="exact"/>
        <w:rPr>
          <w:rFonts w:ascii="Times New Roman" w:cs="Times New Roman" w:eastAsia="Times New Roman" w:hAnsi="Times New Roman"/>
          <w:sz w:val="21"/>
          <w:szCs w:val="21"/>
          <w:color w:val="auto"/>
          <w:vertAlign w:val="superscript"/>
        </w:rPr>
      </w:pPr>
    </w:p>
    <w:p>
      <w:pPr>
        <w:ind w:left="285" w:right="20" w:hanging="285"/>
        <w:spacing w:after="0" w:line="187" w:lineRule="auto"/>
        <w:tabs>
          <w:tab w:leader="none" w:pos="285"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As of December 31, 2021, two of our RNG facilities, Pine Bend and Noble Road ( defined below) were deconsolidated and accounted for under equity method as per ASC 323. Please refer to Note 6, </w:t>
      </w:r>
      <w:r>
        <w:rPr>
          <w:rFonts w:ascii="Times New Roman" w:cs="Times New Roman" w:eastAsia="Times New Roman" w:hAnsi="Times New Roman"/>
          <w:sz w:val="16"/>
          <w:szCs w:val="16"/>
          <w:i w:val="1"/>
          <w:iCs w:val="1"/>
          <w:color w:val="auto"/>
        </w:rPr>
        <w:t>Investment in Other Entities</w:t>
      </w:r>
      <w:r>
        <w:rPr>
          <w:rFonts w:ascii="Times New Roman" w:cs="Times New Roman" w:eastAsia="Times New Roman" w:hAnsi="Times New Roman"/>
          <w:sz w:val="16"/>
          <w:szCs w:val="16"/>
          <w:color w:val="auto"/>
        </w:rPr>
        <w:t xml:space="preserve"> and Note 17, </w:t>
      </w:r>
      <w:r>
        <w:rPr>
          <w:rFonts w:ascii="Times New Roman" w:cs="Times New Roman" w:eastAsia="Times New Roman" w:hAnsi="Times New Roman"/>
          <w:sz w:val="16"/>
          <w:szCs w:val="16"/>
          <w:i w:val="1"/>
          <w:iCs w:val="1"/>
          <w:color w:val="auto"/>
        </w:rPr>
        <w:t>Variable Interest Entities</w:t>
      </w:r>
      <w:r>
        <w:rPr>
          <w:rFonts w:ascii="Times New Roman" w:cs="Times New Roman" w:eastAsia="Times New Roman" w:hAnsi="Times New Roman"/>
          <w:sz w:val="16"/>
          <w:szCs w:val="16"/>
          <w:color w:val="auto"/>
        </w:rPr>
        <w:t xml:space="preserve"> for additional information.</w:t>
      </w:r>
    </w:p>
    <w:p>
      <w:pPr>
        <w:spacing w:after="0" w:line="172" w:lineRule="exact"/>
        <w:rPr>
          <w:rFonts w:ascii="Times New Roman" w:cs="Times New Roman" w:eastAsia="Times New Roman" w:hAnsi="Times New Roman"/>
          <w:sz w:val="26"/>
          <w:szCs w:val="26"/>
          <w:color w:val="auto"/>
          <w:vertAlign w:val="superscript"/>
        </w:rPr>
      </w:pPr>
    </w:p>
    <w:p>
      <w:pPr>
        <w:ind w:left="285" w:right="20" w:hanging="285"/>
        <w:spacing w:after="0" w:line="196" w:lineRule="auto"/>
        <w:tabs>
          <w:tab w:leader="none" w:pos="285"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Times New Roman" w:cs="Times New Roman" w:eastAsia="Times New Roman" w:hAnsi="Times New Roman"/>
          <w:sz w:val="16"/>
          <w:szCs w:val="16"/>
          <w:i w:val="1"/>
          <w:iCs w:val="1"/>
          <w:color w:val="auto"/>
        </w:rPr>
        <w:t>Description of Business</w:t>
      </w:r>
      <w:r>
        <w:rPr>
          <w:rFonts w:ascii="Times New Roman" w:cs="Times New Roman" w:eastAsia="Times New Roman" w:hAnsi="Times New Roman"/>
          <w:sz w:val="16"/>
          <w:szCs w:val="16"/>
          <w:color w:val="auto"/>
        </w:rPr>
        <w:t xml:space="preserve"> for additional information.</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03" w:name="page204"/>
    <w:bookmarkEnd w:id="20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5"/>
              </w:rPr>
              <w:t>(Restated)</w:t>
            </w:r>
            <w:r>
              <w:rPr>
                <w:rFonts w:ascii="Times New Roman" w:cs="Times New Roman" w:eastAsia="Times New Roman" w:hAnsi="Times New Roman"/>
                <w:sz w:val="26"/>
                <w:szCs w:val="26"/>
                <w:b w:val="1"/>
                <w:bCs w:val="1"/>
                <w:color w:val="auto"/>
                <w:w w:val="95"/>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(25,371)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equity method investments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(Recovery) provision for bad debts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10,078</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7,854</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PPA liability</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Paid-in-kind interest expense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loss on derivative financial instruments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(19,818)</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(15,025)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Write-off of capitalized development costs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sale/disposal of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termination of PPA</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PPP loan forgiveness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assets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17,689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transfer of equipment to construction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10,651</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(4,917)</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spares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Parts inventory</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(6,160)</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Fuel tax credits payable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3,662</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 current and non-current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 and other current liabilities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(89,646)</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(24,940)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intellectual property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capital spares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investment in other entity</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(27,791)</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note receivable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(10,450)</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94"/>
        </w:trPr>
        <w:tc>
          <w:tcPr>
            <w:tcW w:w="732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6"/>
                <w:szCs w:val="16"/>
                <w:color w:val="auto"/>
              </w:rPr>
              <w:t>F-50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6" w:right="319" w:bottom="1440" w:gutter="0" w:footer="0" w:header="0"/>
        </w:sectPr>
      </w:pPr>
    </w:p>
    <w:bookmarkStart w:id="204" w:name="page205"/>
    <w:bookmarkEnd w:id="20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 (Continued)</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r>
      <w:tr>
        <w:trPr>
          <w:trHeight w:val="224"/>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1"/>
              <w:spacing w:after="0" w:line="225" w:lineRule="exact"/>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41"/>
              <w:spacing w:after="0" w:line="225" w:lineRule="exact"/>
              <w:rPr>
                <w:sz w:val="20"/>
                <w:szCs w:val="20"/>
                <w:color w:val="auto"/>
              </w:rPr>
            </w:pPr>
            <w:r>
              <w:rPr>
                <w:rFonts w:ascii="Times New Roman" w:cs="Times New Roman" w:eastAsia="Times New Roman" w:hAnsi="Times New Roman"/>
                <w:sz w:val="16"/>
                <w:szCs w:val="16"/>
                <w:b w:val="1"/>
                <w:bCs w:val="1"/>
                <w:color w:val="auto"/>
                <w:w w:val="95"/>
              </w:rPr>
              <w:t>(Restated)</w:t>
            </w:r>
            <w:r>
              <w:rPr>
                <w:rFonts w:ascii="Times New Roman" w:cs="Times New Roman" w:eastAsia="Times New Roman" w:hAnsi="Times New Roman"/>
                <w:sz w:val="26"/>
                <w:szCs w:val="26"/>
                <w:b w:val="1"/>
                <w:bCs w:val="1"/>
                <w:color w:val="auto"/>
                <w:w w:val="95"/>
                <w:vertAlign w:val="superscript"/>
              </w:rPr>
              <w:t>(1)</w:t>
            </w:r>
          </w:p>
        </w:tc>
        <w:tc>
          <w:tcPr>
            <w:tcW w:w="120" w:type="dxa"/>
            <w:vAlign w:val="bottom"/>
          </w:tcPr>
          <w:p>
            <w:pPr>
              <w:spacing w:after="0"/>
              <w:rPr>
                <w:sz w:val="19"/>
                <w:szCs w:val="19"/>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acquired from business acquisition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Deconsolidation of VIEs, net of cash</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(21,208)</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termination of PPA</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disposal of plant and equipment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3,179</w:t>
            </w: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404</w:t>
            </w: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(117,204</w:t>
            </w:r>
          </w:p>
        </w:tc>
        <w:tc>
          <w:tcPr>
            <w:tcW w:w="22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(22,179</w:t>
            </w:r>
          </w:p>
        </w:tc>
        <w:tc>
          <w:tcPr>
            <w:tcW w:w="140" w:type="dxa"/>
            <w:vAlign w:val="bottom"/>
            <w:tcBorders>
              <w:top w:val="single" w:sz="8" w:color="CCEEFF"/>
              <w:bottom w:val="single" w:sz="8" w:color="CCEEFF"/>
            </w:tcBorders>
          </w:tcPr>
          <w:p>
            <w:pPr>
              <w:jc w:val="right"/>
              <w:ind w:right="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(29,848</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line of credit – affiliate</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1,300</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OPAL term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Sunoma loan</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15,679</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notes payable and long-term debt,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Pr>
          <w:p>
            <w:pPr>
              <w:spacing w:after="0"/>
              <w:rPr>
                <w:sz w:val="16"/>
                <w:szCs w:val="16"/>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Senior secured facility – term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(4,901)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Senior secured facility – working capital facility</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(5,182)</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Municipality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Trustar revolver facility</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PPP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21,579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7,804</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non-controlling interest, related party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16,639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 related party</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13,361</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member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member</w:t>
            </w:r>
          </w:p>
        </w:tc>
        <w:tc>
          <w:tcPr>
            <w:tcW w:w="240" w:type="dxa"/>
            <w:vAlign w:val="bottom"/>
          </w:tcPr>
          <w:p>
            <w:pPr>
              <w:spacing w:after="0"/>
              <w:rPr>
                <w:sz w:val="17"/>
                <w:szCs w:val="17"/>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7,531</w:t>
            </w: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15,128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30,057</w:t>
            </w: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4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26,666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(857)</w:t>
            </w:r>
          </w:p>
        </w:tc>
        <w:tc>
          <w:tcPr>
            <w:tcW w:w="120" w:type="dxa"/>
            <w:vAlign w:val="bottom"/>
          </w:tcPr>
          <w:p>
            <w:pPr>
              <w:spacing w:after="0"/>
              <w:rPr>
                <w:sz w:val="15"/>
                <w:szCs w:val="15"/>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15,388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13,827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14,684</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42,054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15,388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13,827</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 net of $756 and $0 capitalized, respectively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4,339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6,243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4,622</w:t>
            </w:r>
          </w:p>
        </w:tc>
      </w:tr>
      <w:tr>
        <w:trPr>
          <w:trHeight w:val="19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2"/>
        </w:trPr>
        <w:tc>
          <w:tcPr>
            <w:tcW w:w="73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Fair value of contingent consideration to redeem the non- controlling interest included in other long-term</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 on redeemable preferred units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notes payable related to business acquisition, excluding paid-in-kind interest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55,410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73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Accrual for purchase of Property, plant and equipment included in Accrued capital expenses and Accounts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9"/>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w:t>
            </w:r>
          </w:p>
        </w:tc>
        <w:tc>
          <w:tcPr>
            <w:tcW w:w="2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6,205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3,300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Accrual for deferred financing costs included in Accrued expenses and other current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Assignment of debt to Parent Company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bl>
    <w:p>
      <w:pPr>
        <w:spacing w:after="0" w:line="170" w:lineRule="exact"/>
        <w:rPr>
          <w:sz w:val="20"/>
          <w:szCs w:val="20"/>
          <w:color w:val="auto"/>
        </w:rPr>
      </w:pPr>
    </w:p>
    <w:p>
      <w:pPr>
        <w:ind w:left="285" w:hanging="285"/>
        <w:spacing w:after="0" w:line="278" w:lineRule="auto"/>
        <w:tabs>
          <w:tab w:leader="none" w:pos="285"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spacing w:after="0" w:line="1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Description of Business</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OPAL Fuels Inc. (including its subsidiaries,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engaged in the business of producing and distributing renewable natural gas (</w:t>
      </w:r>
      <w:r>
        <w:rPr>
          <w:rFonts w:ascii="Times New Roman" w:cs="Times New Roman" w:eastAsia="Times New Roman" w:hAnsi="Times New Roman"/>
          <w:sz w:val="16"/>
          <w:szCs w:val="16"/>
          <w:b w:val="1"/>
          <w:bCs w:val="1"/>
          <w:color w:val="auto"/>
        </w:rPr>
        <w:t>“RNG”</w:t>
      </w:r>
      <w:r>
        <w:rPr>
          <w:rFonts w:ascii="Times New Roman" w:cs="Times New Roman" w:eastAsia="Times New Roman" w:hAnsi="Times New Roman"/>
          <w:sz w:val="16"/>
          <w:szCs w:val="16"/>
          <w:color w:val="auto"/>
        </w:rPr>
        <w:t>) to power transportation throughout the United States. The Company owns RNG production facilities that are in operation, under construction, and in late-stage development. OPAL Fuels Inc. also constructs, owns and services fueling stations that dispense RNG and compressed natural gas (</w:t>
      </w:r>
      <w:r>
        <w:rPr>
          <w:rFonts w:ascii="Times New Roman" w:cs="Times New Roman" w:eastAsia="Times New Roman" w:hAnsi="Times New Roman"/>
          <w:sz w:val="16"/>
          <w:szCs w:val="16"/>
          <w:b w:val="1"/>
          <w:bCs w:val="1"/>
          <w:color w:val="auto"/>
        </w:rPr>
        <w:t>“CNG”</w:t>
      </w:r>
      <w:r>
        <w:rPr>
          <w:rFonts w:ascii="Times New Roman" w:cs="Times New Roman" w:eastAsia="Times New Roman" w:hAnsi="Times New Roman"/>
          <w:sz w:val="16"/>
          <w:szCs w:val="16"/>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Times New Roman" w:cs="Times New Roman" w:eastAsia="Times New Roman" w:hAnsi="Times New Roman"/>
          <w:sz w:val="16"/>
          <w:szCs w:val="16"/>
          <w:b w:val="1"/>
          <w:bCs w:val="1"/>
          <w:color w:val="auto"/>
        </w:rPr>
        <w:t>“Parent”</w:t>
      </w:r>
      <w:r>
        <w:rPr>
          <w:rFonts w:ascii="Times New Roman" w:cs="Times New Roman" w:eastAsia="Times New Roman" w:hAnsi="Times New Roman"/>
          <w:sz w:val="16"/>
          <w:szCs w:val="16"/>
          <w:color w:val="auto"/>
        </w:rPr>
        <w:t xml:space="preserve">) which, in turn, is an indirect subsidiary of Fortistar LLC (the </w:t>
      </w:r>
      <w:r>
        <w:rPr>
          <w:rFonts w:ascii="Times New Roman" w:cs="Times New Roman" w:eastAsia="Times New Roman" w:hAnsi="Times New Roman"/>
          <w:sz w:val="16"/>
          <w:szCs w:val="16"/>
          <w:b w:val="1"/>
          <w:bCs w:val="1"/>
          <w:color w:val="auto"/>
        </w:rPr>
        <w:t>“Ultimate Parent”</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On November 29, 2021, the Company amended its limited liability agreement (“LLCA”) which converted the outstanding membership interests into 986 common units. Therefore, the earnings per unit has been presented retrospectively for all periods presented in the consolidated financial statements. See Note 3, </w:t>
      </w:r>
      <w:r>
        <w:rPr>
          <w:rFonts w:ascii="Times New Roman" w:cs="Times New Roman" w:eastAsia="Times New Roman" w:hAnsi="Times New Roman"/>
          <w:sz w:val="16"/>
          <w:szCs w:val="16"/>
          <w:i w:val="1"/>
          <w:iCs w:val="1"/>
          <w:color w:val="auto"/>
        </w:rPr>
        <w:t>Summary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for additional information.</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for additional information.</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 Description of Business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COVID-19 Impact</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In March 2020, the World Health Organization categorized the Coronavirus Disease 2019 (</w:t>
      </w:r>
      <w:r>
        <w:rPr>
          <w:rFonts w:ascii="Times New Roman" w:cs="Times New Roman" w:eastAsia="Times New Roman" w:hAnsi="Times New Roman"/>
          <w:sz w:val="16"/>
          <w:szCs w:val="16"/>
          <w:b w:val="1"/>
          <w:bCs w:val="1"/>
          <w:color w:val="auto"/>
        </w:rPr>
        <w:t>“COVID-19”</w:t>
      </w:r>
      <w:r>
        <w:rPr>
          <w:rFonts w:ascii="Times New Roman" w:cs="Times New Roman" w:eastAsia="Times New Roman" w:hAnsi="Times New Roman"/>
          <w:sz w:val="16"/>
          <w:szCs w:val="16"/>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59"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March 27, 2020, the “Coronavirus Aid, Relief, and Economic Security (CARES) Act” was signed into law. The CARES Act appropriated funds for the Small Business Administration Paycheck Protection Program (</w:t>
      </w:r>
      <w:r>
        <w:rPr>
          <w:rFonts w:ascii="Times New Roman" w:cs="Times New Roman" w:eastAsia="Times New Roman" w:hAnsi="Times New Roman"/>
          <w:sz w:val="16"/>
          <w:szCs w:val="16"/>
          <w:b w:val="1"/>
          <w:bCs w:val="1"/>
          <w:color w:val="auto"/>
        </w:rPr>
        <w:t>“PPP”</w:t>
      </w:r>
      <w:r>
        <w:rPr>
          <w:rFonts w:ascii="Times New Roman" w:cs="Times New Roman" w:eastAsia="Times New Roman" w:hAnsi="Times New Roman"/>
          <w:sz w:val="16"/>
          <w:szCs w:val="16"/>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 Description of Business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45" w:lineRule="exact"/>
        <w:rPr>
          <w:sz w:val="20"/>
          <w:szCs w:val="20"/>
          <w:color w:val="auto"/>
        </w:rPr>
      </w:pPr>
    </w:p>
    <w:p>
      <w:pPr>
        <w:ind w:left="560" w:right="20" w:hanging="282"/>
        <w:spacing w:after="0" w:line="275" w:lineRule="auto"/>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cash balance as of December 31, 2021 was $42,054, out of which $2,740 is restricted.</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$94,988 of our outstanding debt excluding interest repayment due on Sunoma loan coming due in 2022 which is reflected in our working capital deficit of $55,141.</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also considered our projected capital expenditures to fund our growth plans.</w:t>
      </w:r>
    </w:p>
    <w:p>
      <w:pPr>
        <w:spacing w:after="0" w:line="194"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145" w:lineRule="exact"/>
        <w:rPr>
          <w:sz w:val="20"/>
          <w:szCs w:val="20"/>
          <w:color w:val="auto"/>
        </w:rPr>
      </w:pPr>
    </w:p>
    <w:p>
      <w:pPr>
        <w:jc w:val="both"/>
        <w:ind w:left="560" w:hanging="282"/>
        <w:spacing w:after="0" w:line="261"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56" w:lineRule="exact"/>
        <w:rPr>
          <w:sz w:val="20"/>
          <w:szCs w:val="20"/>
          <w:color w:val="auto"/>
        </w:rPr>
      </w:pPr>
    </w:p>
    <w:p>
      <w:pPr>
        <w:jc w:val="both"/>
        <w:ind w:left="560" w:hanging="282"/>
        <w:spacing w:after="0" w:line="256"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60" w:lineRule="exact"/>
        <w:rPr>
          <w:sz w:val="20"/>
          <w:szCs w:val="20"/>
          <w:color w:val="auto"/>
        </w:rPr>
      </w:pPr>
    </w:p>
    <w:p>
      <w:pPr>
        <w:ind w:left="560" w:right="20" w:hanging="282"/>
        <w:spacing w:after="0" w:line="275"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56"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6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our projected revenues for 2022 are already under existing fixed contract arrangements.</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ability to postpone our uncommitted capital expenditures without significantly impacting our revenue generation capabilities for the upcoming 12 months from the date of the financial statements are issued.</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that we would be able to pay the debt coming due in 2022 with the availability under the existing facilities together with the cash on hand and cash flows from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 Description of Business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connection with consummation of the Business Combination, the events summarized below, among others, occurred:</w:t>
      </w:r>
    </w:p>
    <w:p>
      <w:pPr>
        <w:spacing w:after="0" w:line="194" w:lineRule="exact"/>
        <w:rPr>
          <w:sz w:val="20"/>
          <w:szCs w:val="20"/>
          <w:color w:val="auto"/>
        </w:rPr>
      </w:pPr>
    </w:p>
    <w:p>
      <w:pPr>
        <w:jc w:val="both"/>
        <w:ind w:left="560" w:hanging="282"/>
        <w:spacing w:after="0" w:line="256" w:lineRule="auto"/>
        <w:tabs>
          <w:tab w:leader="none" w:pos="5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condensed consolidated financial statements. Each Class B unit is paired with 1 non-economic share of Class D common stock issued by the Company.</w:t>
      </w:r>
    </w:p>
    <w:p>
      <w:pPr>
        <w:spacing w:after="0" w:line="160" w:lineRule="exact"/>
        <w:rPr>
          <w:rFonts w:ascii="Times New Roman" w:cs="Times New Roman" w:eastAsia="Times New Roman" w:hAnsi="Times New Roman"/>
          <w:sz w:val="16"/>
          <w:szCs w:val="16"/>
          <w:color w:val="auto"/>
        </w:rPr>
      </w:pPr>
    </w:p>
    <w:p>
      <w:pPr>
        <w:jc w:val="both"/>
        <w:ind w:left="560" w:hanging="282"/>
        <w:spacing w:after="0" w:line="278" w:lineRule="auto"/>
        <w:tabs>
          <w:tab w:leader="none" w:pos="56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ArcLight (i) contributed to OPAL Fuels $138,850 in cash net of transaction expenses of $9.7 million,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7" w:lineRule="exact"/>
        <w:rPr>
          <w:sz w:val="20"/>
          <w:szCs w:val="20"/>
          <w:color w:val="auto"/>
        </w:rPr>
      </w:pPr>
    </w:p>
    <w:p>
      <w:pPr>
        <w:ind w:left="560" w:hanging="282"/>
        <w:spacing w:after="0"/>
        <w:tabs>
          <w:tab w:leader="none" w:pos="5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issued 25,671,390 Class A Units of OPAL Fuels to the Company; and</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145"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components of Stockholders’ equity have been retroactively restated reflecting the reverse recapitalization. The name of the Company was retroactively changed from OPAL Fuels LLC to OPAL Fuels Inc.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Restatements of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consolidated balance sheet as of December 31, 2020, consolidated statements of operations for the years ended December 31, 2020 and 2019, consolidated statements of changes in stockholders’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commodity swap contracts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 Restatements of Financial Statements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jc w:val="both"/>
        <w:ind w:right="20" w:firstLine="283"/>
        <w:spacing w:after="0" w:line="262" w:lineRule="auto"/>
        <w:rPr>
          <w:sz w:val="20"/>
          <w:szCs w:val="20"/>
          <w:color w:val="auto"/>
        </w:rPr>
      </w:pPr>
      <w:r>
        <w:rPr>
          <w:rFonts w:ascii="Times New Roman" w:cs="Times New Roman" w:eastAsia="Times New Roman" w:hAnsi="Times New Roman"/>
          <w:sz w:val="16"/>
          <w:szCs w:val="16"/>
          <w:color w:val="auto"/>
        </w:rPr>
        <w:t xml:space="preserve">The Company concluded that these two contracts were economic hedges against market price volatility and are considered as derivatives under ASC 815 </w:t>
      </w:r>
      <w:r>
        <w:rPr>
          <w:rFonts w:ascii="Times New Roman" w:cs="Times New Roman" w:eastAsia="Times New Roman" w:hAnsi="Times New Roman"/>
          <w:sz w:val="16"/>
          <w:szCs w:val="16"/>
          <w:i w:val="1"/>
          <w:iCs w:val="1"/>
          <w:color w:val="auto"/>
        </w:rPr>
        <w:t>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Hedging, </w:t>
      </w:r>
      <w:r>
        <w:rPr>
          <w:rFonts w:ascii="Times New Roman" w:cs="Times New Roman" w:eastAsia="Times New Roman" w:hAnsi="Times New Roman"/>
          <w:sz w:val="16"/>
          <w:szCs w:val="16"/>
          <w:color w:val="auto"/>
        </w:rPr>
        <w:t>which required the Company to record mark to market unrealized gain (loss) in its consolidated statements of operations and a corresponding asset or liability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remaining contract period on the consolidated balance sheets as of and for the years ended December 31, 2020, 2019 and 2018.</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taxes collected on behalf of customers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recording of invoices in the wrong period</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information in the following tables shows the effect of the restatement on each affected financial statement line item: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3"/>
        </w:trPr>
        <w:tc>
          <w:tcPr>
            <w:tcW w:w="4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460"/>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189"/>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asset – current portion</w:t>
            </w:r>
          </w:p>
        </w:tc>
        <w:tc>
          <w:tcPr>
            <w:tcW w:w="3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50,395</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810</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51,205</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asset – non-current portion</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76,192</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79,492</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164,629</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169,458</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Accrued capital expenses</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3,300</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Retained deficit</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(26,925)</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1,529</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(25,396)</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28,930</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30,459</w:t>
            </w:r>
          </w:p>
        </w:tc>
      </w:tr>
      <w:tr>
        <w:trPr>
          <w:trHeight w:val="190"/>
        </w:trPr>
        <w:tc>
          <w:tcPr>
            <w:tcW w:w="4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164,629</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169,458</w:t>
            </w:r>
          </w:p>
        </w:tc>
        <w:tc>
          <w:tcPr>
            <w:tcW w:w="120" w:type="dxa"/>
            <w:vAlign w:val="bottom"/>
            <w:tcBorders>
              <w:top w:val="single" w:sz="8" w:color="CCEEFF"/>
            </w:tcBorders>
          </w:tcPr>
          <w:p>
            <w:pPr>
              <w:spacing w:after="0"/>
              <w:rPr>
                <w:sz w:val="16"/>
                <w:szCs w:val="16"/>
                <w:color w:val="auto"/>
              </w:rPr>
            </w:pPr>
          </w:p>
        </w:tc>
      </w:tr>
      <w:tr>
        <w:trPr>
          <w:trHeight w:val="553"/>
        </w:trPr>
        <w:tc>
          <w:tcPr>
            <w:tcW w:w="4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jc w:val="right"/>
              <w:ind w:right="1640"/>
              <w:spacing w:after="0"/>
              <w:rPr>
                <w:sz w:val="20"/>
                <w:szCs w:val="20"/>
                <w:color w:val="auto"/>
              </w:rPr>
            </w:pPr>
            <w:r>
              <w:rPr>
                <w:rFonts w:ascii="Times New Roman" w:cs="Times New Roman" w:eastAsia="Times New Roman" w:hAnsi="Times New Roman"/>
                <w:sz w:val="16"/>
                <w:szCs w:val="16"/>
                <w:color w:val="auto"/>
              </w:rPr>
              <w:t>F-57</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6" w:right="31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2. Restatements of Financial Statements </w:t>
            </w:r>
            <w:r>
              <w:rPr>
                <w:rFonts w:ascii="Times New Roman" w:cs="Times New Roman" w:eastAsia="Times New Roman" w:hAnsi="Times New Roman"/>
                <w:sz w:val="16"/>
                <w:szCs w:val="16"/>
                <w:color w:val="auto"/>
              </w:rPr>
              <w:t>(cont.)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3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3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asset – 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47,951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48,952</w:t>
            </w:r>
          </w:p>
        </w:tc>
        <w:tc>
          <w:tcPr>
            <w:tcW w:w="100" w:type="dxa"/>
            <w:vAlign w:val="bottom"/>
          </w:tcPr>
          <w:p>
            <w:pPr>
              <w:spacing w:after="0"/>
              <w:rPr>
                <w:sz w:val="15"/>
                <w:szCs w:val="15"/>
                <w:color w:val="auto"/>
              </w:rPr>
            </w:pPr>
          </w:p>
        </w:tc>
      </w:tr>
      <w:tr>
        <w:trPr>
          <w:trHeight w:val="189"/>
        </w:trPr>
        <w:tc>
          <w:tcPr>
            <w:tcW w:w="7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asset – non-current portion</w:t>
            </w:r>
          </w:p>
        </w:tc>
        <w:tc>
          <w:tcPr>
            <w:tcW w:w="100" w:type="dxa"/>
            <w:vAlign w:val="bottom"/>
          </w:tcPr>
          <w:p>
            <w:pPr>
              <w:spacing w:after="0"/>
              <w:rPr>
                <w:sz w:val="17"/>
                <w:szCs w:val="17"/>
                <w:color w:val="auto"/>
              </w:rPr>
            </w:pPr>
          </w:p>
        </w:tc>
        <w:tc>
          <w:tcPr>
            <w:tcW w:w="140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7"/>
                <w:szCs w:val="17"/>
                <w:color w:val="auto"/>
              </w:rPr>
            </w:pPr>
          </w:p>
        </w:tc>
      </w:tr>
      <w:tr>
        <w:trPr>
          <w:trHeight w:val="18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165,713</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168,418</w:t>
            </w:r>
          </w:p>
        </w:tc>
        <w:tc>
          <w:tcPr>
            <w:tcW w:w="100" w:type="dxa"/>
            <w:vAlign w:val="bottom"/>
            <w:tcBorders>
              <w:top w:val="single" w:sz="8" w:color="CCEEFF"/>
            </w:tcBorders>
            <w:shd w:val="clear" w:color="auto" w:fill="CCEEFF"/>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(2,743)</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r>
      <w:tr>
        <w:trPr>
          <w:trHeight w:val="173"/>
        </w:trPr>
        <w:tc>
          <w:tcPr>
            <w:tcW w:w="73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19,807</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2,705</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22,512</w:t>
            </w:r>
          </w:p>
        </w:tc>
        <w:tc>
          <w:tcPr>
            <w:tcW w:w="100" w:type="dxa"/>
            <w:vAlign w:val="bottom"/>
            <w:tcBorders>
              <w:top w:val="single" w:sz="8" w:color="CCEEFF"/>
            </w:tcBorders>
          </w:tcPr>
          <w:p>
            <w:pPr>
              <w:spacing w:after="0"/>
              <w:rPr>
                <w:sz w:val="15"/>
                <w:szCs w:val="15"/>
                <w:color w:val="auto"/>
              </w:rPr>
            </w:pPr>
          </w:p>
        </w:tc>
      </w:tr>
      <w:tr>
        <w:trPr>
          <w:trHeight w:val="189"/>
        </w:trPr>
        <w:tc>
          <w:tcPr>
            <w:tcW w:w="7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168,418</w:t>
            </w:r>
          </w:p>
        </w:tc>
        <w:tc>
          <w:tcPr>
            <w:tcW w:w="100" w:type="dxa"/>
            <w:vAlign w:val="bottom"/>
          </w:tcPr>
          <w:p>
            <w:pPr>
              <w:spacing w:after="0"/>
              <w:rPr>
                <w:sz w:val="17"/>
                <w:szCs w:val="17"/>
                <w:color w:val="auto"/>
              </w:rPr>
            </w:pPr>
          </w:p>
        </w:tc>
      </w:tr>
      <w:tr>
        <w:trPr>
          <w:trHeight w:val="24"/>
        </w:trPr>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STATEMENT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9"/>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Fiscal Year Ended December 31, 2020</w:t>
            </w:r>
          </w:p>
        </w:tc>
      </w:tr>
      <w:tr>
        <w:trPr>
          <w:trHeight w:val="182"/>
        </w:trPr>
        <w:tc>
          <w:tcPr>
            <w:tcW w:w="7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51,250</w:t>
            </w: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12,717</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(1,172)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11,545</w:t>
            </w:r>
          </w:p>
        </w:tc>
      </w:tr>
      <w:tr>
        <w:trPr>
          <w:trHeight w:val="173"/>
        </w:trPr>
        <w:tc>
          <w:tcPr>
            <w:tcW w:w="73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120,054</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600"/>
              <w:spacing w:after="0" w:line="173" w:lineRule="exact"/>
              <w:rPr>
                <w:sz w:val="20"/>
                <w:szCs w:val="20"/>
                <w:color w:val="auto"/>
              </w:rPr>
            </w:pPr>
            <w:r>
              <w:rPr>
                <w:rFonts w:ascii="Times New Roman" w:cs="Times New Roman" w:eastAsia="Times New Roman" w:hAnsi="Times New Roman"/>
                <w:sz w:val="16"/>
                <w:szCs w:val="16"/>
                <w:color w:val="auto"/>
                <w:w w:val="81"/>
              </w:rPr>
              <w:t>(2,348)</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117,706</w:t>
            </w:r>
          </w:p>
        </w:tc>
        <w:tc>
          <w:tcPr>
            <w:tcW w:w="120" w:type="dxa"/>
            <w:vAlign w:val="bottom"/>
            <w:tcBorders>
              <w:top w:val="single" w:sz="8" w:color="CCEEFF"/>
            </w:tcBorders>
          </w:tcPr>
          <w:p>
            <w:pPr>
              <w:spacing w:after="0"/>
              <w:rPr>
                <w:sz w:val="15"/>
                <w:szCs w:val="15"/>
                <w:color w:val="auto"/>
              </w:rPr>
            </w:pPr>
          </w:p>
        </w:tc>
      </w:tr>
      <w:tr>
        <w:trPr>
          <w:trHeight w:val="189"/>
        </w:trPr>
        <w:tc>
          <w:tcPr>
            <w:tcW w:w="7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8,548</w:t>
            </w:r>
          </w:p>
        </w:tc>
        <w:tc>
          <w:tcPr>
            <w:tcW w:w="140" w:type="dxa"/>
            <w:vAlign w:val="bottom"/>
          </w:tcPr>
          <w:p>
            <w:pPr>
              <w:spacing w:after="0"/>
              <w:rPr>
                <w:sz w:val="17"/>
                <w:szCs w:val="17"/>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7,376</w:t>
            </w:r>
          </w:p>
        </w:tc>
      </w:tr>
      <w:tr>
        <w:trPr>
          <w:trHeight w:val="18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1"/>
              </w:rPr>
              <w:t>(1,172)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135,542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(16,660)</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(17,836)</w:t>
            </w:r>
          </w:p>
        </w:tc>
      </w:tr>
      <w:tr>
        <w:trPr>
          <w:trHeight w:val="190"/>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81"/>
              </w:rPr>
              <w:t>(1,176)</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120" w:type="dxa"/>
            <w:vAlign w:val="bottom"/>
            <w:tcBorders>
              <w:top w:val="single" w:sz="8" w:color="CCEEFF"/>
            </w:tcBorders>
          </w:tcPr>
          <w:p>
            <w:pPr>
              <w:spacing w:after="0"/>
              <w:rPr>
                <w:sz w:val="16"/>
                <w:szCs w:val="16"/>
                <w:color w:val="auto"/>
              </w:rPr>
            </w:pPr>
          </w:p>
        </w:tc>
      </w:tr>
      <w:tr>
        <w:trPr>
          <w:trHeight w:val="385"/>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9"/>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Fiscal Year Ended December 31, 2019</w:t>
            </w:r>
          </w:p>
        </w:tc>
      </w:tr>
      <w:tr>
        <w:trPr>
          <w:trHeight w:val="182"/>
        </w:trPr>
        <w:tc>
          <w:tcPr>
            <w:tcW w:w="7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320"/>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55,682</w:t>
            </w: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9,437</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(460)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8,977</w:t>
            </w:r>
          </w:p>
        </w:tc>
      </w:tr>
      <w:tr>
        <w:trPr>
          <w:trHeight w:val="173"/>
        </w:trPr>
        <w:tc>
          <w:tcPr>
            <w:tcW w:w="73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120,535</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720"/>
              <w:spacing w:after="0" w:line="173" w:lineRule="exact"/>
              <w:rPr>
                <w:sz w:val="20"/>
                <w:szCs w:val="20"/>
                <w:color w:val="auto"/>
              </w:rPr>
            </w:pPr>
            <w:r>
              <w:rPr>
                <w:rFonts w:ascii="Times New Roman" w:cs="Times New Roman" w:eastAsia="Times New Roman" w:hAnsi="Times New Roman"/>
                <w:sz w:val="16"/>
                <w:szCs w:val="16"/>
                <w:color w:val="auto"/>
                <w:w w:val="74"/>
              </w:rPr>
              <w:t>(833)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119,702</w:t>
            </w:r>
          </w:p>
        </w:tc>
        <w:tc>
          <w:tcPr>
            <w:tcW w:w="120" w:type="dxa"/>
            <w:vAlign w:val="bottom"/>
            <w:tcBorders>
              <w:top w:val="single" w:sz="8" w:color="CCEEFF"/>
            </w:tcBorders>
          </w:tcPr>
          <w:p>
            <w:pPr>
              <w:spacing w:after="0"/>
              <w:rPr>
                <w:sz w:val="15"/>
                <w:szCs w:val="15"/>
                <w:color w:val="auto"/>
              </w:rPr>
            </w:pPr>
          </w:p>
        </w:tc>
      </w:tr>
      <w:tr>
        <w:trPr>
          <w:trHeight w:val="189"/>
        </w:trPr>
        <w:tc>
          <w:tcPr>
            <w:tcW w:w="7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5,616</w:t>
            </w:r>
          </w:p>
        </w:tc>
        <w:tc>
          <w:tcPr>
            <w:tcW w:w="140" w:type="dxa"/>
            <w:vAlign w:val="bottom"/>
          </w:tcPr>
          <w:p>
            <w:pPr>
              <w:spacing w:after="0"/>
              <w:rPr>
                <w:sz w:val="17"/>
                <w:szCs w:val="17"/>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5,156</w:t>
            </w:r>
          </w:p>
        </w:tc>
      </w:tr>
      <w:tr>
        <w:trPr>
          <w:trHeight w:val="18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115,207</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74"/>
              </w:rPr>
              <w:t>(460)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114,747</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5,328</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4,955</w:t>
            </w:r>
          </w:p>
        </w:tc>
      </w:tr>
      <w:tr>
        <w:trPr>
          <w:trHeight w:val="190"/>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w w:val="74"/>
              </w:rPr>
              <w:t>(373)</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Borders>
              <w:top w:val="single" w:sz="8" w:color="CCEEFF"/>
            </w:tcBorders>
          </w:tcPr>
          <w:p>
            <w:pPr>
              <w:spacing w:after="0"/>
              <w:rPr>
                <w:sz w:val="16"/>
                <w:szCs w:val="16"/>
                <w:color w:val="auto"/>
              </w:rPr>
            </w:pPr>
          </w:p>
        </w:tc>
      </w:tr>
      <w:tr>
        <w:trPr>
          <w:trHeight w:val="362"/>
        </w:trPr>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REDEEMABLE PREFERRED UNITS AND STOCKHOLDERS’ EQUITY (DEFICIT)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35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3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3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(26,925</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3"/>
        </w:trPr>
        <w:tc>
          <w:tcPr>
            <w:tcW w:w="35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Non-controlling interest</w:t>
            </w: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6,342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6,685</w:t>
            </w:r>
          </w:p>
        </w:tc>
        <w:tc>
          <w:tcPr>
            <w:tcW w:w="120" w:type="dxa"/>
            <w:vAlign w:val="bottom"/>
          </w:tcPr>
          <w:p>
            <w:pPr>
              <w:spacing w:after="0"/>
              <w:rPr>
                <w:sz w:val="15"/>
                <w:szCs w:val="15"/>
                <w:color w:val="auto"/>
              </w:rPr>
            </w:pPr>
          </w:p>
        </w:tc>
      </w:tr>
      <w:tr>
        <w:trPr>
          <w:trHeight w:val="189"/>
        </w:trPr>
        <w:tc>
          <w:tcPr>
            <w:tcW w:w="350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30,459</w:t>
            </w:r>
          </w:p>
        </w:tc>
      </w:tr>
      <w:tr>
        <w:trPr>
          <w:trHeight w:val="594"/>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F-58</w:t>
            </w: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6" w:right="31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 Restatements of Financial Statements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REDEEMABLE PREFERRED UNITS AND STOCKHOLDERS’ EQUITY (DEFICIT)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Adjustment</w:t>
            </w:r>
            <w:r>
              <w:rPr>
                <w:rFonts w:ascii="Times New Roman" w:cs="Times New Roman" w:eastAsia="Times New Roman" w:hAnsi="Times New Roman"/>
                <w:sz w:val="26"/>
                <w:szCs w:val="26"/>
                <w:b w:val="1"/>
                <w:bCs w:val="1"/>
                <w:color w:val="auto"/>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$3,078 adjustment to opening retained earnings as of December 31, 2018.</w:t>
      </w:r>
    </w:p>
    <w:p>
      <w:pPr>
        <w:sectPr>
          <w:pgSz w:w="11900" w:h="16838" w:orient="portrait"/>
          <w:cols w:equalWidth="0" w:num="1">
            <w:col w:w="11260"/>
          </w:cols>
          <w:pgMar w:left="320" w:top="806" w:right="31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35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43078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30780" cy="1524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As previously</w:t>
      </w:r>
    </w:p>
    <w:tbl>
      <w:tblPr>
        <w:tblLayout w:type="fixed"/>
        <w:tblInd w:w="0" w:type="dxa"/>
        <w:tblCellMar>
          <w:top w:w="0" w:type="dxa"/>
          <w:left w:w="0" w:type="dxa"/>
          <w:bottom w:w="0" w:type="dxa"/>
          <w:right w:w="0" w:type="dxa"/>
        </w:tblCellMar>
      </w:tblPr>
      <w:tr>
        <w:trPr>
          <w:trHeight w:val="252"/>
        </w:trPr>
        <w:tc>
          <w:tcPr>
            <w:tcW w:w="180" w:type="dxa"/>
            <w:vAlign w:val="bottom"/>
          </w:tcPr>
          <w:p>
            <w:pPr>
              <w:spacing w:after="0"/>
              <w:rPr>
                <w:sz w:val="21"/>
                <w:szCs w:val="21"/>
                <w:color w:val="auto"/>
              </w:rPr>
            </w:pPr>
          </w:p>
        </w:tc>
        <w:tc>
          <w:tcPr>
            <w:tcW w:w="1320" w:type="dxa"/>
            <w:vAlign w:val="bottom"/>
            <w:gridSpan w:val="3"/>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340" w:type="dxa"/>
            <w:vAlign w:val="bottom"/>
            <w:gridSpan w:val="3"/>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40" w:type="dxa"/>
            <w:vAlign w:val="bottom"/>
            <w:gridSpan w:val="2"/>
          </w:tcPr>
          <w:p>
            <w:pPr>
              <w:jc w:val="right"/>
              <w:ind w:right="201"/>
              <w:spacing w:after="0" w:line="248" w:lineRule="exact"/>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r>
      <w:tr>
        <w:trPr>
          <w:trHeight w:val="189"/>
        </w:trPr>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tcPr>
          <w:p>
            <w:pPr>
              <w:jc w:val="right"/>
              <w:ind w:right="101"/>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4"/>
        </w:trPr>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8" w:lineRule="exact"/>
        <w:rPr>
          <w:sz w:val="20"/>
          <w:szCs w:val="20"/>
          <w:color w:val="auto"/>
        </w:rPr>
      </w:pPr>
    </w:p>
    <w:p>
      <w:pPr>
        <w:sectPr>
          <w:pgSz w:w="11900" w:h="16838" w:orient="portrait"/>
          <w:cols w:equalWidth="0" w:num="2">
            <w:col w:w="6600" w:space="720"/>
            <w:col w:w="3940"/>
          </w:cols>
          <w:pgMar w:left="320" w:top="806"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1,050</w:t>
            </w:r>
          </w:p>
        </w:tc>
        <w:tc>
          <w:tcPr>
            <w:tcW w:w="14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2,226</w:t>
            </w:r>
          </w:p>
        </w:tc>
      </w:tr>
      <w:tr>
        <w:trPr>
          <w:trHeight w:val="362"/>
        </w:trPr>
        <w:tc>
          <w:tcPr>
            <w:tcW w:w="102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(1) Restatement also includes $3,300 included in the Supplementary cash flow information as accrued expenses for purchase of Plant, property and equipment.</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Fiscal Year Ended December 31, 2019</w:t>
            </w:r>
          </w:p>
        </w:tc>
      </w:tr>
      <w:tr>
        <w:trPr>
          <w:trHeight w:val="182"/>
        </w:trPr>
        <w:tc>
          <w:tcPr>
            <w:tcW w:w="5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5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3"/>
        </w:trPr>
        <w:tc>
          <w:tcPr>
            <w:tcW w:w="51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1,876</w:t>
            </w:r>
          </w:p>
        </w:tc>
        <w:tc>
          <w:tcPr>
            <w:tcW w:w="14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2,249</w:t>
            </w:r>
          </w:p>
        </w:tc>
      </w:tr>
      <w:tr>
        <w:trPr>
          <w:trHeight w:val="362"/>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VIE DISCLOSURE ON THE BALANCE SHEET (in parenthesis)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5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5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51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15,534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18,834</w:t>
            </w:r>
          </w:p>
        </w:tc>
        <w:tc>
          <w:tcPr>
            <w:tcW w:w="120" w:type="dxa"/>
            <w:vAlign w:val="bottom"/>
          </w:tcPr>
          <w:p>
            <w:pPr>
              <w:spacing w:after="0"/>
              <w:rPr>
                <w:sz w:val="15"/>
                <w:szCs w:val="15"/>
                <w:color w:val="auto"/>
              </w:rPr>
            </w:pPr>
          </w:p>
        </w:tc>
      </w:tr>
      <w:tr>
        <w:trPr>
          <w:trHeight w:val="189"/>
        </w:trPr>
        <w:tc>
          <w:tcPr>
            <w:tcW w:w="5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2,199</w:t>
            </w:r>
          </w:p>
        </w:tc>
        <w:tc>
          <w:tcPr>
            <w:tcW w:w="14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2,199</w:t>
            </w:r>
          </w:p>
        </w:tc>
      </w:tr>
      <w:tr>
        <w:trPr>
          <w:trHeight w:val="18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22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776</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776</w:t>
            </w:r>
          </w:p>
        </w:tc>
      </w:tr>
      <w:tr>
        <w:trPr>
          <w:trHeight w:val="173"/>
        </w:trPr>
        <w:tc>
          <w:tcPr>
            <w:tcW w:w="516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Accrued capital expenses</w:t>
            </w: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r>
      <w:tr>
        <w:trPr>
          <w:trHeight w:val="189"/>
        </w:trPr>
        <w:tc>
          <w:tcPr>
            <w:tcW w:w="516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Sunoma loan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470</w:t>
            </w:r>
          </w:p>
        </w:tc>
      </w:tr>
      <w:tr>
        <w:trPr>
          <w:trHeight w:val="571"/>
        </w:trPr>
        <w:tc>
          <w:tcPr>
            <w:tcW w:w="5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F-59</w:t>
            </w: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6" w:right="319" w:bottom="1440"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Summary of Significant Accounting Policies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65"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Inc. stockholders’ equity in the consolidated balance sheets and as a non-controlling interest in the consolidated statements changes in stockholders’ equity. The Company’s consolidated financial statements reflect the activities of the Company, its subsidiaries, and its equity method investments for the years ended December 31, 2021 and December 31,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14" w:name="page215"/>
    <w:bookmarkEnd w:id="2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Pronouncements</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In August 2020, the Financial Accounting Standards Board (</w:t>
      </w:r>
      <w:r>
        <w:rPr>
          <w:rFonts w:ascii="Times New Roman" w:cs="Times New Roman" w:eastAsia="Times New Roman" w:hAnsi="Times New Roman"/>
          <w:sz w:val="16"/>
          <w:szCs w:val="16"/>
          <w:b w:val="1"/>
          <w:bCs w:val="1"/>
          <w:color w:val="auto"/>
        </w:rPr>
        <w:t>“FASB”</w:t>
      </w:r>
      <w:r>
        <w:rPr>
          <w:rFonts w:ascii="Times New Roman" w:cs="Times New Roman" w:eastAsia="Times New Roman" w:hAnsi="Times New Roman"/>
          <w:sz w:val="16"/>
          <w:szCs w:val="16"/>
          <w:color w:val="auto"/>
        </w:rPr>
        <w:t>) issued Accounting Standards Update (</w:t>
      </w:r>
      <w:r>
        <w:rPr>
          <w:rFonts w:ascii="Times New Roman" w:cs="Times New Roman" w:eastAsia="Times New Roman" w:hAnsi="Times New Roman"/>
          <w:sz w:val="16"/>
          <w:szCs w:val="16"/>
          <w:b w:val="1"/>
          <w:bCs w:val="1"/>
          <w:color w:val="auto"/>
        </w:rPr>
        <w:t>“ASU”</w:t>
      </w:r>
      <w:r>
        <w:rPr>
          <w:rFonts w:ascii="Times New Roman" w:cs="Times New Roman" w:eastAsia="Times New Roman" w:hAnsi="Times New Roman"/>
          <w:sz w:val="16"/>
          <w:szCs w:val="16"/>
          <w:color w:val="auto"/>
        </w:rPr>
        <w:t xml:space="preserve">) 2020-06, </w:t>
      </w:r>
      <w:r>
        <w:rPr>
          <w:rFonts w:ascii="Times New Roman" w:cs="Times New Roman" w:eastAsia="Times New Roman" w:hAnsi="Times New Roman"/>
          <w:sz w:val="16"/>
          <w:szCs w:val="16"/>
          <w:i w:val="1"/>
          <w:iCs w:val="1"/>
          <w:color w:val="auto"/>
        </w:rPr>
        <w:t>Debt with Conversion and Other Options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Derivatives and Hedging — Contracts in Entity’s Own Equity </w:t>
      </w:r>
      <w:r>
        <w:rPr>
          <w:rFonts w:ascii="Times New Roman" w:cs="Times New Roman" w:eastAsia="Times New Roman" w:hAnsi="Times New Roman"/>
          <w:sz w:val="16"/>
          <w:szCs w:val="16"/>
          <w:color w:val="auto"/>
        </w:rPr>
        <w:t>which simplified the accounting for convertible instruments. ASU 2020-06 was effective January 1, 2020 for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57"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color w:val="auto"/>
        </w:rPr>
        <w:t xml:space="preserve">In August 2018, the FASB issued ASU 2018-13,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which modified the disclosure requirements on fair value measurements. In January 2017, the FASB issued ASU 2017-04,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which simplified the test for goodwill impairment. Neither of these standards have a significant impact on the Company.</w:t>
      </w:r>
    </w:p>
    <w:p>
      <w:pPr>
        <w:spacing w:after="0" w:line="15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In June 2018, the FASB issued ASU 2018-07, </w:t>
      </w:r>
      <w:r>
        <w:rPr>
          <w:rFonts w:ascii="Times New Roman" w:cs="Times New Roman" w:eastAsia="Times New Roman" w:hAnsi="Times New Roman"/>
          <w:sz w:val="16"/>
          <w:szCs w:val="16"/>
          <w:i w:val="1"/>
          <w:iCs w:val="1"/>
          <w:color w:val="auto"/>
        </w:rPr>
        <w:t>Compensation — Stock Compensation (Topic 718): Improvements to Nonemployee Share-Based Payment Accounting</w:t>
      </w:r>
      <w:r>
        <w:rPr>
          <w:rFonts w:ascii="Times New Roman" w:cs="Times New Roman" w:eastAsia="Times New Roman" w:hAnsi="Times New Roman"/>
          <w:sz w:val="16"/>
          <w:szCs w:val="16"/>
          <w:color w:val="auto"/>
        </w:rPr>
        <w:t>, which simplifies the accounting for share-based payments to non-employees by aligning it with the accounting for share-based payments to employees subject to certain exceptions. ASU 2018-07 expands the scope of ASC Topic 718, Compensation-Stock Compensation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ASC 718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164"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5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In February 2016, the FASB issued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for private companies and certain not-for-profit entities for one year. For companies filing under 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39,314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12,823</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 held as collateral</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2,565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top w:val="single" w:sz="8" w:color="auto"/>
              <w:bottom w:val="single" w:sz="8" w:color="auto"/>
            </w:tcBorders>
          </w:tcPr>
          <w:p>
            <w:pPr>
              <w:jc w:val="right"/>
              <w:ind w:right="8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42,054</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15,388</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13,827</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Fuel Tax Credit Receivable/Payable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Assets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Parts Inventory</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Spares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Plant and equipment</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30 years</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CNG/RNG Fueling stations</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20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49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Service equipment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10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Shorter of lease term or useful life</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49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4"/>
              </w:rPr>
              <w:t>5 – 7 years</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49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 years</w:t>
            </w:r>
          </w:p>
        </w:tc>
      </w:tr>
    </w:tbl>
    <w:p>
      <w:pPr>
        <w:spacing w:after="0" w:line="172"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When plant and equipment are retired or otherwise disposed of, the related cost and accumulated depreciation or amortization is removed, and a gain or loss is recognized in the consolidated statements of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Equity-Based Compensation Awards</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The Ultimate Parent granted equity-based awards to employees in 2020 and 2019 in the form of residual equity interests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Profits Interests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69"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new awards granted during the year ended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Major Maintenance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Combinations</w:t>
      </w:r>
      <w:r>
        <w:rPr>
          <w:rFonts w:ascii="Times New Roman" w:cs="Times New Roman" w:eastAsia="Times New Roman" w:hAnsi="Times New Roman"/>
          <w:sz w:val="16"/>
          <w:szCs w:val="16"/>
          <w:color w:val="auto"/>
        </w:rPr>
        <w:t>. Goodwill is not amortized, but the potential impairment of goodwill is assessed at least annually and on an interim basis whenever events or changes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During 2020, the Company has adopted the provisions of the Financial Accounting Standards Board (FASB) Accounting Standards Update (ASU) 2017-04, </w:t>
      </w:r>
      <w:r>
        <w:rPr>
          <w:rFonts w:ascii="Times New Roman" w:cs="Times New Roman" w:eastAsia="Times New Roman" w:hAnsi="Times New Roman"/>
          <w:sz w:val="16"/>
          <w:szCs w:val="16"/>
          <w:i w:val="1"/>
          <w:iCs w:val="1"/>
          <w:color w:val="auto"/>
        </w:rPr>
        <w:t>Intangibles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Goodwill and Other (Topic 350): Testing Goodwill for Impairment. </w:t>
      </w:r>
      <w:r>
        <w:rPr>
          <w:rFonts w:ascii="Times New Roman" w:cs="Times New Roman" w:eastAsia="Times New Roman" w:hAnsi="Times New Roman"/>
          <w:sz w:val="16"/>
          <w:szCs w:val="16"/>
          <w:color w:val="auto"/>
        </w:rPr>
        <w:t>Under this guidance, the Company performed qualitative test for goodwill on Beacon and Trustar for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 and Liabilities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Financing Costs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Shipping and Handling Costs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Shipping and handling costs are expensed as incurred. Shipping and handling costs are included in cost of sales and were $1,431, $1,001, and $1,005 for the years ended December 31, 2021, 2020, and 2019,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 Costs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Advertising costs are expensed as incurred. Advertising costs are accounted for in selling, general and administrative expense and were $455, $528, and $281 for the years ended December 31, 2021, 2020, and 2019,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60"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xml:space="preserve">.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Times New Roman" w:cs="Times New Roman" w:eastAsia="Times New Roman" w:hAnsi="Times New Roman"/>
          <w:sz w:val="15"/>
          <w:szCs w:val="15"/>
          <w:i w:val="1"/>
          <w:iCs w:val="1"/>
          <w:color w:val="auto"/>
        </w:rPr>
        <w:t>Restatement of Financial Statements</w:t>
      </w:r>
      <w:r>
        <w:rPr>
          <w:rFonts w:ascii="Times New Roman" w:cs="Times New Roman" w:eastAsia="Times New Roman" w:hAnsi="Times New Roman"/>
          <w:sz w:val="15"/>
          <w:szCs w:val="15"/>
          <w:color w:val="auto"/>
        </w:rPr>
        <w:t>, and Note 12, Derivative Financial Instruments for additional information.</w:t>
      </w:r>
    </w:p>
    <w:p>
      <w:pPr>
        <w:spacing w:after="0" w:line="15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Redeemable Preferred Units</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guidance in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4"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The Company accounts for asset retirement obligations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ARO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accordance with ASC 410 that requires entities to record the fair value of a liability for an asset retirement obligation in the period in which it is incurred and when a reasonable estimate of fair value can be made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summarizes the changes in the asset retirement obligations were as follows for the years ended December 31,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74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Additions</w:t>
            </w:r>
          </w:p>
        </w:tc>
        <w:tc>
          <w:tcPr>
            <w:tcW w:w="74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 retirement obligation</w:t>
            </w: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(831)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asset retirement obligation, net of current portion</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vMerge w:val="continue"/>
          </w:tcPr>
          <w:p>
            <w:pPr>
              <w:spacing w:after="0"/>
              <w:rPr>
                <w:sz w:val="17"/>
                <w:szCs w:val="17"/>
                <w:color w:val="auto"/>
              </w:rPr>
            </w:pPr>
          </w:p>
        </w:tc>
        <w:tc>
          <w:tcPr>
            <w:tcW w:w="7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22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Effective January 1, 2019, the Company adopted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that allows for the recognition of revenue from performance obligations in the amount of consideration to which there is a right to invoice the customer and when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6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to transport Producers’ natural gas using the Company’s RNG gathering system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System</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5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MMBtu</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of LFG collected and the megawatt hours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MWhs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produced at that site. This revenue is recognized when LFG is collected, and electricity is delivered.</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22" w:name="page223"/>
    <w:bookmarkEnd w:id="22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60"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disaggregation of revenue according to product line and segment: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gridSpan w:val="8"/>
          </w:tcPr>
          <w:p>
            <w:pPr>
              <w:ind w:left="560"/>
              <w:spacing w:after="0"/>
              <w:rPr>
                <w:sz w:val="20"/>
                <w:szCs w:val="20"/>
                <w:color w:val="auto"/>
              </w:rPr>
            </w:pPr>
            <w:r>
              <w:rPr>
                <w:rFonts w:ascii="Times New Roman" w:cs="Times New Roman" w:eastAsia="Times New Roman" w:hAnsi="Times New Roman"/>
                <w:sz w:val="16"/>
                <w:szCs w:val="16"/>
                <w:b w:val="1"/>
                <w:bCs w:val="1"/>
                <w:color w:val="auto"/>
              </w:rPr>
              <w:t>Fiscal Years Ended December 31,</w:t>
            </w:r>
          </w:p>
        </w:tc>
      </w:tr>
      <w:tr>
        <w:trPr>
          <w:trHeight w:val="228"/>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41"/>
              <w:spacing w:after="0" w:line="225" w:lineRule="exact"/>
              <w:rPr>
                <w:sz w:val="20"/>
                <w:szCs w:val="20"/>
                <w:color w:val="auto"/>
              </w:rPr>
            </w:pPr>
            <w:r>
              <w:rPr>
                <w:rFonts w:ascii="Times New Roman" w:cs="Times New Roman" w:eastAsia="Times New Roman" w:hAnsi="Times New Roman"/>
                <w:sz w:val="16"/>
                <w:szCs w:val="16"/>
                <w:b w:val="1"/>
                <w:bCs w:val="1"/>
                <w:color w:val="auto"/>
              </w:rPr>
              <w:t>2020</w:t>
            </w:r>
            <w:r>
              <w:rPr>
                <w:rFonts w:ascii="Times New Roman" w:cs="Times New Roman" w:eastAsia="Times New Roman" w:hAnsi="Times New Roman"/>
                <w:sz w:val="26"/>
                <w:szCs w:val="26"/>
                <w:b w:val="1"/>
                <w:bCs w:val="1"/>
                <w:color w:val="auto"/>
                <w:vertAlign w:val="superscript"/>
              </w:rPr>
              <w:t>(1)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61"/>
              <w:spacing w:after="0" w:line="225" w:lineRule="exact"/>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26"/>
                <w:szCs w:val="26"/>
                <w:b w:val="1"/>
                <w:bCs w:val="1"/>
                <w:color w:val="auto"/>
                <w:vertAlign w:val="superscript"/>
              </w:rPr>
              <w:t>(1)</w:t>
            </w:r>
          </w:p>
        </w:tc>
        <w:tc>
          <w:tcPr>
            <w:tcW w:w="100" w:type="dxa"/>
            <w:vAlign w:val="bottom"/>
          </w:tcPr>
          <w:p>
            <w:pPr>
              <w:spacing w:after="0"/>
              <w:rPr>
                <w:sz w:val="19"/>
                <w:szCs w:val="19"/>
                <w:color w:val="auto"/>
              </w:rPr>
            </w:pPr>
          </w:p>
        </w:tc>
      </w:tr>
      <w:tr>
        <w:trPr>
          <w:trHeight w:val="189"/>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(Restated)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(Restated)</w:t>
            </w:r>
          </w:p>
        </w:tc>
        <w:tc>
          <w:tcPr>
            <w:tcW w:w="100" w:type="dxa"/>
            <w:vAlign w:val="bottom"/>
          </w:tcPr>
          <w:p>
            <w:pPr>
              <w:spacing w:after="0"/>
              <w:rPr>
                <w:sz w:val="16"/>
                <w:szCs w:val="16"/>
                <w:color w:val="auto"/>
              </w:rPr>
            </w:pPr>
          </w:p>
        </w:tc>
      </w:tr>
      <w:tr>
        <w:trPr>
          <w:trHeight w:val="224"/>
        </w:trPr>
        <w:tc>
          <w:tcPr>
            <w:tcW w:w="73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Electricity sales</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40,259</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42,186</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46,380</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Third Party Construction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32,630</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40,443</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43,094</w:t>
            </w:r>
          </w:p>
        </w:tc>
      </w:tr>
      <w:tr>
        <w:trPr>
          <w:trHeight w:val="189"/>
        </w:trPr>
        <w:tc>
          <w:tcPr>
            <w:tcW w:w="7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Service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17,056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10,582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100" w:type="dxa"/>
            <w:vAlign w:val="bottom"/>
          </w:tcPr>
          <w:p>
            <w:pPr>
              <w:spacing w:after="0"/>
              <w:rPr>
                <w:sz w:val="18"/>
                <w:szCs w:val="18"/>
                <w:color w:val="auto"/>
              </w:rPr>
            </w:pPr>
          </w:p>
        </w:tc>
      </w:tr>
      <w:tr>
        <w:trPr>
          <w:trHeight w:val="19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Brown Gas Sales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12,257</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4,591</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00" w:type="dxa"/>
            <w:vAlign w:val="bottom"/>
            <w:shd w:val="clear" w:color="auto" w:fill="CCEEFF"/>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55,863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5,505</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Parts Sales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755</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3,872</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Agreements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3,172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1,515</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 from Contracts with Customer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162,048</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112,094</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114,182</w:t>
            </w:r>
          </w:p>
        </w:tc>
        <w:tc>
          <w:tcPr>
            <w:tcW w:w="100" w:type="dxa"/>
            <w:vAlign w:val="bottom"/>
            <w:shd w:val="clear" w:color="auto" w:fill="CCEEFF"/>
          </w:tcPr>
          <w:p>
            <w:pPr>
              <w:spacing w:after="0"/>
              <w:rPr>
                <w:sz w:val="19"/>
                <w:szCs w:val="19"/>
                <w:color w:val="auto"/>
              </w:rPr>
            </w:pP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Lease revenue</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4,076</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5,612</w:t>
            </w:r>
          </w:p>
        </w:tc>
        <w:tc>
          <w:tcPr>
            <w:tcW w:w="2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5,520</w:t>
            </w:r>
          </w:p>
        </w:tc>
        <w:tc>
          <w:tcPr>
            <w:tcW w:w="100" w:type="dxa"/>
            <w:vAlign w:val="bottom"/>
            <w:tcBorders>
              <w:top w:val="single" w:sz="8" w:color="CCEEFF"/>
              <w:bottom w:val="single" w:sz="8" w:color="CCEEFF"/>
            </w:tcBorders>
          </w:tcPr>
          <w:p>
            <w:pPr>
              <w:spacing w:after="0"/>
              <w:rPr>
                <w:sz w:val="15"/>
                <w:szCs w:val="15"/>
                <w:color w:val="auto"/>
              </w:rPr>
            </w:pPr>
          </w:p>
        </w:tc>
      </w:tr>
      <w:tr>
        <w:trPr>
          <w:trHeight w:val="213"/>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line="236" w:lineRule="exact"/>
              <w:rPr>
                <w:sz w:val="20"/>
                <w:szCs w:val="20"/>
                <w:color w:val="auto"/>
              </w:rPr>
            </w:pPr>
            <w:r>
              <w:rPr>
                <w:rFonts w:ascii="Times New Roman" w:cs="Times New Roman" w:eastAsia="Times New Roman" w:hAnsi="Times New Roman"/>
                <w:sz w:val="16"/>
                <w:szCs w:val="16"/>
                <w:b w:val="1"/>
                <w:bCs w:val="1"/>
                <w:color w:val="auto"/>
              </w:rPr>
              <w:t>Total Revenue</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166,124</w:t>
            </w:r>
          </w:p>
        </w:tc>
        <w:tc>
          <w:tcPr>
            <w:tcW w:w="2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117,706</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119,702</w:t>
            </w:r>
          </w:p>
        </w:tc>
        <w:tc>
          <w:tcPr>
            <w:tcW w:w="100" w:type="dxa"/>
            <w:vAlign w:val="bottom"/>
          </w:tcPr>
          <w:p>
            <w:pPr>
              <w:spacing w:after="0"/>
              <w:rPr>
                <w:sz w:val="20"/>
                <w:szCs w:val="20"/>
                <w:color w:val="auto"/>
              </w:rPr>
            </w:pPr>
          </w:p>
        </w:tc>
      </w:tr>
      <w:tr>
        <w:trPr>
          <w:trHeight w:val="24"/>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Electricity sales, environmental credits, and total revenue for the years ended December 31, 2020, and 2019 have been restated to correct errors in previously issued financial statements. See Note 2, Restatement of </w:t>
      </w: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for additional information.</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years ended December 31, 2021, 2020, and 2019, approximately 28.9%, 42.5% and 43.6%, respectively, of revenue was recognized over time, and the remainder was for products and services transferred at a point in time.</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7" w:right="31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receivables, contract assets and contract liabilities from contracts with customers: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1"/>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Fiscal Years Ended</w:t>
            </w:r>
          </w:p>
        </w:tc>
      </w:tr>
      <w:tr>
        <w:trPr>
          <w:trHeight w:val="211"/>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0"/>
              </w:rPr>
              <w:t>22,002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Contract Assets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and estimated earnings in excess of billings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2,903</w:t>
            </w:r>
          </w:p>
        </w:tc>
      </w:tr>
      <w:tr>
        <w:trPr>
          <w:trHeight w:val="19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retainage, net</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2,621</w:t>
            </w:r>
          </w:p>
        </w:tc>
      </w:tr>
      <w:tr>
        <w:trPr>
          <w:trHeight w:val="209"/>
        </w:trPr>
        <w:tc>
          <w:tcPr>
            <w:tcW w:w="86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88"/>
              </w:rPr>
              <w:t>5,524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Contract Liabilities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Billings in excess of cost and estimated earnings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9,785</w:t>
            </w:r>
          </w:p>
        </w:tc>
        <w:tc>
          <w:tcPr>
            <w:tcW w:w="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4,678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The Company’s remaining performance obligations (</w:t>
      </w:r>
      <w:r>
        <w:rPr>
          <w:rFonts w:ascii="Times New Roman" w:cs="Times New Roman" w:eastAsia="Times New Roman" w:hAnsi="Times New Roman"/>
          <w:sz w:val="16"/>
          <w:szCs w:val="16"/>
          <w:b w:val="1"/>
          <w:bCs w:val="1"/>
          <w:color w:val="auto"/>
        </w:rPr>
        <w:t>“backlog”</w:t>
      </w:r>
      <w:r>
        <w:rPr>
          <w:rFonts w:ascii="Times New Roman" w:cs="Times New Roman" w:eastAsia="Times New Roman" w:hAnsi="Times New Roman"/>
          <w:sz w:val="16"/>
          <w:szCs w:val="16"/>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Intersegment Sales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accounts for intersegment sales and transfers as if these sales and transfers were to third parties at current market prices.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and Diluted Income (Loss) Per Unit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for additional information.</w:t>
      </w:r>
    </w:p>
    <w:p>
      <w:pPr>
        <w:spacing w:after="0" w:line="160"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basic income (loss) per unit attributable to members of OPAL Fuels Inc. is computed by dividing the net income (loss) attributable to OPAL Fuels Inc.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Customers and Concentration of Credit Risk</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Suppliers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in other entities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receivable</w:t>
      </w:r>
    </w:p>
    <w:p>
      <w:pPr>
        <w:spacing w:after="0" w:line="19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follows ASC 820 regarding fair value measurements which establishes a three-tier fair value hierarchy and prioritizes the inputs used in valuation techniques that measure fair value. These tiers include:</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defined as observable inputs such as quoted prices for identical instruments in active markets.</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defined as unobservable inputs in which little or no market data exists, therefore requiring an entity to develop its own assumptions.</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transfers of assets between Level 1, Level 2, or Level 3 of the fair value hierarchy as of December 31, 2021 or December 31, 2020.</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Company’s assets and liabilities that are measured at fair value on a recurring basis include the following as of December 31, 2021 and December 31, 2020, set forth by level, within the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 as of December 31, 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4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8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1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20" w:type="dxa"/>
            <w:vAlign w:val="bottom"/>
            <w:gridSpan w:val="2"/>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r>
      <w:tr>
        <w:trPr>
          <w:trHeight w:val="18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992</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992</w:t>
            </w: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 on acquisition of non-controlling interest</w:t>
            </w:r>
          </w:p>
        </w:tc>
        <w:tc>
          <w:tcPr>
            <w:tcW w:w="1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r>
      <w:tr>
        <w:trPr>
          <w:trHeight w:val="18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Commodity swap contracts</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r>
      <w:tr>
        <w:trPr>
          <w:trHeight w:val="553"/>
        </w:trPr>
        <w:tc>
          <w:tcPr>
            <w:tcW w:w="48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1001"/>
              <w:spacing w:after="0"/>
              <w:rPr>
                <w:sz w:val="20"/>
                <w:szCs w:val="20"/>
                <w:color w:val="auto"/>
              </w:rPr>
            </w:pPr>
            <w:r>
              <w:rPr>
                <w:rFonts w:ascii="Times New Roman" w:cs="Times New Roman" w:eastAsia="Times New Roman" w:hAnsi="Times New Roman"/>
                <w:sz w:val="16"/>
                <w:szCs w:val="16"/>
                <w:color w:val="auto"/>
              </w:rPr>
              <w:t>F-73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6" w:right="319" w:bottom="1440" w:gutter="0" w:footer="0" w:header="0"/>
        </w:sectPr>
      </w:pPr>
    </w:p>
    <w:bookmarkStart w:id="227" w:name="page228"/>
    <w:bookmarkEnd w:id="227"/>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0"/>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8"/>
              </w:rPr>
              <w:t>Fair value as of December 31, 2020 (Restated)</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7"/>
                <w:szCs w:val="17"/>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209"/>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2"/>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gridSpan w:val="3"/>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4,885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4,885</w:t>
            </w:r>
          </w:p>
        </w:tc>
      </w:tr>
      <w:tr>
        <w:trPr>
          <w:trHeight w:val="189"/>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tcPr>
          <w:p>
            <w:pPr>
              <w:spacing w:after="0"/>
              <w:rPr>
                <w:sz w:val="16"/>
                <w:szCs w:val="16"/>
                <w:color w:val="auto"/>
              </w:rPr>
            </w:pP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2,785</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2,785</w:t>
            </w:r>
          </w:p>
        </w:tc>
      </w:tr>
      <w:tr>
        <w:trPr>
          <w:trHeight w:val="224"/>
        </w:trPr>
        <w:tc>
          <w:tcPr>
            <w:tcW w:w="598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Commodity swap contracts</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1,529</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1,529</w:t>
            </w:r>
          </w:p>
        </w:tc>
      </w:tr>
    </w:tbl>
    <w:p>
      <w:pPr>
        <w:spacing w:after="0" w:line="172" w:lineRule="exact"/>
        <w:rPr>
          <w:sz w:val="20"/>
          <w:szCs w:val="20"/>
          <w:color w:val="auto"/>
        </w:rPr>
      </w:pPr>
    </w:p>
    <w:p>
      <w:pPr>
        <w:ind w:left="285" w:hanging="285"/>
        <w:spacing w:after="0" w:line="275" w:lineRule="auto"/>
        <w:tabs>
          <w:tab w:leader="none" w:pos="28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 xml:space="preserve">A summary of changes in the fair values of the Company’s Level 3 instruments, attributable to asset retirement obligations, for the years ended December 31, 2021 and December 31, 2020 is included in Note 3,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5" w:right="9340" w:hanging="5"/>
        <w:spacing w:after="0" w:line="526" w:lineRule="auto"/>
        <w:tabs>
          <w:tab w:leader="none" w:pos="163" w:val="left"/>
        </w:tabs>
        <w:numPr>
          <w:ilvl w:val="0"/>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Company Operations Power Purchase Agreements</w:t>
      </w:r>
    </w:p>
    <w:p>
      <w:pPr>
        <w:jc w:val="both"/>
        <w:ind w:left="5" w:firstLine="283"/>
        <w:spacing w:after="0" w:line="257" w:lineRule="auto"/>
        <w:rPr>
          <w:sz w:val="20"/>
          <w:szCs w:val="20"/>
          <w:color w:val="auto"/>
        </w:rPr>
      </w:pPr>
      <w:r>
        <w:rPr>
          <w:rFonts w:ascii="Times New Roman" w:cs="Times New Roman" w:eastAsia="Times New Roman" w:hAnsi="Times New Roman"/>
          <w:sz w:val="16"/>
          <w:szCs w:val="16"/>
          <w:color w:val="auto"/>
        </w:rPr>
        <w:t>The Company has PPAs with utilities to sell electricity and receive capacity and energy payments. The PPAs expire from 2022 to 2036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price per megawatt hour (“MWh”) varies for each contract. For the years ended December 31, 2021, 2020, and 2019, power sales revenues under long-term 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59"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Renewable Energy Credits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Purchase Agreements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 $3,741, and $3,794, respectively, and are included in cost of sales — renewable power in the consolidated statements of operations.</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4. Company Operations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and Maintenance Agreements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Acquisition</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56"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3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29" w:name="page230"/>
    <w:bookmarkEnd w:id="229"/>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5. Acquisition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of consideration transferred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40"/>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55,410</w:t>
            </w:r>
          </w:p>
        </w:tc>
        <w:tc>
          <w:tcPr>
            <w:tcW w:w="100" w:type="dxa"/>
            <w:vAlign w:val="bottom"/>
          </w:tcPr>
          <w:p>
            <w:pPr>
              <w:spacing w:after="0"/>
              <w:rPr>
                <w:sz w:val="20"/>
                <w:szCs w:val="20"/>
                <w:color w:val="auto"/>
              </w:rPr>
            </w:pPr>
          </w:p>
        </w:tc>
      </w:tr>
      <w:tr>
        <w:trPr>
          <w:trHeight w:val="208"/>
        </w:trPr>
        <w:tc>
          <w:tcPr>
            <w:tcW w:w="10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of previously held equity interest</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44,069</w:t>
            </w:r>
          </w:p>
        </w:tc>
        <w:tc>
          <w:tcPr>
            <w:tcW w:w="100" w:type="dxa"/>
            <w:vAlign w:val="bottom"/>
          </w:tcPr>
          <w:p>
            <w:pPr>
              <w:spacing w:after="0"/>
              <w:rPr>
                <w:sz w:val="18"/>
                <w:szCs w:val="18"/>
                <w:color w:val="auto"/>
              </w:rPr>
            </w:pPr>
          </w:p>
        </w:tc>
      </w:tr>
      <w:tr>
        <w:trPr>
          <w:trHeight w:val="191"/>
        </w:trPr>
        <w:tc>
          <w:tcPr>
            <w:tcW w:w="10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of net identifiable assets acquired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Parts inventory</w:t>
            </w: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50,726</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(690)</w:t>
            </w: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r>
      <w:tr>
        <w:trPr>
          <w:trHeight w:val="22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royalties</w:t>
            </w:r>
          </w:p>
        </w:tc>
        <w:tc>
          <w:tcPr>
            <w:tcW w:w="3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(4,196)</w:t>
            </w:r>
          </w:p>
        </w:tc>
      </w:tr>
      <w:tr>
        <w:trPr>
          <w:trHeight w:val="176"/>
        </w:trPr>
        <w:tc>
          <w:tcPr>
            <w:tcW w:w="10020" w:type="dxa"/>
            <w:vAlign w:val="bottom"/>
            <w:tcBorders>
              <w:top w:val="single" w:sz="8" w:color="CCEEFF"/>
              <w:bottom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Total identifiable net assets</w:t>
            </w: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48,324</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0"/>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99,479</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hanging="285"/>
        <w:spacing w:after="0"/>
        <w:tabs>
          <w:tab w:leader="none" w:pos="28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the note as of December 31, 2021 is $58,710. Refer to Note 10, Borrowings, for additional information.</w:t>
      </w:r>
    </w:p>
    <w:p>
      <w:pPr>
        <w:spacing w:after="0" w:line="19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4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Proforma Financial Information</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Fiscal Years Ended</w:t>
            </w:r>
          </w:p>
        </w:tc>
      </w:tr>
      <w:tr>
        <w:trPr>
          <w:trHeight w:val="211"/>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8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7"/>
                <w:szCs w:val="17"/>
                <w:color w:val="auto"/>
              </w:rPr>
            </w:pPr>
          </w:p>
        </w:tc>
      </w:tr>
      <w:tr>
        <w:trPr>
          <w:trHeight w:val="224"/>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21"/>
              <w:spacing w:after="0" w:line="225" w:lineRule="exact"/>
              <w:rPr>
                <w:sz w:val="20"/>
                <w:szCs w:val="20"/>
                <w:color w:val="auto"/>
              </w:rPr>
            </w:pPr>
            <w:r>
              <w:rPr>
                <w:rFonts w:ascii="Times New Roman" w:cs="Times New Roman" w:eastAsia="Times New Roman" w:hAnsi="Times New Roman"/>
                <w:sz w:val="16"/>
                <w:szCs w:val="16"/>
                <w:color w:val="auto"/>
                <w:w w:val="98"/>
              </w:rPr>
              <w:t>Restated</w:t>
            </w:r>
            <w:r>
              <w:rPr>
                <w:rFonts w:ascii="Times New Roman" w:cs="Times New Roman" w:eastAsia="Times New Roman" w:hAnsi="Times New Roman"/>
                <w:sz w:val="26"/>
                <w:szCs w:val="26"/>
                <w:color w:val="auto"/>
                <w:w w:val="98"/>
                <w:vertAlign w:val="superscript"/>
              </w:rPr>
              <w:t>(1)</w:t>
            </w:r>
          </w:p>
        </w:tc>
        <w:tc>
          <w:tcPr>
            <w:tcW w:w="120" w:type="dxa"/>
            <w:vAlign w:val="bottom"/>
          </w:tcPr>
          <w:p>
            <w:pPr>
              <w:spacing w:after="0"/>
              <w:rPr>
                <w:sz w:val="19"/>
                <w:szCs w:val="19"/>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 net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179,436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132,745</w:t>
            </w: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(25,968)</w:t>
            </w:r>
          </w:p>
        </w:tc>
      </w:tr>
    </w:tbl>
    <w:p>
      <w:pPr>
        <w:spacing w:after="0" w:line="155" w:lineRule="exact"/>
        <w:rPr>
          <w:sz w:val="20"/>
          <w:szCs w:val="20"/>
          <w:color w:val="auto"/>
        </w:rPr>
      </w:pPr>
    </w:p>
    <w:p>
      <w:pPr>
        <w:ind w:left="285" w:right="20" w:hanging="285"/>
        <w:spacing w:after="0" w:line="275" w:lineRule="auto"/>
        <w:tabs>
          <w:tab w:leader="none" w:pos="28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Investments in Other Entities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our equity method investments as of December 31, 2021 and 2020:</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Beacon</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Pine Bend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Noble Road</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24,516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GREP</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investments in other entities</w:t>
            </w: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47,150</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Income on equity method investments, net reported in the Company’s consolidated statements of operations consisted of the following for the years ended December 31, 2021, 2020 and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1"/>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gridSpan w:val="2"/>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equity method investments, net, before amortization of basis difference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r>
      <w:tr>
        <w:trPr>
          <w:trHeight w:val="200"/>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on equity method investments,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Beacon Step Acquisition</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detailed in Note 5, </w:t>
      </w:r>
      <w:r>
        <w:rPr>
          <w:rFonts w:ascii="Times New Roman" w:cs="Times New Roman" w:eastAsia="Times New Roman" w:hAnsi="Times New Roman"/>
          <w:sz w:val="16"/>
          <w:szCs w:val="16"/>
          <w:i w:val="1"/>
          <w:iCs w:val="1"/>
          <w:color w:val="auto"/>
        </w:rPr>
        <w:t>Acquisition</w:t>
      </w:r>
      <w:r>
        <w:rPr>
          <w:rFonts w:ascii="Times New Roman" w:cs="Times New Roman" w:eastAsia="Times New Roman" w:hAnsi="Times New Roman"/>
          <w:sz w:val="16"/>
          <w:szCs w:val="16"/>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Deconsolidation of Pine Bend and Noble Road</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of December 31, 2021, the Company re-assessed its equity interests in Pine Bend and Noble Road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Times New Roman" w:cs="Times New Roman" w:eastAsia="Times New Roman" w:hAnsi="Times New Roman"/>
          <w:sz w:val="16"/>
          <w:szCs w:val="16"/>
          <w:i w:val="1"/>
          <w:iCs w:val="1"/>
          <w:color w:val="auto"/>
        </w:rPr>
        <w:t>Investments Equity Method and Joint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Ventures</w:t>
      </w:r>
      <w:r>
        <w:rPr>
          <w:rFonts w:ascii="Times New Roman" w:cs="Times New Roman" w:eastAsia="Times New Roman" w:hAnsi="Times New Roman"/>
          <w:sz w:val="16"/>
          <w:szCs w:val="16"/>
          <w:color w:val="auto"/>
        </w:rPr>
        <w:t>, prospectively, as the Company has the ability to exercise significant influence, but not control, over both entities.</w:t>
      </w:r>
    </w:p>
    <w:p>
      <w:pPr>
        <w:spacing w:after="0" w:line="157"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Prior to December 31, 2021, the Company consolidated these entities in accordance with the variable interest entity model guidance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Upon deconsolidation, the Company remeasured the fair value of the retained investment and recognized a gain of $3,145 on Pine Bend and $11,880 on Noble Road in its consolidated statement of operations for the year ended December 31, 2021 and a corresponding increase in its basis in </w:t>
      </w:r>
      <w:r>
        <w:rPr>
          <w:rFonts w:ascii="Times New Roman" w:cs="Times New Roman" w:eastAsia="Times New Roman" w:hAnsi="Times New Roman"/>
          <w:sz w:val="16"/>
          <w:szCs w:val="16"/>
          <w:i w:val="1"/>
          <w:iCs w:val="1"/>
          <w:color w:val="auto"/>
        </w:rPr>
        <w:t>Investment in other entities</w:t>
      </w:r>
      <w:r>
        <w:rPr>
          <w:rFonts w:ascii="Times New Roman" w:cs="Times New Roman" w:eastAsia="Times New Roman" w:hAnsi="Times New Roman"/>
          <w:sz w:val="16"/>
          <w:szCs w:val="16"/>
          <w:color w:val="auto"/>
        </w:rPr>
        <w:t xml:space="preserve"> on its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89"/>
        </w:trPr>
        <w:tc>
          <w:tcPr>
            <w:tcW w:w="8840" w:type="dxa"/>
            <w:vAlign w:val="bottom"/>
          </w:tcPr>
          <w:p>
            <w:pPr>
              <w:jc w:val="center"/>
              <w:ind w:left="2341"/>
              <w:spacing w:after="0"/>
              <w:rPr>
                <w:sz w:val="20"/>
                <w:szCs w:val="20"/>
                <w:color w:val="auto"/>
              </w:rPr>
            </w:pPr>
            <w:r>
              <w:rPr>
                <w:rFonts w:ascii="Times New Roman" w:cs="Times New Roman" w:eastAsia="Times New Roman" w:hAnsi="Times New Roman"/>
                <w:sz w:val="16"/>
                <w:szCs w:val="16"/>
                <w:b w:val="1"/>
                <w:bCs w:val="1"/>
                <w:color w:val="auto"/>
                <w:w w:val="97"/>
              </w:rPr>
              <w:t>OPAL FUELS INC.</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40" w:type="dxa"/>
            <w:vAlign w:val="bottom"/>
          </w:tcPr>
          <w:p>
            <w:pPr>
              <w:jc w:val="center"/>
              <w:ind w:left="2281"/>
              <w:spacing w:after="0"/>
              <w:rPr>
                <w:sz w:val="20"/>
                <w:szCs w:val="20"/>
                <w:color w:val="auto"/>
              </w:rPr>
            </w:pPr>
            <w:r>
              <w:rPr>
                <w:rFonts w:ascii="Times New Roman" w:cs="Times New Roman" w:eastAsia="Times New Roman" w:hAnsi="Times New Roman"/>
                <w:sz w:val="16"/>
                <w:szCs w:val="16"/>
                <w:b w:val="1"/>
                <w:bCs w:val="1"/>
                <w:color w:val="auto"/>
                <w:w w:val="97"/>
              </w:rPr>
              <w:t>NOTES TO CONSOLIDATED FINANCIAL STATEMENTS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840" w:type="dxa"/>
            <w:vAlign w:val="bottom"/>
          </w:tcPr>
          <w:p>
            <w:pPr>
              <w:jc w:val="center"/>
              <w:ind w:left="2321"/>
              <w:spacing w:after="0"/>
              <w:rPr>
                <w:sz w:val="20"/>
                <w:szCs w:val="20"/>
                <w:color w:val="auto"/>
              </w:rPr>
            </w:pPr>
            <w:r>
              <w:rPr>
                <w:rFonts w:ascii="Times New Roman" w:cs="Times New Roman" w:eastAsia="Times New Roman" w:hAnsi="Times New Roman"/>
                <w:sz w:val="16"/>
                <w:szCs w:val="16"/>
                <w:b w:val="1"/>
                <w:bCs w:val="1"/>
                <w:color w:val="auto"/>
                <w:w w:val="98"/>
              </w:rPr>
              <w:t>(In thousands of dollars except per unit data)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6. Investments in Other Entities </w:t>
            </w:r>
            <w:r>
              <w:rPr>
                <w:rFonts w:ascii="Times New Roman" w:cs="Times New Roman" w:eastAsia="Times New Roman" w:hAnsi="Times New Roman"/>
                <w:sz w:val="16"/>
                <w:szCs w:val="16"/>
                <w:color w:val="auto"/>
              </w:rPr>
              <w:t>(cont.)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carrying value of assets and liabilities of the two entities at the time of their deconsolidation was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1"/>
        </w:trPr>
        <w:tc>
          <w:tcPr>
            <w:tcW w:w="8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21,208</w:t>
            </w:r>
          </w:p>
        </w:tc>
        <w:tc>
          <w:tcPr>
            <w:tcW w:w="0" w:type="dxa"/>
            <w:vAlign w:val="bottom"/>
          </w:tcPr>
          <w:p>
            <w:pPr>
              <w:spacing w:after="0"/>
              <w:rPr>
                <w:sz w:val="1"/>
                <w:szCs w:val="1"/>
                <w:color w:val="auto"/>
              </w:rPr>
            </w:pPr>
          </w:p>
        </w:tc>
      </w:tr>
      <w:tr>
        <w:trPr>
          <w:trHeight w:val="189"/>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8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44,250</w:t>
            </w:r>
          </w:p>
        </w:tc>
        <w:tc>
          <w:tcPr>
            <w:tcW w:w="0" w:type="dxa"/>
            <w:vAlign w:val="bottom"/>
          </w:tcPr>
          <w:p>
            <w:pPr>
              <w:spacing w:after="0"/>
              <w:rPr>
                <w:sz w:val="1"/>
                <w:szCs w:val="1"/>
                <w:color w:val="auto"/>
              </w:rPr>
            </w:pPr>
          </w:p>
        </w:tc>
      </w:tr>
      <w:tr>
        <w:trPr>
          <w:trHeight w:val="201"/>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(4,235)</w:t>
            </w:r>
          </w:p>
        </w:tc>
        <w:tc>
          <w:tcPr>
            <w:tcW w:w="0" w:type="dxa"/>
            <w:vAlign w:val="bottom"/>
          </w:tcPr>
          <w:p>
            <w:pPr>
              <w:spacing w:after="0"/>
              <w:rPr>
                <w:sz w:val="1"/>
                <w:szCs w:val="1"/>
                <w:color w:val="auto"/>
              </w:rPr>
            </w:pPr>
          </w:p>
        </w:tc>
      </w:tr>
      <w:tr>
        <w:trPr>
          <w:trHeight w:val="24"/>
        </w:trPr>
        <w:tc>
          <w:tcPr>
            <w:tcW w:w="8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deconsolidated</w:t>
            </w:r>
          </w:p>
        </w:tc>
        <w:tc>
          <w:tcPr>
            <w:tcW w:w="1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61,357</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 of Reynold RNG LLC</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64" w:lineRule="exact"/>
        <w:rPr>
          <w:sz w:val="20"/>
          <w:szCs w:val="20"/>
          <w:color w:val="auto"/>
        </w:rPr>
      </w:pPr>
    </w:p>
    <w:p>
      <w:pPr>
        <w:jc w:val="both"/>
        <w:ind w:right="20" w:firstLine="283"/>
        <w:spacing w:after="0" w:line="270" w:lineRule="auto"/>
        <w:rPr>
          <w:sz w:val="20"/>
          <w:szCs w:val="20"/>
          <w:color w:val="auto"/>
        </w:rPr>
      </w:pPr>
      <w:r>
        <w:rPr>
          <w:rFonts w:ascii="Times New Roman" w:cs="Times New Roman" w:eastAsia="Times New Roman" w:hAnsi="Times New Roman"/>
          <w:sz w:val="15"/>
          <w:szCs w:val="15"/>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5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note receivable of $9,200 and Note receivable — variable fee component of $1,656 have been recorded as a long term assets on its consolidated balance sheet as of December 31, 2021.</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financial information of the unconsolidated entities: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344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Borders>
              <w:bottom w:val="single" w:sz="8" w:color="CCEEFF"/>
            </w:tcBorders>
          </w:tcPr>
          <w:p>
            <w:pPr>
              <w:spacing w:after="0"/>
              <w:rPr>
                <w:sz w:val="17"/>
                <w:szCs w:val="17"/>
                <w:color w:val="auto"/>
              </w:rPr>
            </w:pP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shd w:val="clear" w:color="auto" w:fill="CCEEFF"/>
          </w:tcPr>
          <w:p>
            <w:pPr>
              <w:spacing w:after="0"/>
              <w:rPr>
                <w:sz w:val="18"/>
                <w:szCs w:val="18"/>
                <w:color w:val="auto"/>
              </w:rPr>
            </w:pP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44,250</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58,232</w:t>
            </w: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4,235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1,131</w:t>
            </w: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1,536</w:t>
            </w: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61,358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57,781</w:t>
            </w:r>
          </w:p>
        </w:tc>
      </w:tr>
      <w:tr>
        <w:trPr>
          <w:trHeight w:val="594"/>
        </w:trPr>
        <w:tc>
          <w:tcPr>
            <w:tcW w:w="34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jc w:val="right"/>
              <w:ind w:right="3061"/>
              <w:spacing w:after="0"/>
              <w:rPr>
                <w:sz w:val="20"/>
                <w:szCs w:val="20"/>
                <w:color w:val="auto"/>
              </w:rPr>
            </w:pPr>
            <w:r>
              <w:rPr>
                <w:rFonts w:ascii="Times New Roman" w:cs="Times New Roman" w:eastAsia="Times New Roman" w:hAnsi="Times New Roman"/>
                <w:sz w:val="16"/>
                <w:szCs w:val="16"/>
                <w:color w:val="auto"/>
              </w:rPr>
              <w:t>F-78</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6" w:right="319" w:bottom="1440" w:gutter="0" w:footer="0" w:header="0"/>
        </w:sectPr>
      </w:pPr>
    </w:p>
    <w:bookmarkStart w:id="232" w:name="page233"/>
    <w:bookmarkEnd w:id="23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6. Investments in Other Entities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net income (loss) attributable to the Company from the unconsolidated entities:</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CCEEFF"/>
            </w:tcBorders>
          </w:tcPr>
          <w:p>
            <w:pPr>
              <w:spacing w:after="0"/>
              <w:rPr>
                <w:sz w:val="17"/>
                <w:szCs w:val="17"/>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120" w:type="dxa"/>
            <w:vAlign w:val="bottom"/>
            <w:shd w:val="clear" w:color="auto" w:fill="CCEEFF"/>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6,915</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3,331</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3,255</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5,276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(1,859)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5,276</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(1,072)</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(1,099)</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OPAL Fuels Inc.</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2,268</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(475)</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r>
      <w:tr>
        <w:trPr>
          <w:trHeight w:val="37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 Property, Plant, and Equipment,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net,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13"/>
        </w:trPr>
        <w:tc>
          <w:tcPr>
            <w:tcW w:w="86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Plant and equipment</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161,387</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98,881</w:t>
            </w:r>
          </w:p>
        </w:tc>
        <w:tc>
          <w:tcPr>
            <w:tcW w:w="100" w:type="dxa"/>
            <w:vAlign w:val="bottom"/>
            <w:shd w:val="clear" w:color="auto" w:fill="CCEEFF"/>
          </w:tcPr>
          <w:p>
            <w:pPr>
              <w:spacing w:after="0"/>
              <w:rPr>
                <w:sz w:val="18"/>
                <w:szCs w:val="18"/>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CNG/RNG Fueling stations</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27,892</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25,430</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62,616</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20,424</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2,544</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1,303</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Service equipment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1,521</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815</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407</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302</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277</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6"/>
                <w:szCs w:val="16"/>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416</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r>
      <w:tr>
        <w:trPr>
          <w:trHeight w:val="176"/>
        </w:trPr>
        <w:tc>
          <w:tcPr>
            <w:tcW w:w="86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259,480</w:t>
            </w:r>
          </w:p>
        </w:tc>
        <w:tc>
          <w:tcPr>
            <w:tcW w:w="22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150,559</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(89,710</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(74,367</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169,770</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76,192</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285" w:hanging="285"/>
        <w:spacing w:after="0" w:line="256" w:lineRule="auto"/>
        <w:tabs>
          <w:tab w:leader="none" w:pos="28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60"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5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33" w:name="page234"/>
    <w:bookmarkEnd w:id="233"/>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8. Intangible Assets, Net</w:t>
      </w:r>
    </w:p>
    <w:p>
      <w:pPr>
        <w:sectPr>
          <w:pgSz w:w="11900" w:h="16838" w:orient="portrait"/>
          <w:cols w:equalWidth="0" w:num="1">
            <w:col w:w="11265"/>
          </w:cols>
          <w:pgMar w:left="315" w:top="806" w:right="319" w:bottom="1440" w:gutter="0" w:footer="0" w:header="0"/>
        </w:sectPr>
      </w:pP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Intangible assets, net, consisted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Power purchase agreements</w:t>
      </w:r>
      <w:r>
        <w:rPr>
          <w:rFonts w:ascii="Times New Roman" w:cs="Times New Roman" w:eastAsia="Times New Roman" w:hAnsi="Times New Roman"/>
          <w:sz w:val="26"/>
          <w:szCs w:val="26"/>
          <w:color w:val="auto"/>
          <w:vertAlign w:val="superscript"/>
        </w:rPr>
        <w:t>(1)</w:t>
      </w:r>
    </w:p>
    <w:p>
      <w:pPr>
        <w:ind w:left="5"/>
        <w:spacing w:after="0" w:line="180" w:lineRule="auto"/>
        <w:rPr>
          <w:sz w:val="20"/>
          <w:szCs w:val="20"/>
          <w:color w:val="auto"/>
        </w:rPr>
      </w:pPr>
      <w:r>
        <w:rPr>
          <w:rFonts w:ascii="Times New Roman" w:cs="Times New Roman" w:eastAsia="Times New Roman" w:hAnsi="Times New Roman"/>
          <w:sz w:val="16"/>
          <w:szCs w:val="16"/>
          <w:color w:val="auto"/>
        </w:rPr>
        <w:t>Transmission/distribution interconnection</w:t>
      </w:r>
      <w:r>
        <w:rPr>
          <w:rFonts w:ascii="Times New Roman" w:cs="Times New Roman" w:eastAsia="Times New Roman" w:hAnsi="Times New Roman"/>
          <w:sz w:val="26"/>
          <w:szCs w:val="26"/>
          <w:color w:val="auto"/>
          <w:vertAlign w:val="superscript"/>
        </w:rPr>
        <w:t>(2)</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CNG sales contract</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Intellectual property</w:t>
      </w:r>
    </w:p>
    <w:p>
      <w:pPr>
        <w:spacing w:after="0" w:line="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211"/>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(Months)</w:t>
            </w:r>
          </w:p>
        </w:tc>
        <w:tc>
          <w:tcPr>
            <w:tcW w:w="0" w:type="dxa"/>
            <w:vAlign w:val="bottom"/>
          </w:tcPr>
          <w:p>
            <w:pPr>
              <w:spacing w:after="0"/>
              <w:rPr>
                <w:sz w:val="1"/>
                <w:szCs w:val="1"/>
                <w:color w:val="auto"/>
              </w:rPr>
            </w:pPr>
          </w:p>
        </w:tc>
      </w:tr>
      <w:tr>
        <w:trPr>
          <w:trHeight w:val="213"/>
        </w:trPr>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8,999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(6,986)</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217</w:t>
            </w:r>
          </w:p>
        </w:tc>
        <w:tc>
          <w:tcPr>
            <w:tcW w:w="0" w:type="dxa"/>
            <w:vAlign w:val="bottom"/>
          </w:tcPr>
          <w:p>
            <w:pPr>
              <w:spacing w:after="0"/>
              <w:rPr>
                <w:sz w:val="1"/>
                <w:szCs w:val="1"/>
                <w:color w:val="auto"/>
              </w:rPr>
            </w:pPr>
          </w:p>
        </w:tc>
      </w:tr>
      <w:tr>
        <w:trPr>
          <w:trHeight w:val="207"/>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(865)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181</w:t>
            </w:r>
          </w:p>
        </w:tc>
        <w:tc>
          <w:tcPr>
            <w:tcW w:w="0" w:type="dxa"/>
            <w:vAlign w:val="bottom"/>
          </w:tcPr>
          <w:p>
            <w:pPr>
              <w:spacing w:after="0"/>
              <w:rPr>
                <w:sz w:val="1"/>
                <w:szCs w:val="1"/>
                <w:color w:val="auto"/>
              </w:rPr>
            </w:pPr>
          </w:p>
        </w:tc>
      </w:tr>
      <w:tr>
        <w:trPr>
          <w:trHeight w:val="206"/>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(719)</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120</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4"/>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vMerge w:val="restart"/>
          </w:tcPr>
          <w:p>
            <w:pPr>
              <w:jc w:val="right"/>
              <w:ind w:right="1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11,449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(8,588</w:t>
            </w:r>
          </w:p>
        </w:tc>
        <w:tc>
          <w:tcPr>
            <w:tcW w:w="220" w:type="dxa"/>
            <w:vAlign w:val="bottom"/>
            <w:vMerge w:val="continue"/>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2,861</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-734695</wp:posOffset>
            </wp:positionV>
            <wp:extent cx="7149465" cy="142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42240"/>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-449580</wp:posOffset>
            </wp:positionV>
            <wp:extent cx="7149465" cy="135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-179705</wp:posOffset>
            </wp:positionV>
            <wp:extent cx="7149465" cy="157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5265" w:space="720"/>
            <w:col w:w="5280"/>
          </w:cols>
          <w:pgMar w:left="315" w:top="806" w:right="319" w:bottom="1440" w:gutter="0" w:footer="0" w:header="0"/>
          <w:type w:val="continuous"/>
        </w:sectPr>
      </w:pPr>
    </w:p>
    <w:p>
      <w:pPr>
        <w:ind w:left="285" w:hanging="285"/>
        <w:spacing w:after="0"/>
        <w:tabs>
          <w:tab w:leader="none" w:pos="28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$114 of accelerated amortization of the power purchase agreement associated with the renewable power generating facility to be abandoned in June 2023.</w:t>
      </w:r>
    </w:p>
    <w:p>
      <w:pPr>
        <w:spacing w:after="0" w:line="22" w:lineRule="exact"/>
        <w:rPr>
          <w:rFonts w:ascii="Times New Roman" w:cs="Times New Roman" w:eastAsia="Times New Roman" w:hAnsi="Times New Roman"/>
          <w:sz w:val="16"/>
          <w:szCs w:val="16"/>
          <w:color w:val="auto"/>
        </w:rPr>
      </w:pPr>
    </w:p>
    <w:p>
      <w:pPr>
        <w:ind w:left="285" w:right="20" w:hanging="285"/>
        <w:spacing w:after="0" w:line="253" w:lineRule="auto"/>
        <w:tabs>
          <w:tab w:leader="none" w:pos="28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(Months)</w:t>
            </w:r>
          </w:p>
        </w:tc>
        <w:tc>
          <w:tcPr>
            <w:tcW w:w="0" w:type="dxa"/>
            <w:vAlign w:val="bottom"/>
          </w:tcPr>
          <w:p>
            <w:pPr>
              <w:spacing w:after="0"/>
              <w:rPr>
                <w:sz w:val="1"/>
                <w:szCs w:val="1"/>
                <w:color w:val="auto"/>
              </w:rPr>
            </w:pPr>
          </w:p>
        </w:tc>
      </w:tr>
      <w:tr>
        <w:trPr>
          <w:trHeight w:val="213"/>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purchase agreements</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217</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(760)</w:t>
            </w:r>
          </w:p>
        </w:tc>
        <w:tc>
          <w:tcPr>
            <w:tcW w:w="80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181</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CNG sales contract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(639)</w:t>
            </w:r>
          </w:p>
        </w:tc>
        <w:tc>
          <w:tcPr>
            <w:tcW w:w="80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(11)</w:t>
            </w:r>
          </w:p>
        </w:tc>
        <w:tc>
          <w:tcPr>
            <w:tcW w:w="80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(8,012</w:t>
            </w:r>
          </w:p>
        </w:tc>
        <w:tc>
          <w:tcPr>
            <w:tcW w:w="1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3,437</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Amortization expense for 2021, 2020 and 2019 was $577, $555, and $613, respectively. At December 31, 2021, estimated future amortization expense for intangible assets is as follows:</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9. Goodwill</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900" w:type="dxa"/>
            <w:vAlign w:val="bottom"/>
            <w:gridSpan w:val="7"/>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changes in goodwill by reporting segment from the beginning of the period to the end of the period: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RNG Fuel</w:t>
            </w:r>
          </w:p>
        </w:tc>
        <w:tc>
          <w:tcPr>
            <w:tcW w:w="1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Supply</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2019</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3,453</w:t>
            </w: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Net additions during the year</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3,453</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485" w:right="4540" w:hanging="5485"/>
        <w:spacing w:after="0" w:line="768" w:lineRule="auto"/>
        <w:tabs>
          <w:tab w:leader="none" w:pos="28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 relates to the step acquisition of Beacon. See Note 5, Acquisition, for additional information. 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4946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type w:val="continuous"/>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Borrowings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borrowings under the various debt facilities as of December 31, 2021 and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term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(73,145)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Senior secured credit facility, term loan, net of debt issuance costs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72,256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(5,182)</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TruStar revolver credit facility</w:t>
            </w: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TruStar revolver credit facility</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Sunoma loan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Sunoma loan, net of debt issuance costs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16,199</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term loan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discount and debt issuance costs</w:t>
            </w: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OPAL term loan, net of debt discount and debt issuance costs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59,090</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Municipality loan</w:t>
            </w: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borrowings total</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134,083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90,504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Senior secured</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OPAL term</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7"/>
              </w:rPr>
              <w:t>Municipality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2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credit facility</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loan</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note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9"/>
        </w:trPr>
        <w:tc>
          <w:tcPr>
            <w:tcW w:w="2460" w:type="dxa"/>
            <w:vAlign w:val="bottom"/>
            <w:tcBorders>
              <w:top w:val="single" w:sz="8" w:color="CCEEFF"/>
            </w:tcBorders>
            <w:shd w:val="clear" w:color="auto" w:fill="CCEEFF"/>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2022</w:t>
            </w:r>
          </w:p>
        </w:tc>
        <w:tc>
          <w:tcPr>
            <w:tcW w:w="2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81,369</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94,988</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2460" w:type="dxa"/>
            <w:vAlign w:val="bottom"/>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2023</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16,110</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16,194</w:t>
            </w:r>
          </w:p>
        </w:tc>
      </w:tr>
      <w:tr>
        <w:trPr>
          <w:trHeight w:val="189"/>
        </w:trPr>
        <w:tc>
          <w:tcPr>
            <w:tcW w:w="2460" w:type="dxa"/>
            <w:vAlign w:val="bottom"/>
            <w:shd w:val="clear" w:color="auto" w:fill="CCEEFF"/>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2024</w:t>
            </w: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16,110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16,110</w:t>
            </w:r>
          </w:p>
        </w:tc>
      </w:tr>
      <w:tr>
        <w:trPr>
          <w:trHeight w:val="201"/>
        </w:trPr>
        <w:tc>
          <w:tcPr>
            <w:tcW w:w="2460" w:type="dxa"/>
            <w:vAlign w:val="bottom"/>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2025</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58,710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88,065</w:t>
            </w:r>
          </w:p>
        </w:tc>
      </w:tr>
      <w:tr>
        <w:trPr>
          <w:trHeight w:val="24"/>
        </w:trPr>
        <w:tc>
          <w:tcPr>
            <w:tcW w:w="2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81,369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58,710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278</w:t>
            </w:r>
          </w:p>
        </w:tc>
        <w:tc>
          <w:tcPr>
            <w:tcW w:w="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215,357</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Senior secured credit facility</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 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6"/>
          <w:szCs w:val="16"/>
          <w:b w:val="1"/>
          <w:bCs w:val="1"/>
          <w:color w:val="auto"/>
        </w:rPr>
        <w: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Patronage dividends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TruStar revolver credit facility</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amounts outstanding under this credit facility had an interest rate of 1.0% plus one month LIBOR.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Sunoma loan</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amounts outstanding under the Sunoma loan agreement are secured by the assets of Sunoma.</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Sunoma loan agreement contains certain financial covenants which require Sunoma to maintain (i) Maximum debt to worth ratio cannot exceed 5 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significant assets of Sunoma are parenthesized in the consolidated balance sheets as December 31, 2021 and December 31, 2020. Refer to Note 16 Variable Interest Entities for additional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term loan</w:t>
      </w:r>
    </w:p>
    <w:p>
      <w:pPr>
        <w:spacing w:after="0" w:line="196"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15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Municipality loan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from Affiliate and Line of Credit from Affiliate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56" w:lineRule="exact"/>
        <w:rPr>
          <w:sz w:val="20"/>
          <w:szCs w:val="20"/>
          <w:color w:val="auto"/>
        </w:rPr>
      </w:pPr>
    </w:p>
    <w:p>
      <w:pPr>
        <w:jc w:val="both"/>
        <w:ind w:right="20" w:firstLine="283"/>
        <w:spacing w:after="0" w:line="274" w:lineRule="auto"/>
        <w:rPr>
          <w:sz w:val="20"/>
          <w:szCs w:val="20"/>
          <w:color w:val="auto"/>
        </w:rPr>
      </w:pPr>
      <w:r>
        <w:rPr>
          <w:rFonts w:ascii="Times New Roman" w:cs="Times New Roman" w:eastAsia="Times New Roman" w:hAnsi="Times New Roman"/>
          <w:sz w:val="15"/>
          <w:szCs w:val="15"/>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2021</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2021, the interest rate on TruStar Revolver Credit Facility including a margin plus LIBOR was 1.52%.</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2021, the paid-in-kind interest rate on Convertible note payable was 8%. The change in fair value of the Note recorded as interest expense between May 1, 2021 and December 31, 2021 was $3,300.</w:t>
      </w:r>
    </w:p>
    <w:p>
      <w:pPr>
        <w:spacing w:after="0" w:line="14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2021, the weighted average effective interest rate on the Sunoma Credit Facility was 7.75%.</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2021, the weighted average interest rate on Municipality Loan was 3.0%.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2020</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2020, the interest rate on TruStar Revolver Credit Facility including a margin plus LIBOR was 2.1%.</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2020, the weighted average effective interest rate on the Sunoma Credit Facility was 7.75%.</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2020, the weighted average interest rate on Municipality Loan was 3.0%.</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38" w:name="page239"/>
    <w:bookmarkEnd w:id="238"/>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2020, the weighted average interest rate on Line of Credit and Loan from Affiliate was 10%.</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2019</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4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2019, the interest rate on TruStar Revolver Credit Facility including a margin plus LIBOR was 2.1%.</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2019, the weighted average interest rate on Municipality Loan was 3.0%.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2019, the weighted average interest rate on Line of Credit and Loan from Affiliate was 10%.</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Company’s total interest and financing expense, net for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ind w:right="2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Trustar revolver credit facility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term loan</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Line of credit/Loan from Affiliate</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 fees and other finance fees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6,655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Senior secured facility is presented net of patronage dividends received of $628, $136 and $131 for the years ended December 31, 2021, 2020 and 2019, respectively.</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11. Leases</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60"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9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Future minimum lease payments are as follows: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3"/>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18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5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690</w:t>
            </w:r>
          </w:p>
        </w:tc>
      </w:tr>
      <w:tr>
        <w:trPr>
          <w:trHeight w:val="189"/>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283</w:t>
            </w:r>
          </w:p>
        </w:tc>
      </w:tr>
      <w:tr>
        <w:trPr>
          <w:trHeight w:val="18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w:t>
            </w:r>
          </w:p>
        </w:tc>
      </w:tr>
      <w:tr>
        <w:trPr>
          <w:trHeight w:val="201"/>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r>
      <w:tr>
        <w:trPr>
          <w:trHeight w:val="24"/>
        </w:trPr>
        <w:tc>
          <w:tcPr>
            <w:tcW w:w="9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incurred rent expense of $1,098, $1,242 and $1,464, in 2021, 2020 and 2019, respectively.</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 Financial Instruments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location and amounts of derivatives fair values in the balance sheet 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Location of</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Recognized</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Balance Sheet</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interest rate swaps</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(992)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(1,689)</w:t>
            </w:r>
          </w:p>
        </w:tc>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 net of current portion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(1,096)</w:t>
            </w: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Derivative financial liability, non-current  portion</w:t>
            </w:r>
          </w:p>
        </w:tc>
        <w:tc>
          <w:tcPr>
            <w:tcW w:w="0" w:type="dxa"/>
            <w:vAlign w:val="bottom"/>
          </w:tcPr>
          <w:p>
            <w:pPr>
              <w:spacing w:after="0"/>
              <w:rPr>
                <w:sz w:val="1"/>
                <w:szCs w:val="1"/>
                <w:color w:val="auto"/>
              </w:rPr>
            </w:pPr>
          </w:p>
        </w:tc>
      </w:tr>
      <w:tr>
        <w:trPr>
          <w:trHeight w:val="24"/>
        </w:trPr>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40" w:type="dxa"/>
            <w:vAlign w:val="bottom"/>
            <w:vMerge w:val="continue"/>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 of interest rate swaps on our consolidated statement of operations was: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7"/>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(Loss) Gain Recognized in</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(Loss)</w:t>
            </w:r>
          </w:p>
        </w:tc>
      </w:tr>
      <w:tr>
        <w:trPr>
          <w:trHeight w:val="223"/>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Operations from interest rate swaps</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Gain Recognized in Operations</w:t>
            </w:r>
          </w:p>
        </w:tc>
      </w:tr>
      <w:tr>
        <w:trPr>
          <w:trHeight w:val="20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from Derivatives</w:t>
            </w:r>
          </w:p>
        </w:tc>
      </w:tr>
      <w:tr>
        <w:trPr>
          <w:trHeight w:val="221"/>
        </w:trPr>
        <w:tc>
          <w:tcPr>
            <w:tcW w:w="3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200" w:type="dxa"/>
            <w:vAlign w:val="bottom"/>
            <w:tcBorders>
              <w:top w:val="single" w:sz="8" w:color="CCEEFF"/>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8"/>
                <w:szCs w:val="8"/>
                <w:color w:val="auto"/>
                <w:w w:val="73"/>
              </w:rPr>
              <w:t>)</w:t>
            </w:r>
          </w:p>
        </w:tc>
        <w:tc>
          <w:tcPr>
            <w:tcW w:w="33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value of derivative financial instruments</w:t>
            </w:r>
          </w:p>
        </w:tc>
      </w:tr>
      <w:tr>
        <w:trPr>
          <w:trHeight w:val="176"/>
        </w:trPr>
        <w:tc>
          <w:tcPr>
            <w:tcW w:w="3840" w:type="dxa"/>
            <w:vAlign w:val="bottom"/>
            <w:tcBorders>
              <w:bottom w:val="single" w:sz="8" w:color="CCEEFF"/>
            </w:tcBorders>
            <w:gridSpan w:val="2"/>
          </w:tcPr>
          <w:p>
            <w:pPr>
              <w:spacing w:after="0" w:line="173" w:lineRule="exact"/>
              <w:rPr>
                <w:sz w:val="20"/>
                <w:szCs w:val="20"/>
                <w:color w:val="auto"/>
              </w:rPr>
            </w:pPr>
            <w:r>
              <w:rPr>
                <w:rFonts w:ascii="Times New Roman" w:cs="Times New Roman" w:eastAsia="Times New Roman" w:hAnsi="Times New Roman"/>
                <w:sz w:val="16"/>
                <w:szCs w:val="16"/>
                <w:color w:val="auto"/>
              </w:rPr>
              <w:t>Net periodic settlements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(1,694</w:t>
            </w:r>
          </w:p>
        </w:tc>
        <w:tc>
          <w:tcPr>
            <w:tcW w:w="240" w:type="dxa"/>
            <w:vAlign w:val="bottom"/>
            <w:tcBorders>
              <w:bottom w:val="single" w:sz="8" w:color="CCEEFF"/>
            </w:tcBorders>
          </w:tcPr>
          <w:p>
            <w:pPr>
              <w:jc w:val="right"/>
              <w:ind w:right="10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(1,147</w:t>
            </w:r>
          </w:p>
        </w:tc>
        <w:tc>
          <w:tcPr>
            <w:tcW w:w="140" w:type="dxa"/>
            <w:vAlign w:val="bottom"/>
            <w:tcBorders>
              <w:bottom w:val="single" w:sz="8" w:color="CCEEFF"/>
            </w:tcBorders>
          </w:tcPr>
          <w:p>
            <w:pPr>
              <w:jc w:val="right"/>
              <w:ind w:right="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185</w:t>
            </w:r>
          </w:p>
        </w:tc>
        <w:tc>
          <w:tcPr>
            <w:tcW w:w="3580" w:type="dxa"/>
            <w:vAlign w:val="bottom"/>
            <w:tcBorders>
              <w:bottom w:val="single" w:sz="8" w:color="CCEEFF"/>
            </w:tcBorders>
            <w:gridSpan w:val="2"/>
          </w:tcPr>
          <w:p>
            <w:pPr>
              <w:ind w:left="200"/>
              <w:spacing w:after="0" w:line="173" w:lineRule="exact"/>
              <w:rPr>
                <w:sz w:val="20"/>
                <w:szCs w:val="20"/>
                <w:color w:val="auto"/>
              </w:rPr>
            </w:pPr>
            <w:r>
              <w:rPr>
                <w:rFonts w:ascii="Times New Roman" w:cs="Times New Roman" w:eastAsia="Times New Roman" w:hAnsi="Times New Roman"/>
                <w:sz w:val="16"/>
                <w:szCs w:val="16"/>
                <w:color w:val="auto"/>
              </w:rPr>
              <w:t>Change in value of derivative financial instruments</w:t>
            </w:r>
          </w:p>
        </w:tc>
      </w:tr>
      <w:tr>
        <w:trPr>
          <w:trHeight w:val="216"/>
        </w:trPr>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8"/>
                <w:szCs w:val="8"/>
                <w:color w:val="auto"/>
                <w:w w:val="73"/>
              </w:rPr>
              <w:t>)</w:t>
            </w:r>
          </w:p>
        </w:tc>
        <w:tc>
          <w:tcPr>
            <w:tcW w:w="3380" w:type="dxa"/>
            <w:vAlign w:val="bottom"/>
            <w:shd w:val="clear" w:color="auto" w:fill="CCEEFF"/>
          </w:tcPr>
          <w:p>
            <w:pPr>
              <w:spacing w:after="0"/>
              <w:rPr>
                <w:sz w:val="18"/>
                <w:szCs w:val="18"/>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Assets/(Liabilities)</w:t>
            </w:r>
          </w:p>
        </w:tc>
      </w:tr>
      <w:tr>
        <w:trPr>
          <w:trHeight w:val="189"/>
        </w:trPr>
        <w:tc>
          <w:tcPr>
            <w:tcW w:w="4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Net Amounts of</w:t>
            </w:r>
          </w:p>
        </w:tc>
      </w:tr>
      <w:tr>
        <w:trPr>
          <w:trHeight w:val="189"/>
        </w:trPr>
        <w:tc>
          <w:tcPr>
            <w:tcW w:w="4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156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Assets/(Liabilities)</w:t>
            </w:r>
          </w:p>
        </w:tc>
      </w:tr>
      <w:tr>
        <w:trPr>
          <w:trHeight w:val="189"/>
        </w:trPr>
        <w:tc>
          <w:tcPr>
            <w:tcW w:w="4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of Recognized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Presented in the</w:t>
            </w:r>
          </w:p>
        </w:tc>
      </w:tr>
      <w:tr>
        <w:trPr>
          <w:trHeight w:val="201"/>
        </w:trPr>
        <w:tc>
          <w:tcPr>
            <w:tcW w:w="4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211"/>
        </w:trPr>
        <w:tc>
          <w:tcPr>
            <w:tcW w:w="44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r>
      <w:tr>
        <w:trPr>
          <w:trHeight w:val="189"/>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8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 liability</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(992)</w:t>
            </w:r>
          </w:p>
        </w:tc>
      </w:tr>
      <w:tr>
        <w:trPr>
          <w:trHeight w:val="189"/>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 liability</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(2,785)</w:t>
            </w: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collateral balances with counterparties outstanding as of the period-end dates.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40" w:name="page241"/>
    <w:bookmarkEnd w:id="24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12. Derivative Financial Instruments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Commodity swap contracts</w:t>
      </w:r>
    </w:p>
    <w:p>
      <w:pPr>
        <w:spacing w:after="0" w:line="196"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68" w:lineRule="exact"/>
        <w:rPr>
          <w:sz w:val="20"/>
          <w:szCs w:val="20"/>
          <w:color w:val="auto"/>
        </w:rPr>
      </w:pPr>
    </w:p>
    <w:p>
      <w:pPr>
        <w:jc w:val="both"/>
        <w:ind w:left="5" w:firstLine="283"/>
        <w:spacing w:after="0" w:line="278" w:lineRule="auto"/>
        <w:rPr>
          <w:sz w:val="20"/>
          <w:szCs w:val="20"/>
          <w:color w:val="auto"/>
        </w:rPr>
      </w:pPr>
      <w:r>
        <w:rPr>
          <w:rFonts w:ascii="Times New Roman" w:cs="Times New Roman" w:eastAsia="Times New Roman" w:hAnsi="Times New Roman"/>
          <w:sz w:val="15"/>
          <w:szCs w:val="15"/>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4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commodity swaps in place as of December 31, 2021 and 2020:</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Contract</w:t>
            </w:r>
          </w:p>
        </w:tc>
      </w:tr>
      <w:tr>
        <w:trPr>
          <w:trHeight w:val="201"/>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per year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price</w:t>
            </w:r>
          </w:p>
        </w:tc>
      </w:tr>
      <w:tr>
        <w:trPr>
          <w:trHeight w:val="211"/>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Period to</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(“Mwh”)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(per Mwh)</w:t>
            </w:r>
          </w:p>
        </w:tc>
      </w:tr>
      <w:tr>
        <w:trPr>
          <w:trHeight w:val="189"/>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14, 2018</w:t>
            </w:r>
          </w:p>
        </w:tc>
        <w:tc>
          <w:tcPr>
            <w:tcW w:w="1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2019</w:t>
            </w: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30, 2022</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8"/>
              </w:rPr>
              <w:t>66.12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22, 2019</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January 1, 2020</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31, 2021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35.75</w:t>
            </w:r>
          </w:p>
        </w:tc>
      </w:tr>
      <w:tr>
        <w:trPr>
          <w:trHeight w:val="18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28, 2021</w:t>
            </w:r>
          </w:p>
        </w:tc>
        <w:tc>
          <w:tcPr>
            <w:tcW w:w="2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November 1, 2021</w:t>
            </w: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31, 2022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30,660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48.75</w:t>
            </w:r>
          </w:p>
        </w:tc>
      </w:tr>
      <w:tr>
        <w:trPr>
          <w:trHeight w:val="206"/>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27, 2021</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January 1, 2022</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31, 2022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50.75</w:t>
            </w:r>
          </w:p>
        </w:tc>
      </w:tr>
    </w:tbl>
    <w:p>
      <w:pPr>
        <w:spacing w:after="0" w:line="15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effect of commodity swaps on the consolidated statements of operations for the years ended December 31, 2021, 2020 and 2019.</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Fiscal Years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120" w:type="dxa"/>
            <w:vAlign w:val="bottom"/>
          </w:tcPr>
          <w:p>
            <w:pPr>
              <w:spacing w:after="0"/>
              <w:rPr>
                <w:sz w:val="17"/>
                <w:szCs w:val="17"/>
                <w:color w:val="auto"/>
              </w:rPr>
            </w:pPr>
          </w:p>
        </w:tc>
        <w:tc>
          <w:tcPr>
            <w:tcW w:w="2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Location of (loss) gain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120" w:type="dxa"/>
            <w:vAlign w:val="bottom"/>
          </w:tcPr>
          <w:p>
            <w:pPr>
              <w:spacing w:after="0"/>
              <w:rPr>
                <w:sz w:val="17"/>
                <w:szCs w:val="17"/>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recognized</w:t>
            </w: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9"/>
              </w:rPr>
              <w:t>(Restated)(1)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97"/>
              </w:rPr>
              <w:t>(Restated)(1)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Commodity swaps – realized (loss) gain</w:t>
            </w:r>
          </w:p>
        </w:tc>
        <w:tc>
          <w:tcPr>
            <w:tcW w:w="2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1,129</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Commodity swaps – unrealized (loss)</w:t>
            </w:r>
          </w:p>
        </w:tc>
        <w:tc>
          <w:tcPr>
            <w:tcW w:w="25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tcPr>
          <w:p>
            <w:pPr>
              <w:spacing w:after="0"/>
              <w:rPr>
                <w:sz w:val="17"/>
                <w:szCs w:val="17"/>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4"/>
        </w:trPr>
        <w:tc>
          <w:tcPr>
            <w:tcW w:w="4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realized and unrealized(loss) gain</w:t>
            </w:r>
          </w:p>
        </w:tc>
        <w:tc>
          <w:tcPr>
            <w:tcW w:w="25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vMerge w:val="continue"/>
            <w:shd w:val="clear" w:color="auto" w:fill="CCEEFF"/>
          </w:tcPr>
          <w:p>
            <w:pPr>
              <w:spacing w:after="0"/>
              <w:rPr>
                <w:sz w:val="18"/>
                <w:szCs w:val="18"/>
                <w:color w:val="auto"/>
              </w:rPr>
            </w:pPr>
          </w:p>
        </w:tc>
        <w:tc>
          <w:tcPr>
            <w:tcW w:w="2500" w:type="dxa"/>
            <w:vAlign w:val="bottom"/>
            <w:gridSpan w:val="3"/>
            <w:vMerge w:val="continue"/>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275" w:lineRule="auto"/>
        <w:tabs>
          <w:tab w:leader="none" w:pos="28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Revenues for the years ended December 31, 2020 and 2019 were restated to record unrealized loss of $1,176 and $373, respectively. Please see Note 2 Restatement of financial statements for additional information.</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Derivative Financial Instruments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shows the derivative assets and liabilities related to commodity swaps as of December 31, 2021 and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Location of</w:t>
            </w:r>
          </w:p>
        </w:tc>
      </w:tr>
      <w:tr>
        <w:trPr>
          <w:trHeight w:val="20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Recognized in Balance Sheet</w:t>
            </w:r>
          </w:p>
        </w:tc>
      </w:t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8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r>
      <w:tr>
        <w:trPr>
          <w:trHeight w:val="189"/>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unrealized gain on commodity swaps</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w:t>
            </w: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810</w:t>
            </w: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financial asset – current portion</w:t>
            </w:r>
          </w:p>
        </w:tc>
      </w:tr>
      <w:tr>
        <w:trPr>
          <w:trHeight w:val="20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on commodity swaps, net of current portion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719</w:t>
            </w: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financial asset – non-current</w:t>
            </w:r>
          </w:p>
        </w:tc>
      </w:tr>
      <w:tr>
        <w:trPr>
          <w:trHeight w:val="216"/>
        </w:trPr>
        <w:tc>
          <w:tcPr>
            <w:tcW w:w="4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1,529</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Related Parties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Related parties are represented by our Ultimate Parent and other affiliates, subsidiaries and other entities under common control with the Ultimate Parent.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contributions and distribution from and to members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During the years ended December 31, 2021, 2020 and 2019, the Company received contributions from its Ultimate Parent of $7,531, $15,128 and $30,057, respectively.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the Company made distributions to its Ultimate Parent of $3,695, $852 and $404 for the years ended December 31, 2021, 2020 and 2019.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 of non-controlling interests to Related Parties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xml:space="preserve">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of investments from Related Parties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commitment letters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7" w:right="31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Related Parties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distributed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under the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Amount</w:t>
            </w:r>
          </w:p>
        </w:tc>
      </w:tr>
      <w:tr>
        <w:trPr>
          <w:trHeight w:val="201"/>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Commitment</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commitment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 yet</w:t>
            </w: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Letters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letters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 be fulfilled</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Noble Road RNG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Pine Bend RNG</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21,504</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21,504</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River RNG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8,789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120" w:type="dxa"/>
            <w:vAlign w:val="bottom"/>
            <w:shd w:val="clear" w:color="auto" w:fill="CCEEFF"/>
          </w:tcPr>
          <w:p>
            <w:pPr>
              <w:spacing w:after="0"/>
              <w:rPr>
                <w:sz w:val="17"/>
                <w:szCs w:val="17"/>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49,293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contracts with Related Parties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 agreements with Related Parties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45"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5"/>
          <w:szCs w:val="15"/>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4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Related Parties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various fees recorded under the agreements described above which are included in our Selling, general administrative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Staffing and management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IT services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Managements services</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Guaranty fees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processing fees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7,539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Benefit Plan</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Reportable Segments and Geographic Information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organized into six operating segments based on the characteristics of its Renewable Power generation and dispensing portfolio and the nature of other products and services:</w:t>
      </w:r>
    </w:p>
    <w:p>
      <w:pPr>
        <w:spacing w:after="0" w:line="143" w:lineRule="exact"/>
        <w:rPr>
          <w:sz w:val="20"/>
          <w:szCs w:val="20"/>
          <w:color w:val="auto"/>
        </w:rPr>
      </w:pPr>
    </w:p>
    <w:p>
      <w:pPr>
        <w:ind w:left="840" w:right="20" w:hanging="278"/>
        <w:spacing w:after="0" w:line="278" w:lineRule="auto"/>
        <w:tabs>
          <w:tab w:leader="none" w:pos="8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3 Portfolio. </w:t>
      </w:r>
      <w:r>
        <w:rPr>
          <w:rFonts w:ascii="Times New Roman" w:cs="Times New Roman" w:eastAsia="Times New Roman" w:hAnsi="Times New Roman"/>
          <w:sz w:val="16"/>
          <w:szCs w:val="16"/>
          <w:color w:val="auto"/>
        </w:rPr>
        <w:t>The Renewable Power 3 (“RP3”) portfolio generates electricity through methane-rich landfills and digester gas collection systems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primarily located in Southern California. RP3 sells renewable electricity to public utilities throughout the United States.</w:t>
      </w:r>
    </w:p>
    <w:p>
      <w:pPr>
        <w:spacing w:after="0" w:line="140" w:lineRule="exact"/>
        <w:rPr>
          <w:rFonts w:ascii="Times New Roman" w:cs="Times New Roman" w:eastAsia="Times New Roman" w:hAnsi="Times New Roman"/>
          <w:sz w:val="16"/>
          <w:szCs w:val="16"/>
          <w:color w:val="auto"/>
        </w:rPr>
      </w:pPr>
    </w:p>
    <w:p>
      <w:pPr>
        <w:ind w:left="840" w:right="20" w:hanging="278"/>
        <w:spacing w:after="0" w:line="278" w:lineRule="auto"/>
        <w:tabs>
          <w:tab w:leader="none" w:pos="8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4 Portfolio. </w:t>
      </w:r>
      <w:r>
        <w:rPr>
          <w:rFonts w:ascii="Times New Roman" w:cs="Times New Roman" w:eastAsia="Times New Roman" w:hAnsi="Times New Roman"/>
          <w:sz w:val="16"/>
          <w:szCs w:val="16"/>
          <w:color w:val="auto"/>
        </w:rPr>
        <w:t>The Renewable Power 4 (“RP4”) portfolio generates electricity through methane-rich landfills and digester gas collection systems.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RP4 sells renewable electricity to public utilities throughout the United States.</w:t>
      </w:r>
    </w:p>
    <w:p>
      <w:pPr>
        <w:spacing w:after="0" w:line="140" w:lineRule="exact"/>
        <w:rPr>
          <w:rFonts w:ascii="Times New Roman" w:cs="Times New Roman" w:eastAsia="Times New Roman" w:hAnsi="Times New Roman"/>
          <w:sz w:val="16"/>
          <w:szCs w:val="16"/>
          <w:color w:val="auto"/>
        </w:rPr>
      </w:pPr>
    </w:p>
    <w:p>
      <w:pPr>
        <w:jc w:val="both"/>
        <w:ind w:left="840" w:hanging="278"/>
        <w:spacing w:after="0" w:line="251" w:lineRule="auto"/>
        <w:tabs>
          <w:tab w:leader="none" w:pos="8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Supply. </w:t>
      </w:r>
      <w:r>
        <w:rPr>
          <w:rFonts w:ascii="Times New Roman" w:cs="Times New Roman" w:eastAsia="Times New Roman" w:hAnsi="Times New Roman"/>
          <w:sz w:val="16"/>
          <w:szCs w:val="16"/>
          <w:color w:val="auto"/>
        </w:rPr>
        <w:t>The RNG Fuel portfolio consists of the Company’s interests in Beacon, Noble Road, Sunoma, GREP and other RNG projects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44" w:name="page245"/>
    <w:bookmarkEnd w:id="24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245" w:hanging="245"/>
        <w:spacing w:after="0"/>
        <w:tabs>
          <w:tab w:leader="none" w:pos="245"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Reportable Segments and Geographic Information </w:t>
      </w:r>
      <w:r>
        <w:rPr>
          <w:rFonts w:ascii="Times New Roman" w:cs="Times New Roman" w:eastAsia="Times New Roman" w:hAnsi="Times New Roman"/>
          <w:sz w:val="16"/>
          <w:szCs w:val="16"/>
          <w:color w:val="auto"/>
        </w:rPr>
        <w:t>(cont.)</w:t>
      </w:r>
    </w:p>
    <w:p>
      <w:pPr>
        <w:spacing w:after="0" w:line="194" w:lineRule="exact"/>
        <w:rPr>
          <w:rFonts w:ascii="Times New Roman" w:cs="Times New Roman" w:eastAsia="Times New Roman" w:hAnsi="Times New Roman"/>
          <w:sz w:val="16"/>
          <w:szCs w:val="16"/>
          <w:b w:val="1"/>
          <w:bCs w:val="1"/>
          <w:color w:val="auto"/>
        </w:rPr>
      </w:pPr>
    </w:p>
    <w:p>
      <w:pPr>
        <w:ind w:left="565" w:hanging="282"/>
        <w:spacing w:after="0" w:line="278" w:lineRule="auto"/>
        <w:tabs>
          <w:tab w:leader="none" w:pos="56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Dispensing. </w:t>
      </w:r>
      <w:r>
        <w:rPr>
          <w:rFonts w:ascii="Times New Roman" w:cs="Times New Roman" w:eastAsia="Times New Roman" w:hAnsi="Times New Roman"/>
          <w:sz w:val="16"/>
          <w:szCs w:val="16"/>
          <w:color w:val="auto"/>
        </w:rPr>
        <w:t>The Company owns and operates CNG fueling stations that are strategically located to supply fuel to third-party vehicle fleets throughout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United States. CNG Fueling Operations also supplies CNG vehicle fuel to stations owned by third parties.</w:t>
      </w:r>
    </w:p>
    <w:p>
      <w:pPr>
        <w:spacing w:after="0" w:line="140"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Construction Services. </w:t>
      </w:r>
      <w:r>
        <w:rPr>
          <w:rFonts w:ascii="Times New Roman" w:cs="Times New Roman" w:eastAsia="Times New Roman" w:hAnsi="Times New Roman"/>
          <w:sz w:val="16"/>
          <w:szCs w:val="16"/>
          <w:color w:val="auto"/>
        </w:rPr>
        <w:t>The Company also provides design and construction services to third parties for vehicle fueling stations.</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The Company also provides maintenance services to third-party owners of vehicle fueling stations.</w:t>
      </w:r>
    </w:p>
    <w:p>
      <w:pPr>
        <w:spacing w:after="0" w:line="196" w:lineRule="exact"/>
        <w:rPr>
          <w:sz w:val="20"/>
          <w:szCs w:val="20"/>
          <w:color w:val="auto"/>
        </w:rPr>
      </w:pPr>
    </w:p>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164"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1040" w:type="dxa"/>
            <w:vAlign w:val="bottom"/>
          </w:tcPr>
          <w:p>
            <w:pPr>
              <w:jc w:val="center"/>
              <w:ind w:right="1"/>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7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43,857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45,922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50,597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4,579</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60,097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14,772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12,366</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11,545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Construction Services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40,567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43,449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17,058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18,637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14,842</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Intersegment</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(4,293)</w:t>
            </w: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(3,247)</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(15,039)</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(12,366)</w:t>
            </w:r>
          </w:p>
        </w:tc>
        <w:tc>
          <w:tcPr>
            <w:tcW w:w="0" w:type="dxa"/>
            <w:vAlign w:val="bottom"/>
          </w:tcPr>
          <w:p>
            <w:pPr>
              <w:spacing w:after="0"/>
              <w:rPr>
                <w:sz w:val="1"/>
                <w:szCs w:val="1"/>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117,706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hanging="285"/>
        <w:spacing w:after="0"/>
        <w:tabs>
          <w:tab w:leader="none" w:pos="28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in Renewable Power 3 and RNG Fuel Dispensing segments have been restated. Please see Note 2 Restatement of financial statements for additional information.</w:t>
      </w:r>
    </w:p>
    <w:p>
      <w:pPr>
        <w:spacing w:after="0" w:line="22"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revenues of Fortistar Contracting LLC.</w:t>
      </w:r>
    </w:p>
    <w:p>
      <w:pPr>
        <w:spacing w:after="0" w:line="38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45" w:name="page246"/>
    <w:bookmarkEnd w:id="245"/>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15. Reportable Segments and Geographic Information </w:t>
            </w:r>
            <w:r>
              <w:rPr>
                <w:rFonts w:ascii="Times New Roman" w:cs="Times New Roman" w:eastAsia="Times New Roman" w:hAnsi="Times New Roman"/>
                <w:sz w:val="16"/>
                <w:szCs w:val="16"/>
                <w:color w:val="auto"/>
              </w:rPr>
              <w:t>(cont.)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1040" w:type="dxa"/>
            <w:vAlign w:val="bottom"/>
          </w:tcPr>
          <w:p>
            <w:pPr>
              <w:jc w:val="right"/>
              <w:ind w:right="21"/>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and Financing Expense, Net: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6,325</w:t>
            </w:r>
          </w:p>
        </w:tc>
        <w:tc>
          <w:tcPr>
            <w:tcW w:w="100" w:type="dxa"/>
            <w:vAlign w:val="bottom"/>
            <w:shd w:val="clear" w:color="auto" w:fill="CCEEFF"/>
          </w:tcPr>
          <w:p>
            <w:pPr>
              <w:spacing w:after="0"/>
              <w:rPr>
                <w:sz w:val="16"/>
                <w:szCs w:val="16"/>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1,678</w:t>
            </w:r>
          </w:p>
        </w:tc>
        <w:tc>
          <w:tcPr>
            <w:tcW w:w="8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shd w:val="clear" w:color="auto" w:fill="CCEEFF"/>
          </w:tcPr>
          <w:p>
            <w:pPr>
              <w:spacing w:after="0"/>
              <w:rPr>
                <w:sz w:val="20"/>
                <w:szCs w:val="20"/>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8,026</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right="20" w:hanging="285"/>
        <w:spacing w:after="0" w:line="275" w:lineRule="auto"/>
        <w:tabs>
          <w:tab w:leader="none" w:pos="28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interest expense associated with RNG Fuel Dispensing, Fuel Construction Services, and Fuel Station Services, as the Company does not maintain segment-level records for these balances.</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2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Depreciation, Amortization, and Accretion: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6,093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6,265</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Construction Services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24"/>
        </w:trPr>
        <w:tc>
          <w:tcPr>
            <w:tcW w:w="732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1"/>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4"/>
        </w:trPr>
        <w:tc>
          <w:tcPr>
            <w:tcW w:w="28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8,031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(1) Other includes amortization of intangible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and depreciation expense not allocated to any segment.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8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7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(26,447)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(3,261)</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55,402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6,298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2,622</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Construction Services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2,708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4,378</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3,367</w:t>
            </w:r>
          </w:p>
        </w:tc>
        <w:tc>
          <w:tcPr>
            <w:tcW w:w="0" w:type="dxa"/>
            <w:vAlign w:val="bottom"/>
          </w:tcPr>
          <w:p>
            <w:pPr>
              <w:spacing w:after="0"/>
              <w:rPr>
                <w:sz w:val="1"/>
                <w:szCs w:val="1"/>
                <w:color w:val="auto"/>
              </w:rPr>
            </w:pPr>
          </w:p>
        </w:tc>
      </w:tr>
      <w:tr>
        <w:trPr>
          <w:trHeight w:val="224"/>
        </w:trPr>
        <w:tc>
          <w:tcPr>
            <w:tcW w:w="732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(9,181)</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rPr>
                <w:sz w:val="16"/>
                <w:szCs w:val="16"/>
                <w:color w:val="auto"/>
              </w:rPr>
            </w:pPr>
          </w:p>
        </w:tc>
        <w:tc>
          <w:tcPr>
            <w:tcW w:w="45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40,769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(25,371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right="20" w:hanging="285"/>
        <w:spacing w:after="0" w:line="257" w:lineRule="auto"/>
        <w:tabs>
          <w:tab w:leader="none" w:pos="28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for the Renewable Power 3 segment has been restated to record unrealized losses on commodity swap contracts. Please see Note 2 Restatement of financial statements for additional information.</w:t>
      </w:r>
    </w:p>
    <w:p>
      <w:pPr>
        <w:spacing w:after="0" w:line="1" w:lineRule="exact"/>
        <w:rPr>
          <w:rFonts w:ascii="Times New Roman" w:cs="Times New Roman" w:eastAsia="Times New Roman" w:hAnsi="Times New Roman"/>
          <w:sz w:val="16"/>
          <w:szCs w:val="16"/>
          <w:color w:val="auto"/>
        </w:rPr>
      </w:pPr>
    </w:p>
    <w:p>
      <w:pPr>
        <w:ind w:left="285" w:right="20" w:hanging="285"/>
        <w:spacing w:after="0" w:line="253" w:lineRule="auto"/>
        <w:tabs>
          <w:tab w:leader="none" w:pos="28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35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46" w:name="page247"/>
    <w:bookmarkEnd w:id="24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15. Reportable Segments and Geographic Information </w:t>
            </w:r>
            <w:r>
              <w:rPr>
                <w:rFonts w:ascii="Times New Roman" w:cs="Times New Roman" w:eastAsia="Times New Roman" w:hAnsi="Times New Roman"/>
                <w:sz w:val="16"/>
                <w:szCs w:val="16"/>
                <w:color w:val="auto"/>
              </w:rPr>
              <w:t>(cont.)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40,901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54,860</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2,827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191,464</w:t>
            </w: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24"/>
        </w:trPr>
        <w:tc>
          <w:tcPr>
            <w:tcW w:w="86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98,502</w:t>
            </w:r>
          </w:p>
        </w:tc>
        <w:tc>
          <w:tcPr>
            <w:tcW w:w="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59,671</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380,844</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169,458</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hanging="285"/>
        <w:spacing w:after="0" w:line="257" w:lineRule="auto"/>
        <w:tabs>
          <w:tab w:leader="none" w:pos="28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285" w:right="20" w:hanging="285"/>
        <w:spacing w:after="0" w:line="253" w:lineRule="auto"/>
        <w:tabs>
          <w:tab w:leader="none" w:pos="28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total assets associated with Fortistar Contracting LLC, RNG Fuel Dispensing, Fuel Construction Services, and Fuel Station Services, as the Company does not maintain segment-level records for these balances.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Paid for Purchases of Property, Plant and Equipment: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78,854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17,886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1,001</w:t>
            </w:r>
          </w:p>
        </w:tc>
      </w:t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4,431</w:t>
            </w: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24,940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Geographic Information: The Company’s assets and revenue generating activities are domiciled in the United States.</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16. Stock-Based Compensation</w:t>
      </w:r>
    </w:p>
    <w:p>
      <w:pPr>
        <w:spacing w:after="0" w:line="196" w:lineRule="exact"/>
        <w:rPr>
          <w:sz w:val="20"/>
          <w:szCs w:val="20"/>
          <w:color w:val="auto"/>
        </w:rPr>
      </w:pPr>
    </w:p>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64"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the Profits Interests are valued at their fair value when issued and such fair value is expensed over the service vesting period.</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47" w:name="page248"/>
    <w:bookmarkEnd w:id="24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16. Stock-Based Compensation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 was recorded as a component of Selling, General and Administrative expenses within the consolidated statements of operations.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December 31, 2021, 46% of the Profit Interests issued vested and there were 54% of Profit Interests unvested. There were no forfeitures during the year ended December 31, 2021.</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December 31, 2020, 25% of the Profit Interests issued vested and there were 75% of Profit Interests unvested. There were 0 forfeitures during the year ended December 31, 2020.</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future compensation to be recognized for the above grants as of December 31, 2021 is $1,731 and will be recognized the remaining vesting period which ranges from one to four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Variable Interest Entities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60" w:lineRule="exact"/>
        <w:rPr>
          <w:sz w:val="20"/>
          <w:szCs w:val="20"/>
          <w:color w:val="auto"/>
        </w:rPr>
      </w:pPr>
    </w:p>
    <w:p>
      <w:pPr>
        <w:ind w:left="560" w:right="20" w:hanging="282"/>
        <w:spacing w:after="0" w:line="257" w:lineRule="auto"/>
        <w:tabs>
          <w:tab w:leader="none" w:pos="5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obligation to absorb the potential losses for the right to receive potential benefits, which could be significant to the VIE;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48" w:name="page249"/>
    <w:bookmarkEnd w:id="24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17. Variable Interest Entities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December 31, 2021, there was no activity in Emerald and Sapphire.</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As the Company has the ability to exercise significant influence, but not control, over the two entities, they were accounted for under the equity method of accounting under ASC 323</w:t>
      </w:r>
      <w:r>
        <w:rPr>
          <w:rFonts w:ascii="Times New Roman" w:cs="Times New Roman" w:eastAsia="Times New Roman" w:hAnsi="Times New Roman"/>
          <w:sz w:val="16"/>
          <w:szCs w:val="16"/>
          <w:i w:val="1"/>
          <w:iCs w:val="1"/>
          <w:color w:val="auto"/>
        </w:rPr>
        <w:t>, Investments Equity Method and Joint Ventures.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See Note 6, Investment in Other Entities for additional information</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Times New Roman" w:cs="Times New Roman" w:eastAsia="Times New Roman" w:hAnsi="Times New Roman"/>
          <w:sz w:val="16"/>
          <w:szCs w:val="16"/>
          <w:i w:val="1"/>
          <w:iCs w:val="1"/>
          <w:color w:val="auto"/>
        </w:rPr>
        <w:t>Consolidation.</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45" w:lineRule="exact"/>
        <w:rPr>
          <w:sz w:val="20"/>
          <w:szCs w:val="20"/>
          <w:color w:val="auto"/>
        </w:rPr>
      </w:pPr>
    </w:p>
    <w:p>
      <w:pPr>
        <w:ind w:left="560" w:hanging="282"/>
        <w:spacing w:after="0"/>
        <w:tabs>
          <w:tab w:leader="none" w:pos="5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VIEs are RNG facilities under construction except Sunoma and they are reported under RNG fuel supply segment;</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our interest in these entities is primarily equity based and therefore carry similar risk and reward characteristics;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49" w:name="page250"/>
    <w:bookmarkEnd w:id="249"/>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17. Variable Interest Entities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8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5"/>
              </w:rPr>
              <w:t>(Restated)</w:t>
            </w:r>
            <w:r>
              <w:rPr>
                <w:rFonts w:ascii="Times New Roman" w:cs="Times New Roman" w:eastAsia="Times New Roman" w:hAnsi="Times New Roman"/>
                <w:sz w:val="26"/>
                <w:szCs w:val="26"/>
                <w:color w:val="auto"/>
                <w:w w:val="95"/>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2,144</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5,088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31,101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Sunoma loan – current portion</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tcBorders>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Sunoma loan, net of debt issuance costs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16,199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470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ind w:left="140"/>
              <w:spacing w:after="0" w:line="173" w:lineRule="exact"/>
              <w:rPr>
                <w:sz w:val="20"/>
                <w:szCs w:val="20"/>
                <w:color w:val="auto"/>
              </w:rPr>
            </w:pPr>
            <w:r>
              <w:rPr>
                <w:rFonts w:ascii="Times New Roman" w:cs="Times New Roman" w:eastAsia="Times New Roman" w:hAnsi="Times New Roman"/>
                <w:sz w:val="16"/>
                <w:szCs w:val="16"/>
                <w:color w:val="auto"/>
              </w:rPr>
              <w:t>Members’ equity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Fuels LLC – equity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10,692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Non controlling interest in subsidiaries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31,101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25" w:right="20" w:hanging="325"/>
        <w:spacing w:after="0" w:line="278" w:lineRule="auto"/>
        <w:tabs>
          <w:tab w:leader="none" w:pos="32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 ended December 31, 2020 and 2019.</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18. Redeemable Preferred Units and Equity</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u w:val="single" w:color="auto"/>
          <w:color w:val="auto"/>
        </w:rPr>
        <w:t>Conversion of membership interests</w:t>
      </w:r>
    </w:p>
    <w:p>
      <w:pPr>
        <w:spacing w:after="0" w:line="194" w:lineRule="exact"/>
        <w:rPr>
          <w:sz w:val="20"/>
          <w:szCs w:val="20"/>
          <w:color w:val="auto"/>
        </w:rPr>
      </w:pPr>
    </w:p>
    <w:p>
      <w:pPr>
        <w:jc w:val="both"/>
        <w:ind w:left="5"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described in Note 1, </w:t>
      </w:r>
      <w:r>
        <w:rPr>
          <w:rFonts w:ascii="Times New Roman" w:cs="Times New Roman" w:eastAsia="Times New Roman" w:hAnsi="Times New Roman"/>
          <w:sz w:val="16"/>
          <w:szCs w:val="16"/>
          <w:i w:val="1"/>
          <w:iCs w:val="1"/>
          <w:color w:val="auto"/>
        </w:rPr>
        <w:t>Description of Business</w:t>
      </w:r>
      <w:r>
        <w:rPr>
          <w:rFonts w:ascii="Times New Roman" w:cs="Times New Roman" w:eastAsia="Times New Roman" w:hAnsi="Times New Roman"/>
          <w:sz w:val="16"/>
          <w:szCs w:val="16"/>
          <w:color w:val="auto"/>
        </w:rPr>
        <w:t xml:space="preserve"> and Note 3,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u w:val="single" w:color="auto"/>
          <w:color w:val="auto"/>
        </w:rPr>
        <w:t>Authorization and Issuance of Common Units and Preferred Units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50" w:name="page251"/>
    <w:bookmarkEnd w:id="25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18. Redeemable Preferred Units and Equity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changes in the redeemable preferred units from the December 31, 2020 to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Series A-1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preferred units</w:t>
            </w:r>
          </w:p>
        </w:tc>
        <w:tc>
          <w:tcPr>
            <w:tcW w:w="2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units</w:t>
            </w: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Hillman exchange – 300,000 Series A-1 units issued</w:t>
            </w: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dividends on issued and outstanding units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30,210</w:t>
            </w:r>
          </w:p>
        </w:tc>
        <w:tc>
          <w:tcPr>
            <w:tcW w:w="220" w:type="dxa"/>
            <w:vAlign w:val="bottom"/>
          </w:tcPr>
          <w:p>
            <w:pPr>
              <w:spacing w:after="0"/>
              <w:rPr>
                <w:sz w:val="17"/>
                <w:szCs w:val="17"/>
                <w:color w:val="auto"/>
              </w:rPr>
            </w:pPr>
          </w:p>
        </w:tc>
        <w:tc>
          <w:tcPr>
            <w:tcW w:w="18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Terms of Redeemable Preferred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Series A and Series A-1 preferred units (together the “Preferred Units”) have substantially the same terms and features which are listed below:</w:t>
      </w:r>
    </w:p>
    <w:p>
      <w:pPr>
        <w:spacing w:after="0" w:line="190" w:lineRule="exact"/>
        <w:rPr>
          <w:sz w:val="20"/>
          <w:szCs w:val="20"/>
          <w:color w:val="auto"/>
        </w:rPr>
      </w:pPr>
    </w:p>
    <w:p>
      <w:pPr>
        <w:jc w:val="both"/>
        <w:ind w:right="20" w:firstLine="283"/>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w:t>
      </w:r>
      <w:r>
        <w:rPr>
          <w:rFonts w:ascii="Times New Roman" w:cs="Times New Roman" w:eastAsia="Times New Roman" w:hAnsi="Times New Roman"/>
          <w:sz w:val="16"/>
          <w:szCs w:val="16"/>
          <w:color w:val="auto"/>
        </w:rPr>
        <w:t>The Series A-1 preferred units to Hillman do not have any voting rights. The Series A preferred units issued to NextEra have limited rights to prevent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taking certain actions including</w:t>
      </w:r>
    </w:p>
    <w:p>
      <w:pPr>
        <w:spacing w:after="0" w:line="142" w:lineRule="exact"/>
        <w:rPr>
          <w:sz w:val="20"/>
          <w:szCs w:val="20"/>
          <w:color w:val="auto"/>
        </w:rPr>
      </w:pPr>
    </w:p>
    <w:p>
      <w:pPr>
        <w:ind w:left="560" w:right="20" w:hanging="282"/>
        <w:spacing w:after="0" w:line="275" w:lineRule="auto"/>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issuances of new debt or equity (ii) executing transactions with affiliates which are not at arm-length basis (iii) major disposition of assets and (iv) major acquisition of assets outside of the Company’s primary business.</w:t>
      </w:r>
    </w:p>
    <w:p>
      <w:pPr>
        <w:spacing w:after="0" w:line="141" w:lineRule="exact"/>
        <w:rPr>
          <w:sz w:val="20"/>
          <w:szCs w:val="20"/>
          <w:color w:val="auto"/>
        </w:rPr>
      </w:pPr>
    </w:p>
    <w:p>
      <w:pPr>
        <w:jc w:val="both"/>
        <w:ind w:right="20"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The Preferred Units are entitled to receive dividends at the rate of 8% per annum. Dividends begin accruing for each unit from the date of issuance and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57"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preference: </w:t>
      </w:r>
      <w:r>
        <w:rPr>
          <w:rFonts w:ascii="Times New Roman" w:cs="Times New Roman" w:eastAsia="Times New Roman" w:hAnsi="Times New Roman"/>
          <w:sz w:val="16"/>
          <w:szCs w:val="16"/>
          <w:color w:val="auto"/>
        </w:rPr>
        <w:t>In the event of liquidation of the Company, each holder of a unit of Series A and Series A-1 is entitled to be paid on pro-rata basis the original issue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51"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w:t>
      </w:r>
      <w:r>
        <w:rPr>
          <w:rFonts w:ascii="Times New Roman" w:cs="Times New Roman" w:eastAsia="Times New Roman" w:hAnsi="Times New Roman"/>
          <w:sz w:val="16"/>
          <w:szCs w:val="16"/>
          <w:color w:val="auto"/>
        </w:rPr>
        <w:t>At any time after issuance, the Company may redeem the Redeemable preferred units for a price equal to original issue price of $100 per unit plus any accrued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51" w:name="page252"/>
    <w:bookmarkEnd w:id="251"/>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18. Redeemable Preferred Units and Equity </w:t>
      </w:r>
      <w:r>
        <w:rPr>
          <w:rFonts w:ascii="Times New Roman" w:cs="Times New Roman" w:eastAsia="Times New Roman" w:hAnsi="Times New Roman"/>
          <w:sz w:val="16"/>
          <w:szCs w:val="16"/>
          <w:color w:val="auto"/>
        </w:rPr>
        <w:t>(cont.)</w:t>
      </w:r>
    </w:p>
    <w:p>
      <w:pPr>
        <w:spacing w:after="0" w:line="192" w:lineRule="exact"/>
        <w:rPr>
          <w:sz w:val="20"/>
          <w:szCs w:val="20"/>
          <w:color w:val="auto"/>
        </w:rPr>
      </w:pPr>
    </w:p>
    <w:p>
      <w:pPr>
        <w:jc w:val="both"/>
        <w:ind w:left="5"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Conversion: </w:t>
      </w:r>
      <w:r>
        <w:rPr>
          <w:rFonts w:ascii="Times New Roman" w:cs="Times New Roman" w:eastAsia="Times New Roman" w:hAnsi="Times New Roman"/>
          <w:sz w:val="16"/>
          <w:szCs w:val="16"/>
          <w:color w:val="auto"/>
        </w:rPr>
        <w:t>Holder’s may elect to convert Preferred Units into common units in the limited chance that the Company fails to redeem the Preferred Units under an optional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year, and a 30% discount thereafter:</w:t>
      </w:r>
    </w:p>
    <w:p>
      <w:pPr>
        <w:spacing w:after="0" w:line="52" w:lineRule="exact"/>
        <w:rPr>
          <w:sz w:val="20"/>
          <w:szCs w:val="20"/>
          <w:color w:val="auto"/>
        </w:rPr>
      </w:pPr>
    </w:p>
    <w:p>
      <w:pPr>
        <w:ind w:left="565" w:hanging="282"/>
        <w:spacing w:after="0"/>
        <w:tabs>
          <w:tab w:leader="none" w:pos="56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20-day volume-weighted average price (“VWAP”) if common units are publicly traded</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20-day VWAP of public company common shares if the common units are exchangeable into public company shares</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the estimated proceeds to be received by the holder of a common unit if the net assets of the Company were sold at fair market value and distributed</w:t>
      </w:r>
    </w:p>
    <w:p>
      <w:pPr>
        <w:spacing w:after="0" w:line="194"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Company’s common units received by any holder upon conversion will be “paired” with an equivalent number of non-economic voting shares of the Company’s public registrant, as applicable.</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u w:val="single" w:color="auto"/>
          <w:color w:val="auto"/>
        </w:rPr>
        <w:t>Non-Controlling Interests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discloses the effects of changes in the Company’s ownership interest in its subsidiaries on the Members’ equity:</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r>
      <w:tr>
        <w:trPr>
          <w:trHeight w:val="272"/>
        </w:trPr>
        <w:tc>
          <w:tcPr>
            <w:tcW w:w="7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300"/>
              <w:spacing w:after="0" w:line="272" w:lineRule="exact"/>
              <w:rPr>
                <w:sz w:val="20"/>
                <w:szCs w:val="20"/>
                <w:color w:val="auto"/>
              </w:rPr>
            </w:pPr>
            <w:r>
              <w:rPr>
                <w:rFonts w:ascii="Times New Roman" w:cs="Times New Roman" w:eastAsia="Times New Roman" w:hAnsi="Times New Roman"/>
                <w:sz w:val="16"/>
                <w:szCs w:val="16"/>
                <w:color w:val="auto"/>
                <w:w w:val="99"/>
              </w:rPr>
              <w:t>(Restated)</w:t>
            </w:r>
            <w:r>
              <w:rPr>
                <w:rFonts w:ascii="Times New Roman" w:cs="Times New Roman" w:eastAsia="Times New Roman" w:hAnsi="Times New Roman"/>
                <w:sz w:val="26"/>
                <w:szCs w:val="26"/>
                <w:color w:val="auto"/>
                <w:w w:val="99"/>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center"/>
              <w:ind w:right="220"/>
              <w:spacing w:after="0" w:line="272" w:lineRule="exact"/>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OPAL Fuels Inc.</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41,363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(25,358)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Transfers (to) from the non-controlling interest: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OPAL Fuels Inc Stockholders’ Equity for sale of non-controlling interest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Increase in OPAL Fuels Inc Stockholders’ Equity for contributions from non-controlling interest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7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Decrease in OPAL Fuels Inc Stockholders’ Equity for purchase of non-controlling interest</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(9,211)</w:t>
            </w: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transfers (to) from non-controlling interest</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(6,053</w:t>
            </w:r>
          </w:p>
        </w:tc>
        <w:tc>
          <w:tcPr>
            <w:tcW w:w="22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1,834</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820"/>
              <w:spacing w:after="0" w:line="173"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61"/>
        </w:trPr>
        <w:tc>
          <w:tcPr>
            <w:tcW w:w="73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Change from net income attributable to OPAL Fuels Inc Stockholders’ and transfers (to) from non-controlling</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45"/>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35,310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80"/>
              <w:spacing w:after="0" w:line="241" w:lineRule="exact"/>
              <w:rPr>
                <w:sz w:val="20"/>
                <w:szCs w:val="20"/>
                <w:color w:val="auto"/>
              </w:rPr>
            </w:pPr>
            <w:r>
              <w:rPr>
                <w:rFonts w:ascii="Times New Roman" w:cs="Times New Roman" w:eastAsia="Times New Roman" w:hAnsi="Times New Roman"/>
                <w:sz w:val="14"/>
                <w:szCs w:val="14"/>
                <w:color w:val="auto"/>
              </w:rPr>
              <w:t>(23,524</w:t>
            </w:r>
            <w:r>
              <w:rPr>
                <w:rFonts w:ascii="Times New Roman" w:cs="Times New Roman" w:eastAsia="Times New Roman" w:hAnsi="Times New Roman"/>
                <w:sz w:val="27"/>
                <w:szCs w:val="27"/>
                <w:color w:val="auto"/>
                <w:vertAlign w:val="superscript"/>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line="241" w:lineRule="exact"/>
              <w:rPr>
                <w:sz w:val="20"/>
                <w:szCs w:val="20"/>
                <w:color w:val="auto"/>
              </w:rPr>
            </w:pPr>
            <w:r>
              <w:rPr>
                <w:rFonts w:ascii="Times New Roman" w:cs="Times New Roman" w:eastAsia="Times New Roman" w:hAnsi="Times New Roman"/>
                <w:sz w:val="14"/>
                <w:szCs w:val="14"/>
                <w:color w:val="auto"/>
              </w:rPr>
              <w:t>(5,249</w:t>
            </w:r>
            <w:r>
              <w:rPr>
                <w:rFonts w:ascii="Times New Roman" w:cs="Times New Roman" w:eastAsia="Times New Roman" w:hAnsi="Times New Roman"/>
                <w:sz w:val="27"/>
                <w:szCs w:val="27"/>
                <w:color w:val="auto"/>
                <w:vertAlign w:val="superscript"/>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ind w:left="285" w:right="20" w:hanging="285"/>
        <w:spacing w:after="0" w:line="259" w:lineRule="auto"/>
        <w:tabs>
          <w:tab w:leader="none" w:pos="28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ind w:left="285" w:hanging="285"/>
        <w:spacing w:after="0"/>
        <w:tabs>
          <w:tab w:leader="none" w:pos="28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$87 decrease in Stockholders’ equity relating to the Hillman exchange and $9,124 relating to redemption of non-controlling interest in one RNG project.</w:t>
      </w:r>
    </w:p>
    <w:p>
      <w:pPr>
        <w:spacing w:after="0" w:line="36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52" w:name="page253"/>
    <w:bookmarkEnd w:id="25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Net Income (Loss) Per Unit</w:t>
      </w:r>
    </w:p>
    <w:p>
      <w:pPr>
        <w:spacing w:after="0" w:line="196" w:lineRule="exact"/>
        <w:rPr>
          <w:sz w:val="20"/>
          <w:szCs w:val="20"/>
          <w:color w:val="auto"/>
        </w:rPr>
      </w:pPr>
    </w:p>
    <w:p>
      <w:pPr>
        <w:jc w:val="both"/>
        <w:ind w:firstLine="340"/>
        <w:spacing w:after="0" w:line="253" w:lineRule="auto"/>
        <w:rPr>
          <w:sz w:val="20"/>
          <w:szCs w:val="20"/>
          <w:color w:val="auto"/>
        </w:rPr>
      </w:pPr>
      <w:r>
        <w:rPr>
          <w:rFonts w:ascii="Times New Roman" w:cs="Times New Roman" w:eastAsia="Times New Roman" w:hAnsi="Times New Roman"/>
          <w:sz w:val="16"/>
          <w:szCs w:val="16"/>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64" w:lineRule="exact"/>
        <w:rPr>
          <w:sz w:val="20"/>
          <w:szCs w:val="20"/>
          <w:color w:val="auto"/>
        </w:rPr>
      </w:pPr>
    </w:p>
    <w:p>
      <w:pPr>
        <w:jc w:val="both"/>
        <w:ind w:right="20" w:firstLine="340"/>
        <w:spacing w:after="0" w:line="261" w:lineRule="auto"/>
        <w:rPr>
          <w:sz w:val="20"/>
          <w:szCs w:val="20"/>
          <w:color w:val="auto"/>
        </w:rPr>
      </w:pPr>
      <w:r>
        <w:rPr>
          <w:rFonts w:ascii="Times New Roman" w:cs="Times New Roman" w:eastAsia="Times New Roman" w:hAnsi="Times New Roman"/>
          <w:sz w:val="16"/>
          <w:szCs w:val="16"/>
          <w:color w:val="auto"/>
        </w:rPr>
        <w:t>The Basic income (loss) per unit attributable to Stockholders of OPAL Fuels Inc. for the years ended December 31, 2021, 2020 and 2019 is computed by dividing the net income (loss) attributable to OPAL Fuels Inc.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r>
      <w:tr>
        <w:trPr>
          <w:trHeight w:val="224"/>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
              <w:spacing w:after="0" w:line="225" w:lineRule="exact"/>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spacing w:after="0" w:line="225" w:lineRule="exact"/>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20" w:type="dxa"/>
            <w:vAlign w:val="bottom"/>
          </w:tcPr>
          <w:p>
            <w:pPr>
              <w:spacing w:after="0"/>
              <w:rPr>
                <w:sz w:val="19"/>
                <w:szCs w:val="19"/>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OPAL Fuels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41,363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(25,358)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r>
      <w:tr>
        <w:trPr>
          <w:trHeight w:val="173"/>
        </w:trPr>
        <w:tc>
          <w:tcPr>
            <w:tcW w:w="73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Weighted average units – Basic</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987</w:t>
            </w: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986</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top w:val="single" w:sz="8" w:color="CCEEFF"/>
            </w:tcBorders>
          </w:tcPr>
          <w:p>
            <w:pPr>
              <w:spacing w:after="0"/>
              <w:rPr>
                <w:sz w:val="15"/>
                <w:szCs w:val="15"/>
                <w:color w:val="auto"/>
              </w:rPr>
            </w:pPr>
          </w:p>
        </w:tc>
      </w:tr>
      <w:tr>
        <w:trPr>
          <w:trHeight w:val="189"/>
        </w:trPr>
        <w:tc>
          <w:tcPr>
            <w:tcW w:w="7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units – Diluted</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986</w:t>
            </w:r>
          </w:p>
        </w:tc>
      </w:tr>
      <w:tr>
        <w:trPr>
          <w:trHeight w:val="18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(loss) per unit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41,908</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per unit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(25,718)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(5,324)</w:t>
            </w:r>
          </w:p>
        </w:tc>
      </w:tr>
      <w:tr>
        <w:trPr>
          <w:trHeight w:val="37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 Commitments and Contingencies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Letters of Credit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2"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Options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53" w:name="page254"/>
    <w:bookmarkEnd w:id="25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20. Commitments and Contingencies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66"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On June 26, 2020, Richmond Energy LLC (“</w:t>
      </w:r>
      <w:r>
        <w:rPr>
          <w:rFonts w:ascii="Times New Roman" w:cs="Times New Roman" w:eastAsia="Times New Roman" w:hAnsi="Times New Roman"/>
          <w:sz w:val="15"/>
          <w:szCs w:val="15"/>
          <w:b w:val="1"/>
          <w:bCs w:val="1"/>
          <w:color w:val="auto"/>
        </w:rPr>
        <w:t>Richmond</w:t>
      </w:r>
      <w:r>
        <w:rPr>
          <w:rFonts w:ascii="Times New Roman" w:cs="Times New Roman" w:eastAsia="Times New Roman" w:hAnsi="Times New Roman"/>
          <w:sz w:val="15"/>
          <w:szCs w:val="15"/>
          <w:color w:val="auto"/>
        </w:rPr>
        <w:t>”) declared a Force Majeure event under its Power Purchase Agreement with Old Dominion Electric Cooperative (“</w:t>
      </w:r>
      <w:r>
        <w:rPr>
          <w:rFonts w:ascii="Times New Roman" w:cs="Times New Roman" w:eastAsia="Times New Roman" w:hAnsi="Times New Roman"/>
          <w:sz w:val="15"/>
          <w:szCs w:val="15"/>
          <w:b w:val="1"/>
          <w:bCs w:val="1"/>
          <w:color w:val="auto"/>
        </w:rPr>
        <w:t>ODEC</w:t>
      </w:r>
      <w:r>
        <w:rPr>
          <w:rFonts w:ascii="Times New Roman" w:cs="Times New Roman" w:eastAsia="Times New Roman" w:hAnsi="Times New Roman"/>
          <w:sz w:val="15"/>
          <w:szCs w:val="15"/>
          <w:color w:val="auto"/>
        </w:rPr>
        <w:t>”), dated as of November 3, 2010 (the “</w:t>
      </w:r>
      <w:r>
        <w:rPr>
          <w:rFonts w:ascii="Times New Roman" w:cs="Times New Roman" w:eastAsia="Times New Roman" w:hAnsi="Times New Roman"/>
          <w:sz w:val="15"/>
          <w:szCs w:val="15"/>
          <w:b w:val="1"/>
          <w:bCs w:val="1"/>
          <w:color w:val="auto"/>
        </w:rPr>
        <w:t>PPA</w:t>
      </w:r>
      <w:r>
        <w:rPr>
          <w:rFonts w:ascii="Times New Roman" w:cs="Times New Roman" w:eastAsia="Times New Roman" w:hAnsi="Times New Roman"/>
          <w:sz w:val="15"/>
          <w:szCs w:val="15"/>
          <w:color w:val="auto"/>
        </w:rPr>
        <w:t>”). The Force Majeure declaration stated that inspections of its Old Dominion landfill gas-to-electric facility (the “</w:t>
      </w:r>
      <w:r>
        <w:rPr>
          <w:rFonts w:ascii="Times New Roman" w:cs="Times New Roman" w:eastAsia="Times New Roman" w:hAnsi="Times New Roman"/>
          <w:sz w:val="15"/>
          <w:szCs w:val="15"/>
          <w:b w:val="1"/>
          <w:bCs w:val="1"/>
          <w:color w:val="auto"/>
        </w:rPr>
        <w:t>OD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Facility</w:t>
      </w:r>
      <w:r>
        <w:rPr>
          <w:rFonts w:ascii="Times New Roman" w:cs="Times New Roman" w:eastAsia="Times New Roman" w:hAnsi="Times New Roman"/>
          <w:sz w:val="15"/>
          <w:szCs w:val="15"/>
          <w:color w:val="auto"/>
        </w:rPr>
        <w:t>”) under a scheduled maintenance outage revealed extensive damage to the engine generator sets. Richmond is currently undertaking significant capital expenditures,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5"/>
          <w:szCs w:val="15"/>
          <w:b w:val="1"/>
          <w:bCs w:val="1"/>
          <w:color w:val="auto"/>
        </w:rPr>
        <w:t>Settlement Agreement</w:t>
      </w:r>
      <w:r>
        <w:rPr>
          <w:rFonts w:ascii="Times New Roman" w:cs="Times New Roman" w:eastAsia="Times New Roman" w:hAnsi="Times New Roman"/>
          <w:sz w:val="15"/>
          <w:szCs w:val="15"/>
          <w:color w:val="auto"/>
        </w:rPr>
        <w:t>”). On February 8, 2022, Richmond paid ODEC $467,320.74 pursuant to the Settlement Agreement; liquidated damages for calendar year 2022, if any, will be assessed by ODEC during the first quarter of 2023.</w:t>
      </w:r>
    </w:p>
    <w:p>
      <w:pPr>
        <w:spacing w:after="0" w:line="151" w:lineRule="exact"/>
        <w:rPr>
          <w:sz w:val="20"/>
          <w:szCs w:val="20"/>
          <w:color w:val="auto"/>
        </w:rPr>
      </w:pPr>
    </w:p>
    <w:p>
      <w:pPr>
        <w:jc w:val="both"/>
        <w:ind w:right="20" w:firstLine="283"/>
        <w:spacing w:after="0" w:line="310" w:lineRule="auto"/>
        <w:rPr>
          <w:sz w:val="20"/>
          <w:szCs w:val="20"/>
          <w:color w:val="auto"/>
        </w:rPr>
      </w:pPr>
      <w:r>
        <w:rPr>
          <w:rFonts w:ascii="Times New Roman" w:cs="Times New Roman" w:eastAsia="Times New Roman" w:hAnsi="Times New Roman"/>
          <w:sz w:val="15"/>
          <w:szCs w:val="15"/>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and Members of Beacon RNG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Beacon RNG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Emphasis of Matter — Related Parties</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Responsibilities of Management for the Financial Statements</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Auditor’s Responsibilities for the Audit of the Financial Statements</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55" w:name="page256"/>
    <w:bookmarkEnd w:id="255"/>
    <w:p>
      <w:pPr>
        <w:ind w:left="280"/>
        <w:spacing w:after="0"/>
        <w:rPr>
          <w:sz w:val="20"/>
          <w:szCs w:val="20"/>
          <w:color w:val="auto"/>
        </w:rPr>
      </w:pPr>
      <w:r>
        <w:rPr>
          <w:rFonts w:ascii="Times New Roman" w:cs="Times New Roman" w:eastAsia="Times New Roman" w:hAnsi="Times New Roman"/>
          <w:sz w:val="16"/>
          <w:szCs w:val="16"/>
          <w:color w:val="auto"/>
        </w:rPr>
        <w:t>In performing an audit in accordance with GAAS, we:</w:t>
      </w:r>
    </w:p>
    <w:p>
      <w:pPr>
        <w:spacing w:after="0" w:line="194" w:lineRule="exact"/>
        <w:rPr>
          <w:sz w:val="20"/>
          <w:szCs w:val="20"/>
          <w:color w:val="auto"/>
        </w:rPr>
      </w:pPr>
    </w:p>
    <w:p>
      <w:pPr>
        <w:ind w:left="560" w:hanging="282"/>
        <w:spacing w:after="0"/>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professional judgment and maintain professional skepticism throughout the audit.</w:t>
      </w:r>
    </w:p>
    <w:p>
      <w:pPr>
        <w:spacing w:after="0" w:line="22"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ind w:left="560" w:right="20" w:hanging="282"/>
        <w:spacing w:after="0" w:line="246"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ind w:left="560" w:right="20" w:hanging="282"/>
        <w:spacing w:after="0" w:line="246"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appropriateness of accounting policies used and the reasonableness of significant accounting estimates made by management, as well as evaluate the overall presentation of the consolidated financial statements.</w:t>
      </w:r>
    </w:p>
    <w:p>
      <w:pPr>
        <w:ind w:left="560" w:hanging="282"/>
        <w:spacing w:after="0" w:line="253"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firstLine="283"/>
        <w:spacing w:after="0" w:line="275" w:lineRule="auto"/>
        <w:rPr>
          <w:sz w:val="20"/>
          <w:szCs w:val="20"/>
          <w:color w:val="auto"/>
        </w:rPr>
      </w:pPr>
      <w:r>
        <w:rPr>
          <w:rFonts w:ascii="Times New Roman" w:cs="Times New Roman" w:eastAsia="Times New Roman" w:hAnsi="Times New Roman"/>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Stamford, Connecticut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15, 2022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56" w:name="page257"/>
    <w:bookmarkEnd w:id="25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201"/>
        </w:trPr>
        <w:tc>
          <w:tcPr>
            <w:tcW w:w="6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April 30,</w:t>
            </w:r>
          </w:p>
        </w:tc>
      </w:tr>
      <w:tr>
        <w:trPr>
          <w:trHeight w:val="211"/>
        </w:trPr>
        <w:tc>
          <w:tcPr>
            <w:tcW w:w="6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r>
      <w:tr>
        <w:trPr>
          <w:trHeight w:val="172"/>
        </w:trPr>
        <w:tc>
          <w:tcPr>
            <w:tcW w:w="64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3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1,874</w:t>
            </w:r>
          </w:p>
        </w:tc>
      </w:tr>
      <w:tr>
        <w:trPr>
          <w:trHeight w:val="189"/>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r>
      <w:tr>
        <w:trPr>
          <w:trHeight w:val="221"/>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390</w:t>
            </w:r>
          </w:p>
        </w:tc>
      </w:tr>
      <w:tr>
        <w:trPr>
          <w:trHeight w:val="176"/>
        </w:trPr>
        <w:tc>
          <w:tcPr>
            <w:tcW w:w="64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36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2,502</w:t>
            </w:r>
          </w:p>
        </w:tc>
        <w:tc>
          <w:tcPr>
            <w:tcW w:w="120" w:type="dxa"/>
            <w:vAlign w:val="bottom"/>
            <w:tcBorders>
              <w:top w:val="single" w:sz="8" w:color="CCEEFF"/>
              <w:bottom w:val="single" w:sz="8" w:color="CCEEFF"/>
            </w:tcBorders>
          </w:tcPr>
          <w:p>
            <w:pPr>
              <w:spacing w:after="0"/>
              <w:rPr>
                <w:sz w:val="15"/>
                <w:szCs w:val="15"/>
                <w:color w:val="auto"/>
              </w:rPr>
            </w:pPr>
          </w:p>
        </w:tc>
      </w:tr>
      <w:tr>
        <w:trPr>
          <w:trHeight w:val="18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56,119</w:t>
            </w:r>
          </w:p>
        </w:tc>
        <w:tc>
          <w:tcPr>
            <w:tcW w:w="120" w:type="dxa"/>
            <w:vAlign w:val="bottom"/>
            <w:shd w:val="clear" w:color="auto" w:fill="CCEEFF"/>
          </w:tcPr>
          <w:p>
            <w:pPr>
              <w:spacing w:after="0"/>
              <w:rPr>
                <w:sz w:val="16"/>
                <w:szCs w:val="16"/>
                <w:color w:val="auto"/>
              </w:rPr>
            </w:pPr>
          </w:p>
        </w:tc>
      </w:tr>
      <w:tr>
        <w:trPr>
          <w:trHeight w:val="189"/>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1,208</w:t>
            </w:r>
          </w:p>
        </w:tc>
      </w:tr>
      <w:tr>
        <w:trPr>
          <w:trHeight w:val="221"/>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spares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w:t>
            </w:r>
          </w:p>
        </w:tc>
      </w:tr>
      <w:tr>
        <w:trPr>
          <w:trHeight w:val="176"/>
        </w:trPr>
        <w:tc>
          <w:tcPr>
            <w:tcW w:w="64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assets</w:t>
            </w:r>
          </w:p>
        </w:tc>
        <w:tc>
          <w:tcPr>
            <w:tcW w:w="36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59,995</w:t>
            </w:r>
          </w:p>
        </w:tc>
        <w:tc>
          <w:tcPr>
            <w:tcW w:w="120" w:type="dxa"/>
            <w:vAlign w:val="bottom"/>
            <w:tcBorders>
              <w:top w:val="single" w:sz="8" w:color="CCEEFF"/>
              <w:bottom w:val="single" w:sz="8" w:color="CCEEFF"/>
            </w:tcBorders>
          </w:tcPr>
          <w:p>
            <w:pPr>
              <w:spacing w:after="0"/>
              <w:rPr>
                <w:sz w:val="15"/>
                <w:szCs w:val="15"/>
                <w:color w:val="auto"/>
              </w:rPr>
            </w:pPr>
          </w:p>
        </w:tc>
      </w:tr>
      <w:tr>
        <w:trPr>
          <w:trHeight w:val="18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3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1,805</w:t>
            </w:r>
          </w:p>
        </w:tc>
      </w:tr>
      <w:tr>
        <w:trPr>
          <w:trHeight w:val="204"/>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4,196</w:t>
            </w:r>
          </w:p>
        </w:tc>
      </w:tr>
      <w:tr>
        <w:trPr>
          <w:trHeight w:val="209"/>
        </w:trPr>
        <w:tc>
          <w:tcPr>
            <w:tcW w:w="6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6420" w:type="dxa"/>
            <w:vAlign w:val="bottom"/>
            <w:tcBorders>
              <w:bottom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Asset retirement obligation</w:t>
            </w:r>
          </w:p>
        </w:tc>
        <w:tc>
          <w:tcPr>
            <w:tcW w:w="3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tcPr>
          <w:p>
            <w:pPr>
              <w:spacing w:after="0"/>
              <w:rPr>
                <w:sz w:val="15"/>
                <w:szCs w:val="15"/>
                <w:color w:val="auto"/>
              </w:rPr>
            </w:pPr>
          </w:p>
        </w:tc>
      </w:tr>
      <w:tr>
        <w:trPr>
          <w:trHeight w:val="209"/>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3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3"/>
        </w:trPr>
        <w:tc>
          <w:tcPr>
            <w:tcW w:w="64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Commitments and Contingencies (Note 8)</w:t>
            </w: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3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Members’ capital</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50,487</w:t>
            </w:r>
          </w:p>
        </w:tc>
      </w:tr>
      <w:tr>
        <w:trPr>
          <w:trHeight w:val="221"/>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3,228</w:t>
            </w:r>
          </w:p>
        </w:tc>
      </w:tr>
      <w:tr>
        <w:trPr>
          <w:trHeight w:val="176"/>
        </w:trPr>
        <w:tc>
          <w:tcPr>
            <w:tcW w:w="64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members’ equity</w:t>
            </w:r>
          </w:p>
        </w:tc>
        <w:tc>
          <w:tcPr>
            <w:tcW w:w="36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53,715</w:t>
            </w:r>
          </w:p>
        </w:tc>
        <w:tc>
          <w:tcPr>
            <w:tcW w:w="120" w:type="dxa"/>
            <w:vAlign w:val="bottom"/>
            <w:tcBorders>
              <w:top w:val="single" w:sz="8" w:color="CCEEFF"/>
              <w:bottom w:val="single" w:sz="8" w:color="CCEEFF"/>
            </w:tcBorders>
          </w:tcPr>
          <w:p>
            <w:pPr>
              <w:spacing w:after="0"/>
              <w:rPr>
                <w:sz w:val="15"/>
                <w:szCs w:val="15"/>
                <w:color w:val="auto"/>
              </w:rPr>
            </w:pPr>
          </w:p>
        </w:tc>
      </w:tr>
      <w:tr>
        <w:trPr>
          <w:trHeight w:val="193"/>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3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59,995</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57" w:name="page258"/>
    <w:bookmarkEnd w:id="25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Four Months</w:t>
            </w:r>
          </w:p>
        </w:tc>
        <w:tc>
          <w:tcPr>
            <w:tcW w:w="0" w:type="dxa"/>
            <w:vAlign w:val="bottom"/>
          </w:tcPr>
          <w:p>
            <w:pPr>
              <w:spacing w:after="0"/>
              <w:rPr>
                <w:sz w:val="1"/>
                <w:szCs w:val="1"/>
                <w:color w:val="auto"/>
              </w:rPr>
            </w:pPr>
          </w:p>
        </w:tc>
      </w:tr>
      <w:tr>
        <w:trPr>
          <w:trHeight w:val="189"/>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201"/>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April 30,</w:t>
            </w:r>
          </w:p>
        </w:tc>
        <w:tc>
          <w:tcPr>
            <w:tcW w:w="0" w:type="dxa"/>
            <w:vAlign w:val="bottom"/>
          </w:tcPr>
          <w:p>
            <w:pPr>
              <w:spacing w:after="0"/>
              <w:rPr>
                <w:sz w:val="1"/>
                <w:szCs w:val="1"/>
                <w:color w:val="auto"/>
              </w:rPr>
            </w:pPr>
          </w:p>
        </w:tc>
      </w:tr>
      <w:tr>
        <w:trPr>
          <w:trHeight w:val="211"/>
        </w:trPr>
        <w:tc>
          <w:tcPr>
            <w:tcW w:w="10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gas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RIN sales</w:t>
            </w:r>
          </w:p>
        </w:tc>
        <w:tc>
          <w:tcPr>
            <w:tcW w:w="10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12,101</w:t>
            </w: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Transportation sales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operating revenue</w:t>
            </w: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13,312</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credit processing services</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00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Other income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58" w:name="page259"/>
    <w:bookmarkEnd w:id="25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MEMBERS’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ARCC</w:t>
            </w:r>
          </w:p>
        </w:tc>
        <w:tc>
          <w:tcPr>
            <w:tcW w:w="1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Fortistar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Beacon LLC</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Beacon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32,208</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(5,770)</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(3,695)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(9,465)</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2,391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Balance, April 30, 2021</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24,269</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59" w:name="page260"/>
    <w:bookmarkEnd w:id="25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Four Months</w:t>
            </w:r>
          </w:p>
        </w:tc>
        <w:tc>
          <w:tcPr>
            <w:tcW w:w="0" w:type="dxa"/>
            <w:vAlign w:val="bottom"/>
          </w:tcPr>
          <w:p>
            <w:pPr>
              <w:spacing w:after="0"/>
              <w:rPr>
                <w:sz w:val="1"/>
                <w:szCs w:val="1"/>
                <w:color w:val="auto"/>
              </w:rPr>
            </w:pPr>
          </w:p>
        </w:tc>
      </w:tr>
      <w:tr>
        <w:trPr>
          <w:trHeight w:val="189"/>
        </w:trPr>
        <w:tc>
          <w:tcPr>
            <w:tcW w:w="10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201"/>
        </w:trPr>
        <w:tc>
          <w:tcPr>
            <w:tcW w:w="10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April 30,</w:t>
            </w:r>
          </w:p>
        </w:tc>
        <w:tc>
          <w:tcPr>
            <w:tcW w:w="0" w:type="dxa"/>
            <w:vAlign w:val="bottom"/>
          </w:tcPr>
          <w:p>
            <w:pPr>
              <w:spacing w:after="0"/>
              <w:rPr>
                <w:sz w:val="1"/>
                <w:szCs w:val="1"/>
                <w:color w:val="auto"/>
              </w:rPr>
            </w:pPr>
          </w:p>
        </w:tc>
      </w:tr>
      <w:tr>
        <w:trPr>
          <w:trHeight w:val="211"/>
        </w:trPr>
        <w:tc>
          <w:tcPr>
            <w:tcW w:w="10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asset retirement obligation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10,009</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capital spares inventory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top w:val="single" w:sz="8" w:color="CCEEFF"/>
              <w:bottom w:val="single" w:sz="8" w:color="CCEEFF"/>
            </w:tcBorders>
            <w:gridSpan w:val="2"/>
          </w:tcPr>
          <w:p>
            <w:pPr>
              <w:jc w:val="right"/>
              <w:ind w:right="60"/>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members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(9,465)</w:t>
            </w: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3"/>
        </w:trPr>
        <w:tc>
          <w:tcPr>
            <w:tcW w:w="100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increase in cash and restricted cash</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Cash and restricted cash, end of period</w:t>
            </w:r>
          </w:p>
        </w:tc>
        <w:tc>
          <w:tcPr>
            <w:tcW w:w="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3,082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60" w:name="page261"/>
    <w:bookmarkEnd w:id="26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Business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158" w:lineRule="exact"/>
        <w:rPr>
          <w:sz w:val="20"/>
          <w:szCs w:val="20"/>
          <w:color w:val="auto"/>
        </w:rPr>
      </w:pPr>
    </w:p>
    <w:p>
      <w:pPr>
        <w:ind w:left="5" w:right="8020" w:hanging="5"/>
        <w:spacing w:after="0" w:line="527" w:lineRule="auto"/>
        <w:tabs>
          <w:tab w:leader="none" w:pos="289" w:val="left"/>
        </w:tabs>
        <w:numPr>
          <w:ilvl w:val="0"/>
          <w:numId w:val="1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 Principles of Consolidation and Presentation</w:t>
      </w:r>
    </w:p>
    <w:p>
      <w:pPr>
        <w:spacing w:after="0" w:line="1"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Risks and Uncertainties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60"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Cash</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periodically maintains cash in bank accounts more than the established limits insured by the Federal Deposit Insurance Corporation.</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7" w:right="319" w:bottom="1440" w:gutter="0" w:footer="0" w:header="0"/>
        </w:sectPr>
      </w:pPr>
    </w:p>
    <w:bookmarkStart w:id="261" w:name="page262"/>
    <w:bookmarkEnd w:id="261"/>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Capital Spares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Payable and Accrued Expenses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Accounts payable and accrued expenses are costs related to the Company, which are due to vendors, for goods or services received or incurred as of April 30, 2021.</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96" w:lineRule="exact"/>
        <w:rPr>
          <w:sz w:val="20"/>
          <w:szCs w:val="20"/>
          <w:color w:val="auto"/>
        </w:rPr>
      </w:pPr>
    </w:p>
    <w:p>
      <w:pPr>
        <w:jc w:val="both"/>
        <w:ind w:left="5" w:firstLine="283"/>
        <w:spacing w:after="0" w:line="278" w:lineRule="auto"/>
        <w:rPr>
          <w:sz w:val="20"/>
          <w:szCs w:val="20"/>
          <w:color w:val="auto"/>
        </w:rPr>
      </w:pPr>
      <w:r>
        <w:rPr>
          <w:rFonts w:ascii="Times New Roman" w:cs="Times New Roman" w:eastAsia="Times New Roman" w:hAnsi="Times New Roman"/>
          <w:sz w:val="15"/>
          <w:szCs w:val="15"/>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1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6" w:lineRule="exact"/>
        <w:rPr>
          <w:sz w:val="20"/>
          <w:szCs w:val="20"/>
          <w:color w:val="auto"/>
        </w:rPr>
      </w:pPr>
    </w:p>
    <w:p>
      <w:pPr>
        <w:jc w:val="both"/>
        <w:ind w:left="5" w:firstLine="283"/>
        <w:spacing w:after="0" w:line="270" w:lineRule="auto"/>
        <w:rPr>
          <w:sz w:val="20"/>
          <w:szCs w:val="20"/>
          <w:color w:val="auto"/>
        </w:rPr>
      </w:pPr>
      <w:r>
        <w:rPr>
          <w:rFonts w:ascii="Times New Roman" w:cs="Times New Roman" w:eastAsia="Times New Roman" w:hAnsi="Times New Roman"/>
          <w:sz w:val="15"/>
          <w:szCs w:val="15"/>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3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62" w:name="page263"/>
    <w:bookmarkEnd w:id="26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At April 30, 2021, the Company estimated the value of its total asset retirement obligations to be $279 based on a projected future liability of $2,095. Changes in the asset retirement obligations were as follows for the periods ended April 30, 2021:</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56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April 30,</w:t>
            </w:r>
          </w:p>
        </w:tc>
        <w:tc>
          <w:tcPr>
            <w:tcW w:w="0" w:type="dxa"/>
            <w:vAlign w:val="bottom"/>
          </w:tcPr>
          <w:p>
            <w:pPr>
              <w:spacing w:after="0"/>
              <w:rPr>
                <w:sz w:val="1"/>
                <w:szCs w:val="1"/>
                <w:color w:val="auto"/>
              </w:rPr>
            </w:pPr>
          </w:p>
        </w:tc>
      </w:tr>
      <w:tr>
        <w:trPr>
          <w:trHeight w:val="211"/>
        </w:trPr>
        <w:tc>
          <w:tcPr>
            <w:tcW w:w="560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44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4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vMerge w:val="continue"/>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6"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65"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6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4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63" w:name="page264"/>
    <w:bookmarkEnd w:id="263"/>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has cash, accounts receivable, and accounts payable for which the carrying value approximates fair value due to the short-term nature of these instruments.</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Concentrations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four months ended April 30, 2021, one customer accounted for 92% of revenue. There were no individual customers which accounted for more than 10% of total Account Receivable as of April 30, 2021.</w:t>
      </w:r>
    </w:p>
    <w:p>
      <w:pPr>
        <w:spacing w:after="0" w:line="14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four months ended April 30, 2021, no vendors accounted for more than 10% of overall purchases.</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Six vendors accounted for 84% of the accounts payable and accrued expenses balance as of April 30, 2021.</w:t>
      </w:r>
    </w:p>
    <w:p>
      <w:pPr>
        <w:spacing w:after="0" w:line="19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deposits its cash in high credit quality financial institutions located in the United States of America. Deposits with one financial institution exceeded federally insured limits as of April 30, 2021.</w:t>
      </w:r>
    </w:p>
    <w:p>
      <w:pPr>
        <w:spacing w:after="0" w:line="143" w:lineRule="exact"/>
        <w:rPr>
          <w:sz w:val="20"/>
          <w:szCs w:val="20"/>
          <w:color w:val="auto"/>
        </w:rPr>
      </w:pPr>
    </w:p>
    <w:p>
      <w:pPr>
        <w:ind w:left="5" w:right="9140" w:hanging="5"/>
        <w:spacing w:after="0" w:line="527" w:lineRule="auto"/>
        <w:tabs>
          <w:tab w:leader="none" w:pos="289" w:val="left"/>
        </w:tabs>
        <w:numPr>
          <w:ilvl w:val="0"/>
          <w:numId w:val="1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Company Operations RNG and RIN Sales Agreement</w:t>
      </w:r>
    </w:p>
    <w:p>
      <w:pPr>
        <w:spacing w:after="0" w:line="1"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64" w:name="page265"/>
    <w:bookmarkEnd w:id="26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Company Operations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Sales Agreement</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Landfill Gas Rights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Fee</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Operations and Maintenance Agreements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pacing w:after="0" w:line="154" w:lineRule="exact"/>
        <w:rPr>
          <w:sz w:val="20"/>
          <w:szCs w:val="20"/>
          <w:color w:val="auto"/>
        </w:rPr>
      </w:pPr>
    </w:p>
    <w:p>
      <w:pPr>
        <w:ind w:left="285" w:hanging="285"/>
        <w:spacing w:after="0"/>
        <w:tabs>
          <w:tab w:leader="none" w:pos="285"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Plant and equipment consisted of the following:</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April</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H2S removal system</w:t>
            </w:r>
          </w:p>
        </w:tc>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5,117</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Wellfield</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1,921</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Pipeline</w:t>
            </w:r>
          </w:p>
        </w:tc>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Greentree membranes</w:t>
            </w:r>
          </w:p>
        </w:tc>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2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cost</w:t>
            </w:r>
          </w:p>
        </w:tc>
        <w:tc>
          <w:tcPr>
            <w:tcW w:w="6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73"/>
        </w:trPr>
        <w:tc>
          <w:tcPr>
            <w:tcW w:w="3720" w:type="dxa"/>
            <w:vAlign w:val="bottom"/>
            <w:tcBorders>
              <w:top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Plant and equipment, gross</w:t>
            </w:r>
          </w:p>
        </w:tc>
        <w:tc>
          <w:tcPr>
            <w:tcW w:w="63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62,271</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(6,530)</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4"/>
        </w:trPr>
        <w:tc>
          <w:tcPr>
            <w:tcW w:w="37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Plant and equipment, net</w:t>
            </w: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vMerge w:val="continue"/>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56,119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7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
          </w:tcPr>
          <w:p>
            <w:pPr>
              <w:jc w:val="right"/>
              <w:ind w:right="4381"/>
              <w:spacing w:after="0"/>
              <w:rPr>
                <w:sz w:val="20"/>
                <w:szCs w:val="20"/>
                <w:color w:val="auto"/>
              </w:rPr>
            </w:pPr>
            <w:r>
              <w:rPr>
                <w:rFonts w:ascii="Times New Roman" w:cs="Times New Roman" w:eastAsia="Times New Roman" w:hAnsi="Times New Roman"/>
                <w:sz w:val="16"/>
                <w:szCs w:val="16"/>
                <w:color w:val="auto"/>
              </w:rPr>
              <w:t>F-111</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5"/>
          </w:cols>
          <w:pgMar w:left="315" w:top="806" w:right="319" w:bottom="1440" w:gutter="0" w:footer="0" w:header="0"/>
        </w:sectPr>
      </w:pPr>
    </w:p>
    <w:bookmarkStart w:id="265" w:name="page266"/>
    <w:bookmarkEnd w:id="265"/>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Plant and Equipment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At April 30, 2021, construction in progress consisted of costs related to the thermal oxidizer. The project was completed in December of 2021. Depreciation expense on plant and equipment for the period ending April 30, 2021 was $1,049.</w:t>
      </w:r>
    </w:p>
    <w:p>
      <w:pPr>
        <w:spacing w:after="0" w:line="143" w:lineRule="exact"/>
        <w:rPr>
          <w:sz w:val="20"/>
          <w:szCs w:val="20"/>
          <w:color w:val="auto"/>
        </w:rPr>
      </w:pPr>
    </w:p>
    <w:p>
      <w:pPr>
        <w:ind w:left="285" w:hanging="285"/>
        <w:spacing w:after="0"/>
        <w:tabs>
          <w:tab w:leader="none" w:pos="285"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Ownership and Related Parties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5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56"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62" w:lineRule="exact"/>
        <w:rPr>
          <w:sz w:val="20"/>
          <w:szCs w:val="20"/>
          <w:color w:val="auto"/>
        </w:rPr>
      </w:pPr>
    </w:p>
    <w:p>
      <w:pPr>
        <w:ind w:left="5" w:right="8820" w:hanging="5"/>
        <w:spacing w:after="0" w:line="494" w:lineRule="auto"/>
        <w:tabs>
          <w:tab w:leader="none" w:pos="289"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 and Contingencies Legal Matters</w:t>
      </w:r>
    </w:p>
    <w:p>
      <w:pPr>
        <w:spacing w:after="0" w:line="1"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68"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66" w:name="page267"/>
    <w:bookmarkEnd w:id="26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45"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67" w:name="page268"/>
    <w:bookmarkEnd w:id="26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4"/>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1,641</w:t>
            </w: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2,216</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4,415</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spares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Plant and equipment, net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56,822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58,845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8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60,448</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64,487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1,131</w:t>
            </w: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Liability under gas sale agreements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1,131</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3,210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1,268</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Members’ equity: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Members’ capital</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59,952</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61,878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(2,171)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members’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60,448</w:t>
            </w: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revenue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Renewable gas sales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RIN sales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Transportation sales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Gas sales agreement liability reduction</w:t>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operating revenue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Operations</w:t>
      </w:r>
    </w:p>
    <w:p>
      <w:pPr>
        <w:spacing w:after="0" w:line="5" w:lineRule="exact"/>
        <w:rPr>
          <w:sz w:val="20"/>
          <w:szCs w:val="20"/>
          <w:color w:val="auto"/>
        </w:rPr>
      </w:pPr>
    </w:p>
    <w:p>
      <w:pPr>
        <w:ind w:left="140" w:right="340"/>
        <w:spacing w:after="0" w:line="246" w:lineRule="auto"/>
        <w:rPr>
          <w:sz w:val="20"/>
          <w:szCs w:val="20"/>
          <w:color w:val="auto"/>
        </w:rPr>
      </w:pPr>
      <w:r>
        <w:rPr>
          <w:rFonts w:ascii="Times New Roman" w:cs="Times New Roman" w:eastAsia="Times New Roman" w:hAnsi="Times New Roman"/>
          <w:sz w:val="16"/>
          <w:szCs w:val="16"/>
          <w:color w:val="auto"/>
        </w:rPr>
        <w:t>Repairs and maintenance Environmental credit processing services General and administrative Depreciation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Asset retirement obligation accretion</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Insurance</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Acquisition costs</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income</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7"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490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r>
      <w:tr>
        <w:trPr>
          <w:trHeight w:val="189"/>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6"/>
              </w:rPr>
              <w:t>March 11,</w:t>
            </w:r>
          </w:p>
        </w:tc>
      </w:tr>
      <w:tr>
        <w:trPr>
          <w:trHeight w:val="189"/>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0" w:type="dxa"/>
            <w:vAlign w:val="bottom"/>
          </w:tcPr>
          <w:p>
            <w:pPr>
              <w:spacing w:after="0"/>
              <w:rPr>
                <w:sz w:val="16"/>
                <w:szCs w:val="16"/>
                <w:color w:val="auto"/>
              </w:rPr>
            </w:pPr>
          </w:p>
        </w:tc>
        <w:tc>
          <w:tcPr>
            <w:tcW w:w="10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(Inception) to</w:t>
            </w:r>
          </w:p>
        </w:tc>
      </w:tr>
      <w:tr>
        <w:trPr>
          <w:trHeight w:val="201"/>
        </w:trPr>
        <w:tc>
          <w:tcPr>
            <w:tcW w:w="100" w:type="dxa"/>
            <w:vAlign w:val="bottom"/>
          </w:tcPr>
          <w:p>
            <w:pPr>
              <w:spacing w:after="0"/>
              <w:rPr>
                <w:sz w:val="17"/>
                <w:szCs w:val="17"/>
                <w:color w:val="auto"/>
              </w:rPr>
            </w:pPr>
          </w:p>
        </w:tc>
        <w:tc>
          <w:tcPr>
            <w:tcW w:w="1260" w:type="dxa"/>
            <w:vAlign w:val="bottom"/>
            <w:gridSpan w:val="2"/>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10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11"/>
        </w:trPr>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60" w:type="dxa"/>
            <w:vAlign w:val="bottom"/>
          </w:tcPr>
          <w:p>
            <w:pPr>
              <w:spacing w:after="0"/>
              <w:rPr>
                <w:sz w:val="18"/>
                <w:szCs w:val="18"/>
                <w:color w:val="auto"/>
              </w:rPr>
            </w:pPr>
          </w:p>
        </w:tc>
      </w:tr>
      <w:tr>
        <w:trPr>
          <w:trHeight w:val="55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9,522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60" w:type="dxa"/>
            <w:vAlign w:val="bottom"/>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3,450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60" w:type="dxa"/>
            <w:vAlign w:val="bottom"/>
          </w:tcPr>
          <w:p>
            <w:pPr>
              <w:spacing w:after="0"/>
              <w:rPr>
                <w:sz w:val="16"/>
                <w:szCs w:val="16"/>
                <w:color w:val="auto"/>
              </w:rPr>
            </w:pPr>
          </w:p>
        </w:tc>
      </w:tr>
      <w:tr>
        <w:trPr>
          <w:trHeight w:val="201"/>
        </w:trPr>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7"/>
                <w:szCs w:val="17"/>
                <w:color w:val="auto"/>
              </w:rPr>
            </w:pPr>
          </w:p>
        </w:tc>
      </w:tr>
      <w:tr>
        <w:trPr>
          <w:trHeight w:val="209"/>
        </w:trPr>
        <w:tc>
          <w:tcPr>
            <w:tcW w:w="10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1,829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60" w:type="dxa"/>
            <w:vAlign w:val="bottom"/>
          </w:tcPr>
          <w:p>
            <w:pPr>
              <w:spacing w:after="0"/>
              <w:rPr>
                <w:sz w:val="18"/>
                <w:szCs w:val="18"/>
                <w:color w:val="auto"/>
              </w:rPr>
            </w:pPr>
          </w:p>
        </w:tc>
      </w:tr>
      <w:tr>
        <w:trPr>
          <w:trHeight w:val="193"/>
        </w:trPr>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2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12,366</w:t>
            </w:r>
          </w:p>
        </w:tc>
        <w:tc>
          <w:tcPr>
            <w:tcW w:w="60" w:type="dxa"/>
            <w:vAlign w:val="bottom"/>
          </w:tcPr>
          <w:p>
            <w:pPr>
              <w:spacing w:after="0"/>
              <w:rPr>
                <w:sz w:val="16"/>
                <w:szCs w:val="16"/>
                <w:color w:val="auto"/>
              </w:rPr>
            </w:pPr>
          </w:p>
        </w:tc>
      </w:tr>
      <w:tr>
        <w:trPr>
          <w:trHeight w:val="362"/>
        </w:trPr>
        <w:tc>
          <w:tcPr>
            <w:tcW w:w="100" w:type="dxa"/>
            <w:vAlign w:val="bottom"/>
          </w:tcPr>
          <w:p>
            <w:pPr>
              <w:spacing w:after="0"/>
              <w:rPr>
                <w:sz w:val="24"/>
                <w:szCs w:val="24"/>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9,729</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60" w:type="dxa"/>
            <w:vAlign w:val="bottom"/>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1,979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977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16"/>
                <w:szCs w:val="16"/>
                <w:color w:val="auto"/>
              </w:rPr>
            </w:pPr>
          </w:p>
        </w:tc>
      </w:tr>
      <w:tr>
        <w:trPr>
          <w:trHeight w:val="201"/>
        </w:trPr>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60" w:type="dxa"/>
            <w:vAlign w:val="bottom"/>
          </w:tcPr>
          <w:p>
            <w:pPr>
              <w:spacing w:after="0"/>
              <w:rPr>
                <w:sz w:val="17"/>
                <w:szCs w:val="17"/>
                <w:color w:val="auto"/>
              </w:rPr>
            </w:pPr>
          </w:p>
        </w:tc>
      </w:tr>
      <w:tr>
        <w:trPr>
          <w:trHeight w:val="206"/>
        </w:trPr>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13,465</w:t>
            </w:r>
          </w:p>
        </w:tc>
      </w:tr>
      <w:tr>
        <w:trPr>
          <w:trHeight w:val="24"/>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73"/>
        </w:trPr>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-2414905</wp:posOffset>
            </wp:positionV>
            <wp:extent cx="7149465" cy="1200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-2174875</wp:posOffset>
            </wp:positionV>
            <wp:extent cx="7149465" cy="1200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-1919605</wp:posOffset>
            </wp:positionV>
            <wp:extent cx="7149465" cy="135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-1657350</wp:posOffset>
            </wp:positionV>
            <wp:extent cx="7149465" cy="1200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-1417320</wp:posOffset>
            </wp:positionV>
            <wp:extent cx="7149465" cy="1200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-1177290</wp:posOffset>
            </wp:positionV>
            <wp:extent cx="7149465" cy="1200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-937260</wp:posOffset>
            </wp:positionV>
            <wp:extent cx="7149465"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-697230</wp:posOffset>
            </wp:positionV>
            <wp:extent cx="7149465" cy="135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-434340</wp:posOffset>
            </wp:positionV>
            <wp:extent cx="7149465"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-179705</wp:posOffset>
            </wp:positionV>
            <wp:extent cx="7149465" cy="1574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060" w:space="720"/>
            <w:col w:w="7420"/>
          </w:cols>
          <w:pgMar w:left="320" w:top="806" w:right="379" w:bottom="1440" w:gutter="0" w:footer="0" w:header="0"/>
        </w:sect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806" w:right="379" w:bottom="1440" w:gutter="0" w:footer="0" w:header="0"/>
          <w:type w:val="continuous"/>
        </w:sectPr>
      </w:pPr>
    </w:p>
    <w:bookmarkStart w:id="269" w:name="page270"/>
    <w:bookmarkEnd w:id="26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MEMBERS’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ARCC</w:t>
            </w:r>
          </w:p>
        </w:tc>
        <w:tc>
          <w:tcPr>
            <w:tcW w:w="1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Fortistar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Beacon LLC</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Beacon LLC</w:t>
            </w:r>
          </w:p>
        </w:tc>
        <w:tc>
          <w:tcPr>
            <w:tcW w:w="22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11, 2019 (inception)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27,791</w:t>
            </w:r>
          </w:p>
        </w:tc>
        <w:tc>
          <w:tcPr>
            <w:tcW w:w="2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62,791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204"/>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(487)</w:t>
            </w:r>
          </w:p>
        </w:tc>
        <w:tc>
          <w:tcPr>
            <w:tcW w:w="22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2019</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tcPr>
          <w:p>
            <w:pPr>
              <w:ind w:left="140"/>
              <w:spacing w:after="0" w:line="173" w:lineRule="exact"/>
              <w:rPr>
                <w:sz w:val="20"/>
                <w:szCs w:val="20"/>
                <w:color w:val="auto"/>
              </w:rPr>
            </w:pPr>
            <w:r>
              <w:rPr>
                <w:rFonts w:ascii="Times New Roman" w:cs="Times New Roman" w:eastAsia="Times New Roman" w:hAnsi="Times New Roman"/>
                <w:sz w:val="16"/>
                <w:szCs w:val="16"/>
                <w:color w:val="auto"/>
              </w:rPr>
              <w:t>Distributions</w:t>
            </w: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(1,074)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(852)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(1,926)</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(475)</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25,573</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70" w:name="page271"/>
    <w:bookmarkEnd w:id="27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6"/>
              </w:rPr>
              <w:t>March 11,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6"/>
              </w:rPr>
              <w:t>(Inception) to</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(1,072)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operations: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asset retirement obligation</w:t>
            </w:r>
          </w:p>
        </w:tc>
        <w:tc>
          <w:tcPr>
            <w:tcW w:w="100" w:type="dxa"/>
            <w:vAlign w:val="bottom"/>
          </w:tcPr>
          <w:p>
            <w:pPr>
              <w:spacing w:after="0"/>
              <w:rPr>
                <w:sz w:val="16"/>
                <w:szCs w:val="16"/>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Gas sales agreement liability reduction</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1,723</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(693</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(1,089)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Beacon Landfill Gas Holdings LLC acquisition, net of cash</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and restricted cash acquired</w:t>
            </w:r>
          </w:p>
        </w:tc>
        <w:tc>
          <w:tcPr>
            <w:tcW w:w="100" w:type="dxa"/>
            <w:vAlign w:val="bottom"/>
          </w:tcPr>
          <w:p>
            <w:pPr>
              <w:spacing w:after="0"/>
              <w:rPr>
                <w:sz w:val="16"/>
                <w:szCs w:val="16"/>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(52,481)</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capital spares inventory</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(1,127</w:t>
            </w:r>
          </w:p>
        </w:tc>
        <w:tc>
          <w:tcPr>
            <w:tcW w:w="14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(56,871</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 from members</w:t>
            </w:r>
          </w:p>
        </w:tc>
        <w:tc>
          <w:tcPr>
            <w:tcW w:w="100" w:type="dxa"/>
            <w:vAlign w:val="bottom"/>
          </w:tcPr>
          <w:p>
            <w:pPr>
              <w:spacing w:after="0"/>
              <w:rPr>
                <w:sz w:val="16"/>
                <w:szCs w:val="16"/>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62,791</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members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(1,926)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(1,926</w:t>
            </w:r>
          </w:p>
        </w:tc>
        <w:tc>
          <w:tcPr>
            <w:tcW w:w="14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61,878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and restricted cash</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4,314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71" w:name="page272"/>
    <w:bookmarkEnd w:id="271"/>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Business</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58" w:lineRule="exact"/>
        <w:rPr>
          <w:sz w:val="20"/>
          <w:szCs w:val="20"/>
          <w:color w:val="auto"/>
        </w:rPr>
      </w:pPr>
    </w:p>
    <w:p>
      <w:pPr>
        <w:ind w:left="5" w:right="8020" w:hanging="5"/>
        <w:spacing w:after="0" w:line="527" w:lineRule="auto"/>
        <w:tabs>
          <w:tab w:leader="none" w:pos="289" w:val="left"/>
        </w:tabs>
        <w:numPr>
          <w:ilvl w:val="0"/>
          <w:numId w:val="1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 Principles of Consolidation and Presentation</w:t>
      </w:r>
    </w:p>
    <w:p>
      <w:pPr>
        <w:spacing w:after="0" w:line="1"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Risks and Uncertainties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60"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Cash</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periodically maintains cash in bank accounts more than the established limits insured by the Federal Deposit Insurance Corporation.</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72" w:name="page273"/>
    <w:bookmarkEnd w:id="27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Capital Spares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Payable and Accrued Expenses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Accounts payable and accrued expenses are costs related to the Company, which are due to vendors, for goods or services received or incurred as of December 31, 2020 and 2019.</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Liability Under Gas Sales Agreement</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liability under gas sales agreement is related to a gas sales agreement, obtained at acquisition of the RNG facilities, pursuant to which the Company sells RNG. This intangible liability was amortized using the straight-line method over an 18-month contract period and was fully amortized as of December 31, 2020. Amortization related to this intangible liability is included in gas sales agreement liability reduction in the consolidated statements of operations.</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6" w:lineRule="exact"/>
        <w:rPr>
          <w:sz w:val="20"/>
          <w:szCs w:val="20"/>
          <w:color w:val="auto"/>
        </w:rPr>
      </w:pPr>
    </w:p>
    <w:p>
      <w:pPr>
        <w:jc w:val="both"/>
        <w:ind w:left="5" w:firstLine="283"/>
        <w:spacing w:after="0" w:line="270" w:lineRule="auto"/>
        <w:rPr>
          <w:sz w:val="20"/>
          <w:szCs w:val="20"/>
          <w:color w:val="auto"/>
        </w:rPr>
      </w:pPr>
      <w:r>
        <w:rPr>
          <w:rFonts w:ascii="Times New Roman" w:cs="Times New Roman" w:eastAsia="Times New Roman" w:hAnsi="Times New Roman"/>
          <w:sz w:val="15"/>
          <w:szCs w:val="15"/>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3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73" w:name="page274"/>
    <w:bookmarkEnd w:id="273"/>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80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4"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 Company adopted ASU 2014-19,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64"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6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4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74" w:name="page275"/>
    <w:bookmarkEnd w:id="27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has cash, accounts receivable, and accounts payable for which the carrying value approximates fair value due to the short-term nature of these instruments.</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Concentrations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56" w:lineRule="exact"/>
        <w:rPr>
          <w:sz w:val="20"/>
          <w:szCs w:val="20"/>
          <w:color w:val="auto"/>
        </w:rPr>
      </w:pPr>
    </w:p>
    <w:p>
      <w:pPr>
        <w:jc w:val="both"/>
        <w:ind w:left="5" w:right="20" w:firstLine="283"/>
        <w:spacing w:after="0" w:line="310" w:lineRule="auto"/>
        <w:rPr>
          <w:sz w:val="20"/>
          <w:szCs w:val="20"/>
          <w:color w:val="auto"/>
        </w:rPr>
      </w:pPr>
      <w:r>
        <w:rPr>
          <w:rFonts w:ascii="Times New Roman" w:cs="Times New Roman" w:eastAsia="Times New Roman" w:hAnsi="Times New Roman"/>
          <w:sz w:val="15"/>
          <w:szCs w:val="15"/>
          <w:color w:val="auto"/>
        </w:rPr>
        <w:t>For the years ended December 31, 2020 and 2019, no vendors accounted for more than 10% of overall purchases. As of December 31, 2020, two vendors accounted for 24% of the accounts payable and accrued expenses balance. As of December 31, 2019, three vendors accounted for 36% of the accounts payable and accrued expenses balance.</w:t>
      </w:r>
    </w:p>
    <w:p>
      <w:pPr>
        <w:spacing w:after="0" w:line="121"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Certain prior year amounts have been reclassified to conform to current year presentation.</w:t>
      </w:r>
    </w:p>
    <w:p>
      <w:pPr>
        <w:spacing w:after="0" w:line="192" w:lineRule="exact"/>
        <w:rPr>
          <w:sz w:val="20"/>
          <w:szCs w:val="20"/>
          <w:color w:val="auto"/>
        </w:rPr>
      </w:pPr>
    </w:p>
    <w:p>
      <w:pPr>
        <w:ind w:left="285" w:hanging="285"/>
        <w:spacing w:after="0"/>
        <w:tabs>
          <w:tab w:leader="none" w:pos="285"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75" w:name="page276"/>
    <w:bookmarkEnd w:id="275"/>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 </w:t>
      </w:r>
      <w:r>
        <w:rPr>
          <w:rFonts w:ascii="Times New Roman" w:cs="Times New Roman" w:eastAsia="Times New Roman" w:hAnsi="Times New Roman"/>
          <w:sz w:val="16"/>
          <w:szCs w:val="16"/>
          <w:color w:val="auto"/>
        </w:rPr>
        <w:t>(cont.)</w:t>
      </w:r>
    </w:p>
    <w:p>
      <w:pPr>
        <w:spacing w:after="0" w:line="194"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purchase price allocation was performed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 assets acquired and the liabilities assumed were:</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Estimated fair value of assets acquired:</w:t>
            </w: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3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618</w:t>
            </w:r>
          </w:p>
        </w:tc>
      </w:tr>
      <w:tr>
        <w:trPr>
          <w:trHeight w:val="189"/>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w:t>
            </w: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1,262</w:t>
            </w:r>
          </w:p>
        </w:tc>
      </w:tr>
      <w:tr>
        <w:trPr>
          <w:trHeight w:val="18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56,853</w:t>
            </w:r>
          </w:p>
        </w:tc>
      </w:tr>
      <w:tr>
        <w:trPr>
          <w:trHeight w:val="204"/>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acquired</w:t>
            </w: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67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Estimated fair value of liabilities assumed or incurred:</w:t>
            </w:r>
          </w:p>
        </w:tc>
        <w:tc>
          <w:tcPr>
            <w:tcW w:w="3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w:t>
            </w:r>
          </w:p>
        </w:tc>
        <w:tc>
          <w:tcPr>
            <w:tcW w:w="3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1,302</w:t>
            </w:r>
          </w:p>
        </w:tc>
      </w:tr>
      <w:tr>
        <w:trPr>
          <w:trHeight w:val="189"/>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217</w:t>
            </w:r>
          </w:p>
        </w:tc>
      </w:tr>
      <w:tr>
        <w:trPr>
          <w:trHeight w:val="221"/>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Gas sales agreement</w:t>
            </w:r>
          </w:p>
        </w:tc>
        <w:tc>
          <w:tcPr>
            <w:tcW w:w="3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4,115</w:t>
            </w:r>
          </w:p>
        </w:tc>
      </w:tr>
      <w:tr>
        <w:trPr>
          <w:trHeight w:val="176"/>
        </w:trPr>
        <w:tc>
          <w:tcPr>
            <w:tcW w:w="67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liabilities assumed or incurred</w:t>
            </w:r>
          </w:p>
        </w:tc>
        <w:tc>
          <w:tcPr>
            <w:tcW w:w="33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5,634</w:t>
            </w:r>
          </w:p>
        </w:tc>
        <w:tc>
          <w:tcPr>
            <w:tcW w:w="120" w:type="dxa"/>
            <w:vAlign w:val="bottom"/>
            <w:tcBorders>
              <w:top w:val="single" w:sz="8" w:color="CCEEFF"/>
              <w:bottom w:val="single" w:sz="8" w:color="CCEEFF"/>
            </w:tcBorders>
          </w:tcPr>
          <w:p>
            <w:pPr>
              <w:spacing w:after="0"/>
              <w:rPr>
                <w:sz w:val="15"/>
                <w:szCs w:val="15"/>
                <w:color w:val="auto"/>
              </w:rPr>
            </w:pPr>
          </w:p>
        </w:tc>
      </w:tr>
      <w:tr>
        <w:trPr>
          <w:trHeight w:val="193"/>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price</w:t>
            </w:r>
          </w:p>
        </w:tc>
        <w:tc>
          <w:tcPr>
            <w:tcW w:w="3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53,111</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54" w:lineRule="exact"/>
        <w:rPr>
          <w:sz w:val="20"/>
          <w:szCs w:val="20"/>
          <w:color w:val="auto"/>
        </w:rPr>
      </w:pPr>
    </w:p>
    <w:p>
      <w:pPr>
        <w:ind w:left="5" w:right="9140" w:hanging="5"/>
        <w:spacing w:after="0" w:line="527" w:lineRule="auto"/>
        <w:tabs>
          <w:tab w:leader="none" w:pos="289" w:val="left"/>
        </w:tabs>
        <w:numPr>
          <w:ilvl w:val="0"/>
          <w:numId w:val="1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Company Operations RNG and RIN Sales Agreement</w:t>
      </w:r>
    </w:p>
    <w:p>
      <w:pPr>
        <w:spacing w:after="0" w:line="1" w:lineRule="exact"/>
        <w:rPr>
          <w:sz w:val="20"/>
          <w:szCs w:val="20"/>
          <w:color w:val="auto"/>
        </w:rPr>
      </w:pPr>
    </w:p>
    <w:p>
      <w:pPr>
        <w:jc w:val="both"/>
        <w:ind w:left="5" w:right="20" w:firstLine="283"/>
        <w:spacing w:after="0" w:line="286" w:lineRule="auto"/>
        <w:rPr>
          <w:sz w:val="20"/>
          <w:szCs w:val="20"/>
          <w:color w:val="auto"/>
        </w:rPr>
      </w:pPr>
      <w:r>
        <w:rPr>
          <w:rFonts w:ascii="Times New Roman" w:cs="Times New Roman" w:eastAsia="Times New Roman" w:hAnsi="Times New Roman"/>
          <w:sz w:val="15"/>
          <w:szCs w:val="15"/>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39"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In September 2020, the Company commenced an arrangement with another gas marketer to sell only RNG. Under this arrangement, RNG is sold at the pipeline index price, less a fixed per MMBtu fee.</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Sales Agreement</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76" w:name="page277"/>
    <w:bookmarkEnd w:id="27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Company Operations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Landfill Gas Rights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5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 has accrued $1,268 and $259 for these royalties as of December 31, 2020 and 2019 which are included in operations in the consolidated statements of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Fee</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Operations and Maintenance Agreements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54" w:lineRule="exact"/>
        <w:rPr>
          <w:sz w:val="20"/>
          <w:szCs w:val="20"/>
          <w:color w:val="auto"/>
        </w:rPr>
      </w:pPr>
    </w:p>
    <w:p>
      <w:pPr>
        <w:ind w:left="285" w:hanging="285"/>
        <w:spacing w:after="0"/>
        <w:tabs>
          <w:tab w:leader="none" w:pos="285"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Plant and equipment consisted of the following at December 31:</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H2S removal system</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Wellfield</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Pipeline</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Greentree membranes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cost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73"/>
        </w:trPr>
        <w:tc>
          <w:tcPr>
            <w:tcW w:w="8680" w:type="dxa"/>
            <w:vAlign w:val="bottom"/>
            <w:tcBorders>
              <w:top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Plant and equipment, gross</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62,271</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56,853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4,361</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Plant and equipment, net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58,845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77" w:name="page278"/>
    <w:bookmarkEnd w:id="277"/>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Liability Under Gas Sales Agreement</w:t>
      </w:r>
    </w:p>
    <w:p>
      <w:pPr>
        <w:spacing w:after="0" w:line="196"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liability under gas sales agreement consisted of the following at December 31, 2020 and 2019:</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Gas Sales Agreement</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w w:val="94"/>
              </w:rPr>
              <w:t>4,115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7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4"/>
              </w:rPr>
              <w:t>(1,829)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color w:val="auto"/>
                <w:w w:val="98"/>
              </w:rPr>
              <w:t>(2,286)</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Liability under gas sales agreement, net</w:t>
            </w: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center"/>
              <w:ind w:left="321"/>
              <w:spacing w:after="0"/>
              <w:rPr>
                <w:sz w:val="20"/>
                <w:szCs w:val="20"/>
                <w:color w:val="auto"/>
              </w:rPr>
            </w:pPr>
            <w:r>
              <w:rPr>
                <w:rFonts w:ascii="Times New Roman" w:cs="Times New Roman" w:eastAsia="Times New Roman" w:hAnsi="Times New Roman"/>
                <w:sz w:val="16"/>
                <w:szCs w:val="16"/>
                <w:color w:val="auto"/>
                <w:w w:val="94"/>
              </w:rPr>
              <w:t>1,829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Amortization income for 2020 and the period from March 11, 2019 (inception) to December 31, 2019 was $1,829 and $2,286, respectively.</w:t>
      </w:r>
    </w:p>
    <w:p>
      <w:pPr>
        <w:spacing w:after="0" w:line="192" w:lineRule="exact"/>
        <w:rPr>
          <w:sz w:val="20"/>
          <w:szCs w:val="20"/>
          <w:color w:val="auto"/>
        </w:rPr>
      </w:pPr>
    </w:p>
    <w:p>
      <w:pPr>
        <w:ind w:left="285" w:hanging="285"/>
        <w:spacing w:after="0"/>
        <w:tabs>
          <w:tab w:leader="none" w:pos="285"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Ownership and Related Parties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15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6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In June 2020, the Company contracted with TruStar, a related party, to generate and market RINs from RNG produced by Company. The contract term is September 1, 2020 through October 31, 2030.</w:t>
      </w:r>
    </w:p>
    <w:p>
      <w:pPr>
        <w:spacing w:after="0" w:line="143" w:lineRule="exact"/>
        <w:rPr>
          <w:sz w:val="20"/>
          <w:szCs w:val="20"/>
          <w:color w:val="auto"/>
        </w:rPr>
      </w:pPr>
    </w:p>
    <w:p>
      <w:pPr>
        <w:ind w:left="5" w:right="8820" w:hanging="5"/>
        <w:spacing w:after="0" w:line="494" w:lineRule="auto"/>
        <w:tabs>
          <w:tab w:leader="none" w:pos="289"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 and Contingencies Legal Matters</w:t>
      </w:r>
    </w:p>
    <w:p>
      <w:pPr>
        <w:spacing w:after="0" w:line="1" w:lineRule="exact"/>
        <w:rPr>
          <w:sz w:val="20"/>
          <w:szCs w:val="20"/>
          <w:color w:val="auto"/>
        </w:rPr>
      </w:pPr>
    </w:p>
    <w:p>
      <w:pPr>
        <w:jc w:val="both"/>
        <w:ind w:left="5" w:right="20" w:firstLine="283"/>
        <w:spacing w:after="0" w:line="278" w:lineRule="auto"/>
        <w:rPr>
          <w:sz w:val="20"/>
          <w:szCs w:val="20"/>
          <w:color w:val="auto"/>
        </w:rPr>
      </w:pPr>
      <w:r>
        <w:rPr>
          <w:rFonts w:ascii="Times New Roman" w:cs="Times New Roman" w:eastAsia="Times New Roman" w:hAnsi="Times New Roman"/>
          <w:sz w:val="15"/>
          <w:szCs w:val="15"/>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4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Prior to the acquisition, BLGH, along with numerous other parties, was named in a civil action in the alleged wrongful death of an employee of one of the landfills. The Company has been fully indemnified by EDF Renewables LFG Holdings, the prior owner, for this matter.</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143" w:lineRule="exact"/>
        <w:rPr>
          <w:sz w:val="20"/>
          <w:szCs w:val="20"/>
          <w:color w:val="auto"/>
        </w:rPr>
      </w:pPr>
    </w:p>
    <w:p>
      <w:pPr>
        <w:ind w:left="285" w:hanging="285"/>
        <w:spacing w:after="0"/>
        <w:tabs>
          <w:tab w:leader="none" w:pos="285"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6"/>
          <w:szCs w:val="16"/>
          <w:b w:val="1"/>
          <w:bCs w:val="1"/>
          <w:color w:val="auto"/>
        </w:rPr>
        <w:t>FORM OF WARRANT AMENDMENT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 TO WARRANT AGREEMENT</w:t>
      </w:r>
    </w:p>
    <w:p>
      <w:pPr>
        <w:spacing w:after="0" w:line="192" w:lineRule="exact"/>
        <w:rPr>
          <w:sz w:val="20"/>
          <w:szCs w:val="20"/>
          <w:color w:val="auto"/>
        </w:rPr>
      </w:pPr>
    </w:p>
    <w:p>
      <w:pPr>
        <w:jc w:val="both"/>
        <w:ind w:right="20" w:firstLine="283"/>
        <w:spacing w:after="0" w:line="258" w:lineRule="auto"/>
        <w:rPr>
          <w:sz w:val="20"/>
          <w:szCs w:val="20"/>
          <w:color w:val="auto"/>
        </w:rPr>
      </w:pPr>
      <w:r>
        <w:rPr>
          <w:rFonts w:ascii="Times New Roman" w:cs="Times New Roman" w:eastAsia="Times New Roman" w:hAnsi="Times New Roman"/>
          <w:sz w:val="16"/>
          <w:szCs w:val="16"/>
          <w:color w:val="auto"/>
        </w:rPr>
        <w:t>This amendment (this “</w:t>
      </w:r>
      <w:r>
        <w:rPr>
          <w:rFonts w:ascii="Times New Roman" w:cs="Times New Roman" w:eastAsia="Times New Roman" w:hAnsi="Times New Roman"/>
          <w:sz w:val="16"/>
          <w:szCs w:val="16"/>
          <w:b w:val="1"/>
          <w:bCs w:val="1"/>
          <w:i w:val="1"/>
          <w:iCs w:val="1"/>
          <w:color w:val="auto"/>
        </w:rPr>
        <w:t>Amendment</w:t>
      </w:r>
      <w:r>
        <w:rPr>
          <w:rFonts w:ascii="Times New Roman" w:cs="Times New Roman" w:eastAsia="Times New Roman" w:hAnsi="Times New Roman"/>
          <w:sz w:val="16"/>
          <w:szCs w:val="16"/>
          <w:color w:val="auto"/>
        </w:rPr>
        <w:t>”) is made as of November __, 2022, by and between OPAL Fuels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and Continental Stock Transfer &amp; Trust Company, a New York corporation, as warrant agent (the “</w:t>
      </w:r>
      <w:r>
        <w:rPr>
          <w:rFonts w:ascii="Times New Roman" w:cs="Times New Roman" w:eastAsia="Times New Roman" w:hAnsi="Times New Roman"/>
          <w:sz w:val="16"/>
          <w:szCs w:val="16"/>
          <w:b w:val="1"/>
          <w:bCs w:val="1"/>
          <w:i w:val="1"/>
          <w:iCs w:val="1"/>
          <w:color w:val="auto"/>
        </w:rPr>
        <w:t>Warrant Agent</w:t>
      </w:r>
      <w:r>
        <w:rPr>
          <w:rFonts w:ascii="Times New Roman" w:cs="Times New Roman" w:eastAsia="Times New Roman" w:hAnsi="Times New Roman"/>
          <w:sz w:val="16"/>
          <w:szCs w:val="16"/>
          <w:color w:val="auto"/>
        </w:rPr>
        <w:t>”), and constitutes an amendment to that certain Warrant Agreement, dated as of March 25, 2021 (the “</w:t>
      </w:r>
      <w:r>
        <w:rPr>
          <w:rFonts w:ascii="Times New Roman" w:cs="Times New Roman" w:eastAsia="Times New Roman" w:hAnsi="Times New Roman"/>
          <w:sz w:val="16"/>
          <w:szCs w:val="16"/>
          <w:b w:val="1"/>
          <w:bCs w:val="1"/>
          <w:i w:val="1"/>
          <w:iCs w:val="1"/>
          <w:color w:val="auto"/>
        </w:rPr>
        <w:t>Existing Warrant Agreement</w:t>
      </w:r>
      <w:r>
        <w:rPr>
          <w:rFonts w:ascii="Times New Roman" w:cs="Times New Roman" w:eastAsia="Times New Roman" w:hAnsi="Times New Roman"/>
          <w:sz w:val="16"/>
          <w:szCs w:val="16"/>
          <w:color w:val="auto"/>
        </w:rPr>
        <w:t>”), by and between the Company (as successor ArcLight Clean Transition Corp. II (“</w:t>
      </w:r>
      <w:r>
        <w:rPr>
          <w:rFonts w:ascii="Times New Roman" w:cs="Times New Roman" w:eastAsia="Times New Roman" w:hAnsi="Times New Roman"/>
          <w:sz w:val="16"/>
          <w:szCs w:val="16"/>
          <w:b w:val="1"/>
          <w:bCs w:val="1"/>
          <w:i w:val="1"/>
          <w:iCs w:val="1"/>
          <w:color w:val="auto"/>
        </w:rPr>
        <w:t>ACTC II</w:t>
      </w:r>
      <w:r>
        <w:rPr>
          <w:rFonts w:ascii="Times New Roman" w:cs="Times New Roman" w:eastAsia="Times New Roman" w:hAnsi="Times New Roman"/>
          <w:sz w:val="16"/>
          <w:szCs w:val="16"/>
          <w:color w:val="auto"/>
        </w:rPr>
        <w:t>”)) and the Warrant Agent. Capitalized terms used but not otherwise defined in this Amendment shall have the meanings given to such terms in the Existing Warrant Agreement.</w:t>
      </w:r>
    </w:p>
    <w:p>
      <w:pPr>
        <w:spacing w:after="0" w:line="15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WHEREAS, on July 21, 2022, ACTC II domesticated as a Delaware corporation and changed its name to “Opal Fuels Inc.” and, on July 21, 2021, completed its business combination with OPAL Fuels LLC (the “</w:t>
      </w:r>
      <w:r>
        <w:rPr>
          <w:rFonts w:ascii="Times New Roman" w:cs="Times New Roman" w:eastAsia="Times New Roman" w:hAnsi="Times New Roman"/>
          <w:sz w:val="16"/>
          <w:szCs w:val="16"/>
          <w:b w:val="1"/>
          <w:bCs w:val="1"/>
          <w:i w:val="1"/>
          <w:iCs w:val="1"/>
          <w:color w:val="auto"/>
        </w:rPr>
        <w:t>Business Combination</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WHEREAS, in accordance with Section 4.5 of the Existing Warrant Agreement, upon effectiveness of the Business Combination, the holders of the Warrants thereafter had the right to purchase and receive, upon the basis and upon the terms and conditions specified in the Warrants and in lieu of Ordinary Shares of ACTC II immediately theretofore purchasable and receivable upon the exercise of the rights represented thereby, an Alternative Issuance (as defined in the Existing Warrant Agreement) in shares of Class A common stock, par value $0.0001 per share, of the Company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number of then outstanding Public Warrants and, solely with respect to any amendment to the terms of the Private Placement Warrants, 65% of the number of the then outstanding Private Placement Warrants;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WHEREAS, the Company desires to amend the Existing Warrant Agreement to provide the Company with the right to require the holders of the Warrants to exchange all of the outstanding Warrants for shares of Class A common stock, on the terms and subject to the conditions set forth herein; and</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WHEREAS, in the exchange offer and consent solicitation undertaken by the Company pursuant to the Registration Statement on Form S-4 filed with the U.S. Securities and Exchange Commission, the Registered Holders of more than 65% of each of the then-outstanding Public Warrants and 65% of the then-outstanding Private Placement Warrants consented to and approved this Amendment.</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45" w:lineRule="exact"/>
        <w:rPr>
          <w:sz w:val="20"/>
          <w:szCs w:val="20"/>
          <w:color w:val="auto"/>
        </w:rPr>
      </w:pPr>
    </w:p>
    <w:p>
      <w:pPr>
        <w:ind w:left="440" w:hanging="162"/>
        <w:spacing w:after="0"/>
        <w:tabs>
          <w:tab w:leader="none" w:pos="4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Existing Warrant Agreement</w:t>
      </w:r>
      <w:r>
        <w:rPr>
          <w:rFonts w:ascii="Times New Roman" w:cs="Times New Roman" w:eastAsia="Times New Roman" w:hAnsi="Times New Roman"/>
          <w:sz w:val="16"/>
          <w:szCs w:val="16"/>
          <w:color w:val="auto"/>
        </w:rPr>
        <w:t>. The Existing Warrant Agreement is hereby amended by adding:</w:t>
      </w:r>
    </w:p>
    <w:p>
      <w:pPr>
        <w:spacing w:after="0" w:line="194" w:lineRule="exact"/>
        <w:rPr>
          <w:rFonts w:ascii="Times New Roman" w:cs="Times New Roman" w:eastAsia="Times New Roman" w:hAnsi="Times New Roman"/>
          <w:sz w:val="16"/>
          <w:szCs w:val="16"/>
          <w:color w:val="auto"/>
        </w:rPr>
      </w:pPr>
    </w:p>
    <w:p>
      <w:pPr>
        <w:ind w:left="280" w:right="9020"/>
        <w:spacing w:after="0" w:line="52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(a) the new </w:t>
      </w:r>
      <w:r>
        <w:rPr>
          <w:rFonts w:ascii="Times New Roman" w:cs="Times New Roman" w:eastAsia="Times New Roman" w:hAnsi="Times New Roman"/>
          <w:sz w:val="15"/>
          <w:szCs w:val="15"/>
          <w:u w:val="single" w:color="auto"/>
          <w:color w:val="auto"/>
        </w:rPr>
        <w:t>Section 6A</w:t>
      </w:r>
      <w:r>
        <w:rPr>
          <w:rFonts w:ascii="Times New Roman" w:cs="Times New Roman" w:eastAsia="Times New Roman" w:hAnsi="Times New Roman"/>
          <w:sz w:val="15"/>
          <w:szCs w:val="15"/>
          <w:color w:val="auto"/>
        </w:rPr>
        <w:t xml:space="preserve"> thereto: “6A </w:t>
      </w:r>
      <w:r>
        <w:rPr>
          <w:rFonts w:ascii="Times New Roman" w:cs="Times New Roman" w:eastAsia="Times New Roman" w:hAnsi="Times New Roman"/>
          <w:sz w:val="15"/>
          <w:szCs w:val="15"/>
          <w:u w:val="single" w:color="auto"/>
          <w:color w:val="auto"/>
        </w:rPr>
        <w:t>Mandatory Exchange</w:t>
      </w:r>
      <w:r>
        <w:rPr>
          <w:rFonts w:ascii="Times New Roman" w:cs="Times New Roman" w:eastAsia="Times New Roman" w:hAnsi="Times New Roman"/>
          <w:sz w:val="15"/>
          <w:szCs w:val="15"/>
          <w:color w:val="auto"/>
        </w:rPr>
        <w:t>.</w:t>
      </w: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6A.1 </w:t>
      </w:r>
      <w:r>
        <w:rPr>
          <w:rFonts w:ascii="Times New Roman" w:cs="Times New Roman" w:eastAsia="Times New Roman" w:hAnsi="Times New Roman"/>
          <w:sz w:val="16"/>
          <w:szCs w:val="16"/>
          <w:u w:val="single" w:color="auto"/>
          <w:color w:val="auto"/>
        </w:rPr>
        <w:t>The Business Combination</w:t>
      </w:r>
      <w:r>
        <w:rPr>
          <w:rFonts w:ascii="Times New Roman" w:cs="Times New Roman" w:eastAsia="Times New Roman" w:hAnsi="Times New Roman"/>
          <w:sz w:val="16"/>
          <w:szCs w:val="16"/>
          <w:color w:val="auto"/>
        </w:rPr>
        <w:t>. On July 21, 2022, the Company domesticated as a Delaware corporation and changed its name to “OPAL Fuels Inc.” and, on July 21, 2022, completed its business combination with OPAL Fuels LLC (the “</w:t>
      </w:r>
      <w:r>
        <w:rPr>
          <w:rFonts w:ascii="Times New Roman" w:cs="Times New Roman" w:eastAsia="Times New Roman" w:hAnsi="Times New Roman"/>
          <w:sz w:val="16"/>
          <w:szCs w:val="16"/>
          <w:b w:val="1"/>
          <w:bCs w:val="1"/>
          <w:i w:val="1"/>
          <w:iCs w:val="1"/>
          <w:color w:val="auto"/>
        </w:rPr>
        <w:t>Business Combination</w:t>
      </w:r>
      <w:r>
        <w:rPr>
          <w:rFonts w:ascii="Times New Roman" w:cs="Times New Roman" w:eastAsia="Times New Roman" w:hAnsi="Times New Roman"/>
          <w:sz w:val="16"/>
          <w:szCs w:val="16"/>
          <w:color w:val="auto"/>
        </w:rPr>
        <w:t>”). In accordance with Section 4.5 of this Agreement, upon effectiveness of the Business Combination, the holders of the Warrants thereafter had the right to purchase and receive, upon the basis and upon the terms and conditions specified in the Warrants and in lieu of Ordinary Shares of the Company immediately theretofore purchasable and receivable upon the exercise of the rights represented thereby, an Alternative Issuance in shares of Class A common stock, par value $0.0001 per share, of OPAL Fuels Inc.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279" w:name="page280"/>
    <w:bookmarkEnd w:id="279"/>
    <w:p>
      <w:pPr>
        <w:jc w:val="both"/>
        <w:ind w:left="5" w:right="20" w:firstLine="283"/>
        <w:spacing w:after="0" w:line="269" w:lineRule="auto"/>
        <w:rPr>
          <w:sz w:val="20"/>
          <w:szCs w:val="20"/>
          <w:color w:val="auto"/>
        </w:rPr>
      </w:pPr>
      <w:r>
        <w:rPr>
          <w:rFonts w:ascii="Times New Roman" w:cs="Times New Roman" w:eastAsia="Times New Roman" w:hAnsi="Times New Roman"/>
          <w:sz w:val="15"/>
          <w:szCs w:val="15"/>
          <w:color w:val="auto"/>
        </w:rPr>
        <w:t xml:space="preserve">6A.2 </w:t>
      </w:r>
      <w:r>
        <w:rPr>
          <w:rFonts w:ascii="Times New Roman" w:cs="Times New Roman" w:eastAsia="Times New Roman" w:hAnsi="Times New Roman"/>
          <w:sz w:val="15"/>
          <w:szCs w:val="15"/>
          <w:u w:val="single" w:color="auto"/>
          <w:color w:val="auto"/>
        </w:rPr>
        <w:t>Company Election to Exchange</w:t>
      </w:r>
      <w:r>
        <w:rPr>
          <w:rFonts w:ascii="Times New Roman" w:cs="Times New Roman" w:eastAsia="Times New Roman" w:hAnsi="Times New Roman"/>
          <w:sz w:val="15"/>
          <w:szCs w:val="15"/>
          <w:color w:val="auto"/>
        </w:rPr>
        <w:t>.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then-outstanding Warrants, as described in Section 6A.3 below, for shares of Class A common stock (or any Alternative Issuance pursuant to Section 4.5), at the exchange rate of 0.____ shares of Class A common stock (or any Alternative Issuance pursuant to Section 4.5) for each Warrant held by the holder thereof (the “</w:t>
      </w:r>
      <w:r>
        <w:rPr>
          <w:rFonts w:ascii="Times New Roman" w:cs="Times New Roman" w:eastAsia="Times New Roman" w:hAnsi="Times New Roman"/>
          <w:sz w:val="15"/>
          <w:szCs w:val="15"/>
          <w:b w:val="1"/>
          <w:bCs w:val="1"/>
          <w:i w:val="1"/>
          <w:iCs w:val="1"/>
          <w:color w:val="auto"/>
        </w:rPr>
        <w:t>Consideration</w:t>
      </w:r>
      <w:r>
        <w:rPr>
          <w:rFonts w:ascii="Times New Roman" w:cs="Times New Roman" w:eastAsia="Times New Roman" w:hAnsi="Times New Roman"/>
          <w:sz w:val="15"/>
          <w:szCs w:val="15"/>
          <w:color w:val="auto"/>
        </w:rPr>
        <w:t>”)</w:t>
      </w:r>
    </w:p>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(subject to equitable adjustment by the Company in the event of any stock splits, stock dividends, recapitalizations, or similar transaction with respect to the shares of Class A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$[___].</w:t>
      </w:r>
      <w:r>
        <w:rPr>
          <w:rFonts w:ascii="Times New Roman" w:cs="Times New Roman" w:eastAsia="Times New Roman" w:hAnsi="Times New Roman"/>
          <w:sz w:val="26"/>
          <w:szCs w:val="26"/>
          <w:color w:val="auto"/>
          <w:vertAlign w:val="superscript"/>
        </w:rPr>
        <w:t>3</w:t>
      </w:r>
    </w:p>
    <w:p>
      <w:pPr>
        <w:spacing w:after="0" w:line="49"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 xml:space="preserve">6A.3 </w:t>
      </w:r>
      <w:r>
        <w:rPr>
          <w:rFonts w:ascii="Times New Roman" w:cs="Times New Roman" w:eastAsia="Times New Roman" w:hAnsi="Times New Roman"/>
          <w:sz w:val="16"/>
          <w:szCs w:val="16"/>
          <w:u w:val="single" w:color="auto"/>
          <w:color w:val="auto"/>
        </w:rPr>
        <w:t>Date Fixed for, and Notice of, Exchange</w:t>
      </w:r>
      <w:r>
        <w:rPr>
          <w:rFonts w:ascii="Times New Roman" w:cs="Times New Roman" w:eastAsia="Times New Roman" w:hAnsi="Times New Roman"/>
          <w:sz w:val="16"/>
          <w:szCs w:val="16"/>
          <w:color w:val="auto"/>
        </w:rPr>
        <w:t>. In the event that the Company elects to exchange all of the Warrants, the Company shall fix a date for the exchange (the “</w:t>
      </w:r>
      <w:r>
        <w:rPr>
          <w:rFonts w:ascii="Times New Roman" w:cs="Times New Roman" w:eastAsia="Times New Roman" w:hAnsi="Times New Roman"/>
          <w:sz w:val="16"/>
          <w:szCs w:val="16"/>
          <w:b w:val="1"/>
          <w:bCs w:val="1"/>
          <w:i w:val="1"/>
          <w:iCs w:val="1"/>
          <w:color w:val="auto"/>
        </w:rPr>
        <w:t>Exchange Date</w:t>
      </w:r>
      <w:r>
        <w:rPr>
          <w:rFonts w:ascii="Times New Roman" w:cs="Times New Roman" w:eastAsia="Times New Roman" w:hAnsi="Times New Roman"/>
          <w:sz w:val="16"/>
          <w:szCs w:val="16"/>
          <w:color w:val="auto"/>
        </w:rPr>
        <w:t>”). Notice of exchange shall be mailed by first class mail, postage prepaid, by the Company not less than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60"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 xml:space="preserve">6A.4 </w:t>
      </w:r>
      <w:r>
        <w:rPr>
          <w:rFonts w:ascii="Times New Roman" w:cs="Times New Roman" w:eastAsia="Times New Roman" w:hAnsi="Times New Roman"/>
          <w:sz w:val="16"/>
          <w:szCs w:val="16"/>
          <w:u w:val="single" w:color="auto"/>
          <w:color w:val="auto"/>
        </w:rPr>
        <w:t>Exercise After Notice of Exchange</w:t>
      </w:r>
      <w:r>
        <w:rPr>
          <w:rFonts w:ascii="Times New Roman" w:cs="Times New Roman" w:eastAsia="Times New Roman" w:hAnsi="Times New Roman"/>
          <w:sz w:val="16"/>
          <w:szCs w:val="16"/>
          <w:color w:val="auto"/>
        </w:rPr>
        <w:t xml:space="preserve">. The Warrants may be exercised, for cash (or on a “cashless basis” in accordance with clause (ii) </w:t>
      </w:r>
      <w:r>
        <w:rPr>
          <w:rFonts w:ascii="Times New Roman" w:cs="Times New Roman" w:eastAsia="Times New Roman" w:hAnsi="Times New Roman"/>
          <w:sz w:val="16"/>
          <w:szCs w:val="16"/>
          <w:u w:val="single" w:color="auto"/>
          <w:color w:val="auto"/>
        </w:rPr>
        <w:t>subsection 3.3.1(c)</w:t>
      </w:r>
      <w:r>
        <w:rPr>
          <w:rFonts w:ascii="Times New Roman" w:cs="Times New Roman" w:eastAsia="Times New Roman" w:hAnsi="Times New Roman"/>
          <w:sz w:val="16"/>
          <w:szCs w:val="16"/>
          <w:color w:val="auto"/>
        </w:rPr>
        <w:t xml:space="preserve"> of this Agreement, with an adjustment to the definition of “Sponsor Fair Market Value” to (A) correct such defined term to “</w:t>
      </w:r>
      <w:r>
        <w:rPr>
          <w:rFonts w:ascii="Times New Roman" w:cs="Times New Roman" w:eastAsia="Times New Roman" w:hAnsi="Times New Roman"/>
          <w:sz w:val="16"/>
          <w:szCs w:val="16"/>
          <w:b w:val="1"/>
          <w:bCs w:val="1"/>
          <w:i w:val="1"/>
          <w:iCs w:val="1"/>
          <w:color w:val="auto"/>
        </w:rPr>
        <w:t>Sponsor Exercise Fair Market Value</w:t>
      </w:r>
      <w:r>
        <w:rPr>
          <w:rFonts w:ascii="Times New Roman" w:cs="Times New Roman" w:eastAsia="Times New Roman" w:hAnsi="Times New Roman"/>
          <w:sz w:val="16"/>
          <w:szCs w:val="16"/>
          <w:color w:val="auto"/>
        </w:rPr>
        <w:t xml:space="preserve">” and (B) to substitute the date on which the notice of exchange is sent for the date on which the notice of exercise is sent) at any time after notice of exchange shall have been given by the Company pursuant to </w:t>
      </w:r>
      <w:r>
        <w:rPr>
          <w:rFonts w:ascii="Times New Roman" w:cs="Times New Roman" w:eastAsia="Times New Roman" w:hAnsi="Times New Roman"/>
          <w:sz w:val="16"/>
          <w:szCs w:val="16"/>
          <w:u w:val="single" w:color="auto"/>
          <w:color w:val="auto"/>
        </w:rPr>
        <w:t>Section 6A.3</w:t>
      </w:r>
      <w:r>
        <w:rPr>
          <w:rFonts w:ascii="Times New Roman" w:cs="Times New Roman" w:eastAsia="Times New Roman" w:hAnsi="Times New Roman"/>
          <w:sz w:val="16"/>
          <w:szCs w:val="16"/>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64" w:lineRule="exact"/>
        <w:rPr>
          <w:sz w:val="20"/>
          <w:szCs w:val="20"/>
          <w:color w:val="auto"/>
        </w:rPr>
      </w:pPr>
    </w:p>
    <w:p>
      <w:pPr>
        <w:ind w:left="445" w:hanging="162"/>
        <w:spacing w:after="0"/>
        <w:tabs>
          <w:tab w:leader="none" w:pos="44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5" w:firstLine="283"/>
        <w:spacing w:after="0" w:line="286"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39"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validity, interpretation, and performance of this Amendment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78562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0" w:lineRule="exact"/>
        <w:rPr>
          <w:sz w:val="20"/>
          <w:szCs w:val="20"/>
          <w:color w:val="auto"/>
        </w:rPr>
      </w:pPr>
    </w:p>
    <w:p>
      <w:pPr>
        <w:ind w:left="285" w:right="20" w:hanging="285"/>
        <w:spacing w:after="0" w:line="196" w:lineRule="auto"/>
        <w:tabs>
          <w:tab w:leader="none" w:pos="285" w:val="left"/>
        </w:tabs>
        <w:numPr>
          <w:ilvl w:val="0"/>
          <w:numId w:val="14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This will be the last sale price of the Company’s Common Stock on the NASDAQ on the last trading day of the Offer Period (as defined in the Registration Statement on Form S-4 filed with the SEC on November 18, 2022).</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9" w:right="319" w:bottom="1440" w:gutter="0" w:footer="0" w:header="0"/>
        </w:sectPr>
      </w:pPr>
    </w:p>
    <w:bookmarkStart w:id="280" w:name="page281"/>
    <w:bookmarkEnd w:id="280"/>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are not part of this Amendment and shall not affect the interpretation thereof.</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81" w:name="page282"/>
    <w:bookmarkEnd w:id="281"/>
    <w:p>
      <w:pPr>
        <w:ind w:left="280"/>
        <w:spacing w:after="0"/>
        <w:rPr>
          <w:sz w:val="20"/>
          <w:szCs w:val="20"/>
          <w:color w:val="auto"/>
        </w:rPr>
      </w:pPr>
      <w:r>
        <w:rPr>
          <w:rFonts w:ascii="Times New Roman" w:cs="Times New Roman" w:eastAsia="Times New Roman" w:hAnsi="Times New Roman"/>
          <w:sz w:val="15"/>
          <w:szCs w:val="15"/>
          <w:color w:val="auto"/>
        </w:rPr>
        <w:t>IN WITNESS WHEREOF, each of the parties has caused this Amendment to be duly executed as of the date first above written.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13970</wp:posOffset>
            </wp:positionV>
            <wp:extent cx="257302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73020" cy="1524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CONTINENTAL STOCK TRANSFER &amp; TRUST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COMPANY, </w:t>
      </w:r>
      <w:r>
        <w:rPr>
          <w:rFonts w:ascii="Times New Roman" w:cs="Times New Roman" w:eastAsia="Times New Roman" w:hAnsi="Times New Roman"/>
          <w:sz w:val="16"/>
          <w:szCs w:val="16"/>
          <w:color w:val="auto"/>
        </w:rPr>
        <w:t>as Warrant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13970</wp:posOffset>
            </wp:positionV>
            <wp:extent cx="257302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73020" cy="1524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Title:</w:t>
      </w:r>
    </w:p>
    <w:p>
      <w:pPr>
        <w:spacing w:after="0" w:line="3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282" w:name="page283"/>
    <w:bookmarkEnd w:id="28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2960370</wp:posOffset>
            </wp:positionH>
            <wp:positionV relativeFrom="page">
              <wp:posOffset>523875</wp:posOffset>
            </wp:positionV>
            <wp:extent cx="1597660" cy="3752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597660" cy="3752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Offer to Exchange Warrants to Acquire Shares of Class A Common Stock</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Shares of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122555</wp:posOffset>
            </wp:positionV>
            <wp:extent cx="179324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3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135255</wp:posOffset>
            </wp:positionV>
            <wp:extent cx="179324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Exchange Agent for the Offer and the Consent Solicitation 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Continental Stock Transfer &amp; Trust Company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Attn: Voluntary Corporate Actions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 State Street, 30th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17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Information Agent for the Offer and Consent Solicitation 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D.F. King &amp; Co.,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Dealer Manager for the Offer and the Consent Solicitation 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BofA Securities,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714946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1)"/>
      <w:numFmt w:val="lowerRoman"/>
      <w:start w:val="6"/>
    </w:lvl>
  </w:abstractNum>
  <w:abstractNum w:abstractNumId="5">
    <w:nsid w:val="42963E5A"/>
    <w:multiLevelType w:val="hybridMultilevel"/>
    <w:lvl w:ilvl="0">
      <w:lvlJc w:val="left"/>
      <w:lvlText w:val="(%1)"/>
      <w:numFmt w:val="lowerRoman"/>
      <w:start w:val="2"/>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1)"/>
      <w:numFmt w:val="lowerRoman"/>
      <w:start w:val="2"/>
    </w:lvl>
  </w:abstractNum>
  <w:abstractNum w:abstractNumId="22">
    <w:nsid w:val="94211F2"/>
    <w:multiLevelType w:val="hybridMultilevel"/>
    <w:lvl w:ilvl="0">
      <w:lvlJc w:val="left"/>
      <w:lvlText w:val="(%1)"/>
      <w:numFmt w:val="lowerRoman"/>
      <w:start w:val="4"/>
    </w:lvl>
  </w:abstractNum>
  <w:abstractNum w:abstractNumId="23">
    <w:nsid w:val="885E1B"/>
    <w:multiLevelType w:val="hybridMultilevel"/>
    <w:lvl w:ilvl="0">
      <w:lvlJc w:val="left"/>
      <w:lvlText w:val="(%1)"/>
      <w:numFmt w:val="lowerRoman"/>
      <w:start w:val="2"/>
    </w:lvl>
  </w:abstractNum>
  <w:abstractNum w:abstractNumId="24">
    <w:nsid w:val="76272110"/>
    <w:multiLevelType w:val="hybridMultilevel"/>
    <w:lvl w:ilvl="0">
      <w:lvlJc w:val="left"/>
      <w:lvlText w:val="(%1)"/>
      <w:numFmt w:val="decimal"/>
      <w:start w:val="1"/>
    </w:lvl>
  </w:abstractNum>
  <w:abstractNum w:abstractNumId="25">
    <w:nsid w:val="4C04A8AF"/>
    <w:multiLevelType w:val="hybridMultilevel"/>
    <w:lvl w:ilvl="0">
      <w:lvlJc w:val="left"/>
      <w:lvlText w:val="(%1)"/>
      <w:numFmt w:val="decimal"/>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1)"/>
      <w:numFmt w:val="lowerLetter"/>
      <w:start w:val="1"/>
    </w:lvl>
  </w:abstractNum>
  <w:abstractNum w:abstractNumId="31">
    <w:nsid w:val="2DF6D648"/>
    <w:multiLevelType w:val="hybridMultilevel"/>
    <w:lvl w:ilvl="0">
      <w:lvlJc w:val="left"/>
      <w:lvlText w:val="(%1)"/>
      <w:numFmt w:val="lowerLetter"/>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lvl w:ilvl="1">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1)"/>
      <w:numFmt w:val="decimal"/>
      <w:start w:val="1"/>
    </w:lvl>
  </w:abstractNum>
  <w:abstractNum w:abstractNumId="37">
    <w:nsid w:val="43F18422"/>
    <w:multiLevelType w:val="hybridMultilevel"/>
    <w:lvl w:ilvl="0">
      <w:lvlJc w:val="left"/>
      <w:lvlText w:val="(%1)"/>
      <w:numFmt w:val="decimal"/>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1)"/>
      <w:numFmt w:val="decimal"/>
      <w:start w:val="1"/>
    </w:lvl>
  </w:abstractNum>
  <w:abstractNum w:abstractNumId="40">
    <w:nsid w:val="7F01579B"/>
    <w:multiLevelType w:val="hybridMultilevel"/>
    <w:lvl w:ilvl="0">
      <w:lvlJc w:val="left"/>
      <w:lvlText w:val="(%1)"/>
      <w:numFmt w:val="decimal"/>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1)"/>
      <w:numFmt w:val="lowerRoman"/>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1)"/>
      <w:numFmt w:val="lowerLetter"/>
      <w:start w:val="1"/>
    </w:lvl>
  </w:abstractNum>
  <w:abstractNum w:abstractNumId="48">
    <w:nsid w:val="7672BD23"/>
    <w:multiLevelType w:val="hybridMultilevel"/>
    <w:lvl w:ilvl="0">
      <w:lvlJc w:val="left"/>
      <w:lvlText w:val="(%1)"/>
      <w:numFmt w:val="lowerLetter"/>
      <w:start w:val="1"/>
    </w:lvl>
  </w:abstractNum>
  <w:abstractNum w:abstractNumId="49">
    <w:nsid w:val="6FC75AF8"/>
    <w:multiLevelType w:val="hybridMultilevel"/>
    <w:lvl w:ilvl="0">
      <w:lvlJc w:val="left"/>
      <w:lvlText w:val="(%1)"/>
      <w:numFmt w:val="lowerLetter"/>
      <w:start w:val="1"/>
    </w:lvl>
  </w:abstractNum>
  <w:abstractNum w:abstractNumId="50">
    <w:nsid w:val="6A5F7029"/>
    <w:multiLevelType w:val="hybridMultilevel"/>
    <w:lvl w:ilvl="0">
      <w:lvlJc w:val="left"/>
      <w:lvlText w:val="%1."/>
      <w:numFmt w:val="lowerLetter"/>
      <w:start w:val="1"/>
    </w:lvl>
  </w:abstractNum>
  <w:abstractNum w:abstractNumId="51">
    <w:nsid w:val="7D5E18F8"/>
    <w:multiLevelType w:val="hybridMultilevel"/>
    <w:lvl w:ilvl="0">
      <w:lvlJc w:val="left"/>
      <w:lvlText w:val="(%1)"/>
      <w:numFmt w:val="lowerLetter"/>
      <w:start w:val="1"/>
    </w:lvl>
  </w:abstractNum>
  <w:abstractNum w:abstractNumId="52">
    <w:nsid w:val="5F3534A4"/>
    <w:multiLevelType w:val="hybridMultilevel"/>
    <w:lvl w:ilvl="0">
      <w:lvlJc w:val="left"/>
      <w:lvlText w:val="%1."/>
      <w:numFmt w:val="lowerLetter"/>
      <w:start w:val="1"/>
    </w:lvl>
  </w:abstractNum>
  <w:abstractNum w:abstractNumId="53">
    <w:nsid w:val="73A1821B"/>
    <w:multiLevelType w:val="hybridMultilevel"/>
    <w:lvl w:ilvl="0">
      <w:lvlJc w:val="left"/>
      <w:lvlText w:val="(%1)"/>
      <w:numFmt w:val="lowerRoman"/>
      <w:start w:val="2"/>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1)"/>
      <w:numFmt w:val="lowerLetter"/>
      <w:start w:val="1"/>
    </w:lvl>
  </w:abstractNum>
  <w:abstractNum w:abstractNumId="59">
    <w:nsid w:val="71C91298"/>
    <w:multiLevelType w:val="hybridMultilevel"/>
    <w:lvl w:ilvl="0">
      <w:lvlJc w:val="left"/>
      <w:lvlText w:val="(%1)"/>
      <w:numFmt w:val="lowerLetter"/>
      <w:start w:val="2"/>
    </w:lvl>
  </w:abstractNum>
  <w:abstractNum w:abstractNumId="60">
    <w:nsid w:val="9DAF632"/>
    <w:multiLevelType w:val="hybridMultilevel"/>
    <w:lvl w:ilvl="0">
      <w:lvlJc w:val="left"/>
      <w:lvlText w:val="(%1)"/>
      <w:numFmt w:val="lowerRoman"/>
      <w:start w:val="3"/>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1)"/>
      <w:numFmt w:val="decimal"/>
      <w:start w:val="1"/>
    </w:lvl>
  </w:abstractNum>
  <w:abstractNum w:abstractNumId="63">
    <w:nsid w:val="5092CA79"/>
    <w:multiLevelType w:val="hybridMultilevel"/>
    <w:lvl w:ilvl="0">
      <w:lvlJc w:val="left"/>
      <w:lvlText w:val="(%1)"/>
      <w:numFmt w:val="decimal"/>
      <w:start w:val="3"/>
    </w:lvl>
  </w:abstractNum>
  <w:abstractNum w:abstractNumId="64">
    <w:nsid w:val="1D545C4D"/>
    <w:multiLevelType w:val="hybridMultilevel"/>
    <w:lvl w:ilvl="0">
      <w:lvlJc w:val="left"/>
      <w:lvlText w:val="(%1)"/>
      <w:numFmt w:val="decimal"/>
      <w:start w:val="1"/>
    </w:lvl>
  </w:abstractNum>
  <w:abstractNum w:abstractNumId="65">
    <w:nsid w:val="59ADEA3D"/>
    <w:multiLevelType w:val="hybridMultilevel"/>
    <w:lvl w:ilvl="0">
      <w:lvlJc w:val="left"/>
      <w:lvlText w:val="(%1)"/>
      <w:numFmt w:val="decimal"/>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1)"/>
      <w:numFmt w:val="decimal"/>
      <w:start w:val="1"/>
    </w:lvl>
  </w:abstractNum>
  <w:abstractNum w:abstractNumId="70">
    <w:nsid w:val="51088277"/>
    <w:multiLevelType w:val="hybridMultilevel"/>
    <w:lvl w:ilvl="0">
      <w:lvlJc w:val="left"/>
      <w:lvlText w:val="(%1)"/>
      <w:numFmt w:val="decimal"/>
      <w:start w:val="1"/>
    </w:lvl>
  </w:abstractNum>
  <w:abstractNum w:abstractNumId="71">
    <w:nsid w:val="1CA0C5FA"/>
    <w:multiLevelType w:val="hybridMultilevel"/>
    <w:lvl w:ilvl="0">
      <w:lvlJc w:val="left"/>
      <w:lvlText w:val="(%1)"/>
      <w:numFmt w:val="decimal"/>
      <w:start w:val="1"/>
    </w:lvl>
  </w:abstractNum>
  <w:abstractNum w:abstractNumId="72">
    <w:nsid w:val="53584BCB"/>
    <w:multiLevelType w:val="hybridMultilevel"/>
    <w:lvl w:ilvl="0">
      <w:lvlJc w:val="left"/>
      <w:lvlText w:val="(%1)"/>
      <w:numFmt w:val="decimal"/>
      <w:start w:val="1"/>
    </w:lvl>
  </w:abstractNum>
  <w:abstractNum w:abstractNumId="73">
    <w:nsid w:val="415E286C"/>
    <w:multiLevelType w:val="hybridMultilevel"/>
    <w:lvl w:ilvl="0">
      <w:lvlJc w:val="left"/>
      <w:lvlText w:val="(%1)"/>
      <w:numFmt w:val="decimal"/>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lvl w:ilvl="1">
      <w:lvlJc w:val="left"/>
      <w:lvlText w:val="○"/>
      <w:numFmt w:val="bullet"/>
      <w:start w:val="1"/>
    </w:lvl>
  </w:abstractNum>
  <w:abstractNum w:abstractNumId="78">
    <w:nsid w:val="E7FFA2B"/>
    <w:multiLevelType w:val="hybridMultilevel"/>
    <w:lvl w:ilvl="0">
      <w:lvlJc w:val="left"/>
      <w:lvlText w:val="●"/>
      <w:numFmt w:val="bullet"/>
      <w:start w:val="1"/>
    </w:lvl>
    <w:lvl w:ilvl="1">
      <w:lvlJc w:val="left"/>
      <w:lvlText w:val="○"/>
      <w:numFmt w:val="bullet"/>
      <w:start w:val="1"/>
    </w:lvl>
  </w:abstractNum>
  <w:abstractNum w:abstractNumId="79">
    <w:nsid w:val="3C5991AA"/>
    <w:multiLevelType w:val="hybridMultilevel"/>
    <w:lvl w:ilvl="0">
      <w:lvlJc w:val="left"/>
      <w:lvlText w:val="(%1)"/>
      <w:numFmt w:val="decimal"/>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1)"/>
      <w:numFmt w:val="decimal"/>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1."/>
      <w:numFmt w:val="decimal"/>
      <w:start w:val="17"/>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1)"/>
      <w:numFmt w:val="decimal"/>
      <w:start w:val="1"/>
    </w:lvl>
  </w:abstractNum>
  <w:abstractNum w:abstractNumId="89">
    <w:nsid w:val="6AA7B75C"/>
    <w:multiLevelType w:val="hybridMultilevel"/>
    <w:lvl w:ilvl="0">
      <w:lvlJc w:val="left"/>
      <w:lvlText w:val="(%1)"/>
      <w:numFmt w:val="decimal"/>
      <w:start w:val="1"/>
    </w:lvl>
  </w:abstractNum>
  <w:abstractNum w:abstractNumId="90">
    <w:nsid w:val="1DF029D3"/>
    <w:multiLevelType w:val="hybridMultilevel"/>
    <w:lvl w:ilvl="0">
      <w:lvlJc w:val="left"/>
      <w:lvlText w:val="(%1)"/>
      <w:numFmt w:val="decimal"/>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1)"/>
      <w:numFmt w:val="decimal"/>
      <w:start w:val="1"/>
    </w:lvl>
  </w:abstractNum>
  <w:abstractNum w:abstractNumId="93">
    <w:nsid w:val="3DB012B3"/>
    <w:multiLevelType w:val="hybridMultilevel"/>
    <w:lvl w:ilvl="0">
      <w:lvlJc w:val="left"/>
      <w:lvlText w:val="(%1)"/>
      <w:numFmt w:val="decimal"/>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
      <w:numFmt w:val="bullet"/>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1)"/>
      <w:numFmt w:val="decimal"/>
      <w:start w:val="1"/>
    </w:lvl>
  </w:abstractNum>
  <w:abstractNum w:abstractNumId="98">
    <w:nsid w:val="53B0A9E"/>
    <w:multiLevelType w:val="hybridMultilevel"/>
    <w:lvl w:ilvl="0">
      <w:lvlJc w:val="left"/>
      <w:lvlText w:val="(%1)"/>
      <w:numFmt w:val="decimal"/>
      <w:start w:val="1"/>
    </w:lvl>
  </w:abstractNum>
  <w:abstractNum w:abstractNumId="99">
    <w:nsid w:val="34FD6B4F"/>
    <w:multiLevelType w:val="hybridMultilevel"/>
    <w:lvl w:ilvl="0">
      <w:lvlJc w:val="left"/>
      <w:lvlText w:val="%1."/>
      <w:numFmt w:val="decimal"/>
      <w:start w:val="4"/>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1)"/>
      <w:numFmt w:val="decimal"/>
      <w:start w:val="1"/>
    </w:lvl>
  </w:abstractNum>
  <w:abstractNum w:abstractNumId="102">
    <w:nsid w:val="519E3149"/>
    <w:multiLevelType w:val="hybridMultilevel"/>
    <w:lvl w:ilvl="0">
      <w:lvlJc w:val="left"/>
      <w:lvlText w:val="(%1)"/>
      <w:numFmt w:val="decimal"/>
      <w:start w:val="1"/>
    </w:lvl>
  </w:abstractNum>
  <w:abstractNum w:abstractNumId="103">
    <w:nsid w:val="2C6E4AFD"/>
    <w:multiLevelType w:val="hybridMultilevel"/>
    <w:lvl w:ilvl="0">
      <w:lvlJc w:val="left"/>
      <w:lvlText w:val="(%1)"/>
      <w:numFmt w:val="decimal"/>
      <w:start w:val="1"/>
    </w:lvl>
  </w:abstractNum>
  <w:abstractNum w:abstractNumId="104">
    <w:nsid w:val="17A1B582"/>
    <w:multiLevelType w:val="hybridMultilevel"/>
    <w:lvl w:ilvl="0">
      <w:lvlJc w:val="left"/>
      <w:lvlText w:val="(%1)"/>
      <w:numFmt w:val="decimal"/>
      <w:start w:val="1"/>
    </w:lvl>
  </w:abstractNum>
  <w:abstractNum w:abstractNumId="105">
    <w:nsid w:val="4DF72E4E"/>
    <w:multiLevelType w:val="hybridMultilevel"/>
    <w:lvl w:ilvl="0">
      <w:lvlJc w:val="left"/>
      <w:lvlText w:val="(%1)"/>
      <w:numFmt w:val="decimal"/>
      <w:start w:val="1"/>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1."/>
      <w:numFmt w:val="decimal"/>
      <w:start w:val="15"/>
    </w:lvl>
    <w:lvl w:ilvl="1">
      <w:lvlJc w:val="left"/>
      <w:lvlText w:val="●"/>
      <w:numFmt w:val="bullet"/>
      <w:start w:val="1"/>
    </w:lvl>
  </w:abstractNum>
  <w:abstractNum w:abstractNumId="109">
    <w:nsid w:val="5EC6AFD4"/>
    <w:multiLevelType w:val="hybridMultilevel"/>
    <w:lvl w:ilvl="0">
      <w:lvlJc w:val="left"/>
      <w:lvlText w:val="(%1)"/>
      <w:numFmt w:val="decimal"/>
      <w:start w:val="1"/>
    </w:lvl>
  </w:abstractNum>
  <w:abstractNum w:abstractNumId="110">
    <w:nsid w:val="19E21BB2"/>
    <w:multiLevelType w:val="hybridMultilevel"/>
    <w:lvl w:ilvl="0">
      <w:lvlJc w:val="left"/>
      <w:lvlText w:val="(%1)"/>
      <w:numFmt w:val="decimal"/>
      <w:start w:val="1"/>
    </w:lvl>
  </w:abstractNum>
  <w:abstractNum w:abstractNumId="111">
    <w:nsid w:val="75E0858A"/>
    <w:multiLevelType w:val="hybridMultilevel"/>
    <w:lvl w:ilvl="0">
      <w:lvlJc w:val="left"/>
      <w:lvlText w:val="(%1)"/>
      <w:numFmt w:val="decimal"/>
      <w:start w:val="1"/>
    </w:lvl>
  </w:abstractNum>
  <w:abstractNum w:abstractNumId="112">
    <w:nsid w:val="57A61A29"/>
    <w:multiLevelType w:val="hybridMultilevel"/>
    <w:lvl w:ilvl="0">
      <w:lvlJc w:val="left"/>
      <w:lvlText w:val="(%1)"/>
      <w:numFmt w:val="decimal"/>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1)"/>
      <w:numFmt w:val="decimal"/>
      <w:start w:val="1"/>
    </w:lvl>
  </w:abstractNum>
  <w:abstractNum w:abstractNumId="116">
    <w:nsid w:val="B37E80A"/>
    <w:multiLevelType w:val="hybridMultilevel"/>
    <w:lvl w:ilvl="0">
      <w:lvlJc w:val="left"/>
      <w:lvlText w:val="(%1)"/>
      <w:numFmt w:val="lowerRoman"/>
      <w:start w:val="1"/>
    </w:lvl>
  </w:abstractNum>
  <w:abstractNum w:abstractNumId="117">
    <w:nsid w:val="2157F6BC"/>
    <w:multiLevelType w:val="hybridMultilevel"/>
    <w:lvl w:ilvl="0">
      <w:lvlJc w:val="left"/>
      <w:lvlText w:val="%1."/>
      <w:numFmt w:val="decimal"/>
      <w:start w:val="1"/>
    </w:lvl>
  </w:abstractNum>
  <w:abstractNum w:abstractNumId="118">
    <w:nsid w:val="704E1DD5"/>
    <w:multiLevelType w:val="hybridMultilevel"/>
    <w:lvl w:ilvl="0">
      <w:lvlJc w:val="left"/>
      <w:lvlText w:val="(%1)"/>
      <w:numFmt w:val="decimal"/>
      <w:start w:val="1"/>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1."/>
      <w:numFmt w:val="decimal"/>
      <w:start w:val="1"/>
    </w:lvl>
  </w:abstractNum>
  <w:abstractNum w:abstractNumId="121">
    <w:nsid w:val="E3E47A8"/>
    <w:multiLevelType w:val="hybridMultilevel"/>
    <w:lvl w:ilvl="0">
      <w:lvlJc w:val="left"/>
      <w:lvlText w:val="%1."/>
      <w:numFmt w:val="decimal"/>
      <w:start w:val="2"/>
    </w:lvl>
  </w:abstractNum>
  <w:abstractNum w:abstractNumId="122">
    <w:nsid w:val="2E48F044"/>
    <w:multiLevelType w:val="hybridMultilevel"/>
    <w:lvl w:ilvl="0">
      <w:lvlJc w:val="left"/>
      <w:lvlText w:val="%1."/>
      <w:numFmt w:val="decimal"/>
      <w:start w:val="2"/>
    </w:lvl>
  </w:abstractNum>
  <w:abstractNum w:abstractNumId="123">
    <w:nsid w:val="49D0FEAC"/>
    <w:multiLevelType w:val="hybridMultilevel"/>
    <w:lvl w:ilvl="0">
      <w:lvlJc w:val="left"/>
      <w:lvlText w:val="%1."/>
      <w:numFmt w:val="decimal"/>
      <w:start w:val="2"/>
    </w:lvl>
  </w:abstractNum>
  <w:abstractNum w:abstractNumId="124">
    <w:nsid w:val="4BEE5A5B"/>
    <w:multiLevelType w:val="hybridMultilevel"/>
    <w:lvl w:ilvl="0">
      <w:lvlJc w:val="left"/>
      <w:lvlText w:val="%1."/>
      <w:numFmt w:val="decimal"/>
      <w:start w:val="2"/>
    </w:lvl>
  </w:abstractNum>
  <w:abstractNum w:abstractNumId="125">
    <w:nsid w:val="5551B9F3"/>
    <w:multiLevelType w:val="hybridMultilevel"/>
    <w:lvl w:ilvl="0">
      <w:lvlJc w:val="left"/>
      <w:lvlText w:val="%1."/>
      <w:numFmt w:val="decimal"/>
      <w:start w:val="3"/>
    </w:lvl>
  </w:abstractNum>
  <w:abstractNum w:abstractNumId="126">
    <w:nsid w:val="24F6AB8E"/>
    <w:multiLevelType w:val="hybridMultilevel"/>
    <w:lvl w:ilvl="0">
      <w:lvlJc w:val="left"/>
      <w:lvlText w:val="%1."/>
      <w:numFmt w:val="decimal"/>
      <w:start w:val="3"/>
    </w:lvl>
  </w:abstractNum>
  <w:abstractNum w:abstractNumId="127">
    <w:nsid w:val="634C574C"/>
    <w:multiLevelType w:val="hybridMultilevel"/>
    <w:lvl w:ilvl="0">
      <w:lvlJc w:val="left"/>
      <w:lvlText w:val="%1."/>
      <w:numFmt w:val="decimal"/>
      <w:start w:val="4"/>
    </w:lvl>
  </w:abstractNum>
  <w:abstractNum w:abstractNumId="128">
    <w:nsid w:val="24E99DD7"/>
    <w:multiLevelType w:val="hybridMultilevel"/>
    <w:lvl w:ilvl="0">
      <w:lvlJc w:val="left"/>
      <w:lvlText w:val="%1."/>
      <w:numFmt w:val="decimal"/>
      <w:start w:val="4"/>
    </w:lvl>
  </w:abstractNum>
  <w:abstractNum w:abstractNumId="129">
    <w:nsid w:val="2A31B62D"/>
    <w:multiLevelType w:val="hybridMultilevel"/>
    <w:lvl w:ilvl="0">
      <w:lvlJc w:val="left"/>
      <w:lvlText w:val="%1."/>
      <w:numFmt w:val="decimal"/>
      <w:start w:val="5"/>
    </w:lvl>
  </w:abstractNum>
  <w:abstractNum w:abstractNumId="130">
    <w:nsid w:val="1849C29B"/>
    <w:multiLevelType w:val="hybridMultilevel"/>
    <w:lvl w:ilvl="0">
      <w:lvlJc w:val="left"/>
      <w:lvlText w:val="%1."/>
      <w:numFmt w:val="decimal"/>
      <w:start w:val="6"/>
    </w:lvl>
  </w:abstractNum>
  <w:abstractNum w:abstractNumId="131">
    <w:nsid w:val="7DFF9D09"/>
    <w:multiLevelType w:val="hybridMultilevel"/>
    <w:lvl w:ilvl="0">
      <w:lvlJc w:val="left"/>
      <w:lvlText w:val="%1."/>
      <w:numFmt w:val="decimal"/>
      <w:start w:val="7"/>
    </w:lvl>
  </w:abstractNum>
  <w:abstractNum w:abstractNumId="132">
    <w:nsid w:val="754342"/>
    <w:multiLevelType w:val="hybridMultilevel"/>
    <w:lvl w:ilvl="0">
      <w:lvlJc w:val="left"/>
      <w:lvlText w:val="%1."/>
      <w:numFmt w:val="decimal"/>
      <w:start w:val="1"/>
    </w:lvl>
  </w:abstractNum>
  <w:abstractNum w:abstractNumId="133">
    <w:nsid w:val="69E7F3E5"/>
    <w:multiLevelType w:val="hybridMultilevel"/>
    <w:lvl w:ilvl="0">
      <w:lvlJc w:val="left"/>
      <w:lvlText w:val="%1."/>
      <w:numFmt w:val="decimal"/>
      <w:start w:val="2"/>
    </w:lvl>
  </w:abstractNum>
  <w:abstractNum w:abstractNumId="134">
    <w:nsid w:val="2A6DE806"/>
    <w:multiLevelType w:val="hybridMultilevel"/>
    <w:lvl w:ilvl="0">
      <w:lvlJc w:val="left"/>
      <w:lvlText w:val="%1."/>
      <w:numFmt w:val="decimal"/>
      <w:start w:val="2"/>
    </w:lvl>
  </w:abstractNum>
  <w:abstractNum w:abstractNumId="135">
    <w:nsid w:val="1816F8C4"/>
    <w:multiLevelType w:val="hybridMultilevel"/>
    <w:lvl w:ilvl="0">
      <w:lvlJc w:val="left"/>
      <w:lvlText w:val="%1."/>
      <w:numFmt w:val="decimal"/>
      <w:start w:val="2"/>
    </w:lvl>
  </w:abstractNum>
  <w:abstractNum w:abstractNumId="136">
    <w:nsid w:val="37DF2233"/>
    <w:multiLevelType w:val="hybridMultilevel"/>
    <w:lvl w:ilvl="0">
      <w:lvlJc w:val="left"/>
      <w:lvlText w:val="%1."/>
      <w:numFmt w:val="decimal"/>
      <w:start w:val="2"/>
    </w:lvl>
  </w:abstractNum>
  <w:abstractNum w:abstractNumId="137">
    <w:nsid w:val="7AB49DAF"/>
    <w:multiLevelType w:val="hybridMultilevel"/>
    <w:lvl w:ilvl="0">
      <w:lvlJc w:val="left"/>
      <w:lvlText w:val="%1."/>
      <w:numFmt w:val="decimal"/>
      <w:start w:val="3"/>
    </w:lvl>
  </w:abstractNum>
  <w:abstractNum w:abstractNumId="138">
    <w:nsid w:val="759F82CD"/>
    <w:multiLevelType w:val="hybridMultilevel"/>
    <w:lvl w:ilvl="0">
      <w:lvlJc w:val="left"/>
      <w:lvlText w:val="%1."/>
      <w:numFmt w:val="decimal"/>
      <w:start w:val="3"/>
    </w:lvl>
  </w:abstractNum>
  <w:abstractNum w:abstractNumId="139">
    <w:nsid w:val="61E74EA3"/>
    <w:multiLevelType w:val="hybridMultilevel"/>
    <w:lvl w:ilvl="0">
      <w:lvlJc w:val="left"/>
      <w:lvlText w:val="%1."/>
      <w:numFmt w:val="decimal"/>
      <w:start w:val="4"/>
    </w:lvl>
  </w:abstractNum>
  <w:abstractNum w:abstractNumId="140">
    <w:nsid w:val="597B4D84"/>
    <w:multiLevelType w:val="hybridMultilevel"/>
    <w:lvl w:ilvl="0">
      <w:lvlJc w:val="left"/>
      <w:lvlText w:val="%1."/>
      <w:numFmt w:val="decimal"/>
      <w:start w:val="4"/>
    </w:lvl>
  </w:abstractNum>
  <w:abstractNum w:abstractNumId="141">
    <w:nsid w:val="F819E7F"/>
    <w:multiLevelType w:val="hybridMultilevel"/>
    <w:lvl w:ilvl="0">
      <w:lvlJc w:val="left"/>
      <w:lvlText w:val="%1."/>
      <w:numFmt w:val="decimal"/>
      <w:start w:val="5"/>
    </w:lvl>
  </w:abstractNum>
  <w:abstractNum w:abstractNumId="142">
    <w:nsid w:val="57C7D42D"/>
    <w:multiLevelType w:val="hybridMultilevel"/>
    <w:lvl w:ilvl="0">
      <w:lvlJc w:val="left"/>
      <w:lvlText w:val="%1."/>
      <w:numFmt w:val="decimal"/>
      <w:start w:val="6"/>
    </w:lvl>
  </w:abstractNum>
  <w:abstractNum w:abstractNumId="143">
    <w:nsid w:val="312167AD"/>
    <w:multiLevelType w:val="hybridMultilevel"/>
    <w:lvl w:ilvl="0">
      <w:lvlJc w:val="left"/>
      <w:lvlText w:val="%1."/>
      <w:numFmt w:val="decimal"/>
      <w:start w:val="7"/>
    </w:lvl>
  </w:abstractNum>
  <w:abstractNum w:abstractNumId="144">
    <w:nsid w:val="631B64D4"/>
    <w:multiLevelType w:val="hybridMultilevel"/>
    <w:lvl w:ilvl="0">
      <w:lvlJc w:val="left"/>
      <w:lvlText w:val="%1."/>
      <w:numFmt w:val="decimal"/>
      <w:start w:val="8"/>
    </w:lvl>
  </w:abstractNum>
  <w:abstractNum w:abstractNumId="145">
    <w:nsid w:val="78B5E776"/>
    <w:multiLevelType w:val="hybridMultilevel"/>
    <w:lvl w:ilvl="0">
      <w:lvlJc w:val="left"/>
      <w:lvlText w:val="%1."/>
      <w:numFmt w:val="decimal"/>
      <w:start w:val="9"/>
    </w:lvl>
  </w:abstractNum>
  <w:abstractNum w:abstractNumId="146">
    <w:nsid w:val="75486E47"/>
    <w:multiLevelType w:val="hybridMultilevel"/>
    <w:lvl w:ilvl="0">
      <w:lvlJc w:val="left"/>
      <w:lvlText w:val="%1."/>
      <w:numFmt w:val="decimal"/>
      <w:start w:val="1"/>
    </w:lvl>
  </w:abstractNum>
  <w:abstractNum w:abstractNumId="147">
    <w:nsid w:val="6E534CDE"/>
    <w:multiLevelType w:val="hybridMultilevel"/>
    <w:lvl w:ilvl="0">
      <w:lvlJc w:val="left"/>
      <w:lvlText w:val="%1."/>
      <w:numFmt w:val="decimal"/>
      <w:start w:val="2"/>
    </w:lvl>
  </w:abstractNum>
  <w:abstractNum w:abstractNumId="148">
    <w:nsid w:val="1A0DDE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2022-12-15T16:23:52Z</dcterms:created>
  <dcterms:modified xsi:type="dcterms:W3CDTF">2022-12-15T16:23:52Z</dcterms:modified>
</cp:coreProperties>
</file>