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ArcLight CTC Holdings II,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OPAL Fuels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OPAL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9"/>
              </w:rPr>
              <w:t>2,000,000</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7,639,076</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7,639,076 shares of common stock, par value $0.0001 ("New OPAL Common Stock"), of New OPAL (as defined below)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 02116.</w:t>
      </w:r>
    </w:p>
    <w:p>
      <w:pPr>
        <w:spacing w:after="0" w:line="5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797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HOLDINGS, LLC, its</w:t>
      </w:r>
      <w:r>
        <w:rPr>
          <w:sz w:val="20"/>
          <w:szCs w:val="20"/>
          <w:color w:val="auto"/>
        </w:rPr>
        <w:tab/>
      </w:r>
      <w:r>
        <w:rPr>
          <w:rFonts w:ascii="Arial" w:cs="Arial" w:eastAsia="Arial" w:hAnsi="Arial"/>
          <w:sz w:val="15"/>
          <w:szCs w:val="15"/>
          <w:color w:val="0000FF"/>
        </w:rPr>
        <w:t>12/19/2022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2022-12-19T15:34:29Z</dcterms:created>
  <dcterms:modified xsi:type="dcterms:W3CDTF">2022-12-19T15:34:29Z</dcterms:modified>
</cp:coreProperties>
</file>