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18, 2025</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29"/>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ind w:left="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3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On June 18, 2025, OPAL Fuels Inc. (the “Company”) held its 2025 Annual Meeting of Stockholders (the “Annual Meeting”). As of the close of business on April 23, 2025 (the “Record Date”), there were 28,835,811 shares of Class A common stock outstanding, each share being entitled to one vote, 121,500,000 shares of Class B common stock outstanding, each share being entitled to one vote and 22,899,037 shares of Class D common stock outstanding, each share being entitled to five votes (the Class A common stock, Class B common stock and Class D common stock, collectively, the “Common Stock”).</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as of the Record Date, there were 28,835,811 Class A common stock votes, 121,500,000 Class B common stock votes, and 114,495,185 Class D common stock votes, respectively, available to be cast, for a total of 264,830,996 votes available to be cast. At the Annual Meeting, the holders of 251,104,008 votes of the Common Stock were represented in person or by proxy, constituting a quorum. The following are the voting results for the proposals considered and voted upon at the meeting, each of which was described in the Company’s Definitive Proxy Statement filed with the Securities and Exchange Commission on April 25, 2025.</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Proposal 1 - Election of six directors to hold office until the Annual Meeting of Stockholders to be held in 2026 or until each such director’s respective successor is elected and qualified or until each such director’s earlier death, resignation or removal.</w:t>
      </w:r>
    </w:p>
    <w:p>
      <w:pPr>
        <w:spacing w:after="0" w:line="166" w:lineRule="exact"/>
        <w:rPr>
          <w:sz w:val="20"/>
          <w:szCs w:val="20"/>
          <w:color w:val="auto"/>
        </w:rPr>
      </w:pPr>
    </w:p>
    <w:tbl>
      <w:tblPr>
        <w:tblLayout w:type="fixed"/>
        <w:tblInd w:w="2520" w:type="dxa"/>
        <w:tblCellMar>
          <w:top w:w="0" w:type="dxa"/>
          <w:left w:w="0" w:type="dxa"/>
          <w:bottom w:w="0" w:type="dxa"/>
          <w:right w:w="0" w:type="dxa"/>
        </w:tblCellMar>
      </w:tblPr>
      <w:tr>
        <w:trPr>
          <w:trHeight w:val="257"/>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6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4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16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198"/>
        </w:trPr>
        <w:tc>
          <w:tcPr>
            <w:tcW w:w="14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Mark Comora,</w:t>
            </w:r>
          </w:p>
        </w:tc>
        <w:tc>
          <w:tcPr>
            <w:tcW w:w="160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240,623,916</w:t>
            </w:r>
          </w:p>
        </w:tc>
        <w:tc>
          <w:tcPr>
            <w:tcW w:w="148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4,747,541</w:t>
            </w:r>
          </w:p>
        </w:tc>
        <w:tc>
          <w:tcPr>
            <w:tcW w:w="164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5,732,551</w:t>
            </w:r>
          </w:p>
        </w:tc>
      </w:tr>
      <w:tr>
        <w:trPr>
          <w:trHeight w:val="234"/>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w:t>
            </w:r>
          </w:p>
        </w:tc>
        <w:tc>
          <w:tcPr>
            <w:tcW w:w="16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Betsy L. Battle</w:t>
            </w:r>
          </w:p>
        </w:tc>
        <w:tc>
          <w:tcPr>
            <w:tcW w:w="160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242,656,999</w:t>
            </w:r>
          </w:p>
        </w:tc>
        <w:tc>
          <w:tcPr>
            <w:tcW w:w="148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2,714,458</w:t>
            </w:r>
          </w:p>
        </w:tc>
        <w:tc>
          <w:tcPr>
            <w:tcW w:w="16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5,732,551</w:t>
            </w:r>
          </w:p>
        </w:tc>
      </w:tr>
      <w:tr>
        <w:trPr>
          <w:trHeight w:val="234"/>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Dols</w:t>
            </w:r>
          </w:p>
        </w:tc>
        <w:tc>
          <w:tcPr>
            <w:tcW w:w="1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242,740,616</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2,630,841</w:t>
            </w:r>
          </w:p>
        </w:tc>
        <w:tc>
          <w:tcPr>
            <w:tcW w:w="16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5,732,551</w:t>
            </w:r>
          </w:p>
        </w:tc>
      </w:tr>
      <w:tr>
        <w:trPr>
          <w:trHeight w:val="22"/>
        </w:trPr>
        <w:tc>
          <w:tcPr>
            <w:tcW w:w="1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37"/>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Martell</w:t>
            </w:r>
          </w:p>
        </w:tc>
        <w:tc>
          <w:tcPr>
            <w:tcW w:w="160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242,704,258</w:t>
            </w:r>
          </w:p>
        </w:tc>
        <w:tc>
          <w:tcPr>
            <w:tcW w:w="148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2,667,199</w:t>
            </w:r>
          </w:p>
        </w:tc>
        <w:tc>
          <w:tcPr>
            <w:tcW w:w="16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5,732,551</w:t>
            </w:r>
          </w:p>
        </w:tc>
      </w:tr>
      <w:tr>
        <w:trPr>
          <w:trHeight w:val="234"/>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Nadeem Nisar</w:t>
            </w:r>
          </w:p>
        </w:tc>
        <w:tc>
          <w:tcPr>
            <w:tcW w:w="1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240,779,198</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4,592,259</w:t>
            </w:r>
          </w:p>
        </w:tc>
        <w:tc>
          <w:tcPr>
            <w:tcW w:w="16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5,732,551</w:t>
            </w:r>
          </w:p>
        </w:tc>
      </w:tr>
      <w:tr>
        <w:trPr>
          <w:trHeight w:val="22"/>
        </w:trPr>
        <w:tc>
          <w:tcPr>
            <w:tcW w:w="1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34"/>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Ashok Vemuri</w:t>
            </w:r>
          </w:p>
        </w:tc>
        <w:tc>
          <w:tcPr>
            <w:tcW w:w="16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242,684,141</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2,687,316</w:t>
            </w:r>
          </w:p>
        </w:tc>
        <w:tc>
          <w:tcPr>
            <w:tcW w:w="16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5,732,551</w:t>
            </w:r>
          </w:p>
        </w:tc>
      </w:tr>
      <w:tr>
        <w:trPr>
          <w:trHeight w:val="22"/>
        </w:trPr>
        <w:tc>
          <w:tcPr>
            <w:tcW w:w="14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r>
    </w:tbl>
    <w:p>
      <w:pPr>
        <w:spacing w:after="0" w:line="25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Proposal 2 - Ratification of the appointment of BDO USA, P.C. as the Company’s independent registered public accounting firm for the year ending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6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ABSTENTIONS</w:t>
            </w:r>
          </w:p>
        </w:tc>
        <w:tc>
          <w:tcPr>
            <w:tcW w:w="4080" w:type="dxa"/>
            <w:vAlign w:val="bottom"/>
            <w:gridSpan w:val="2"/>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7"/>
        </w:trPr>
        <w:tc>
          <w:tcPr>
            <w:tcW w:w="2520" w:type="dxa"/>
            <w:vAlign w:val="bottom"/>
            <w:vMerge w:val="restart"/>
          </w:tcPr>
          <w:p>
            <w:pPr>
              <w:spacing w:after="0"/>
              <w:rPr>
                <w:sz w:val="2"/>
                <w:szCs w:val="2"/>
                <w:color w:val="auto"/>
              </w:rPr>
            </w:pPr>
          </w:p>
        </w:tc>
        <w:tc>
          <w:tcPr>
            <w:tcW w:w="1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520" w:type="dxa"/>
            <w:vAlign w:val="bottom"/>
            <w:vMerge w:val="continue"/>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251,061,074</w:t>
            </w:r>
          </w:p>
        </w:tc>
        <w:tc>
          <w:tcPr>
            <w:tcW w:w="140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5,883</w:t>
            </w:r>
          </w:p>
        </w:tc>
        <w:tc>
          <w:tcPr>
            <w:tcW w:w="166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37,051</w:t>
            </w:r>
          </w:p>
        </w:tc>
        <w:tc>
          <w:tcPr>
            <w:tcW w:w="156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0</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7"/>
        </w:trPr>
        <w:tc>
          <w:tcPr>
            <w:tcW w:w="25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Exhibit Number</w:t>
            </w:r>
          </w:p>
        </w:tc>
        <w:tc>
          <w:tcPr>
            <w:tcW w:w="88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Description</w:t>
            </w:r>
          </w:p>
        </w:tc>
      </w:tr>
      <w:tr>
        <w:trPr>
          <w:trHeight w:val="21"/>
        </w:trPr>
        <w:tc>
          <w:tcPr>
            <w:tcW w:w="2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69"/>
        </w:trPr>
        <w:tc>
          <w:tcPr>
            <w:tcW w:w="2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160" w:type="dxa"/>
            <w:vAlign w:val="bottom"/>
          </w:tcPr>
          <w:p>
            <w:pPr>
              <w:spacing w:after="0"/>
              <w:rPr>
                <w:sz w:val="23"/>
                <w:szCs w:val="23"/>
                <w:color w:val="auto"/>
              </w:rPr>
            </w:pPr>
          </w:p>
        </w:tc>
        <w:tc>
          <w:tcPr>
            <w:tcW w:w="88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2013"/>
        </w:trPr>
        <w:tc>
          <w:tcPr>
            <w:tcW w:w="2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Arial" w:cs="Arial" w:eastAsia="Arial" w:hAnsi="Arial"/>
          <w:sz w:val="20"/>
          <w:szCs w:val="20"/>
          <w:color w:val="auto"/>
        </w:rPr>
        <w:t>June 18, 2025</w:t>
      </w:r>
    </w:p>
    <w:p>
      <w:pPr>
        <w:spacing w:after="0" w:line="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Kazi Hasan</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Kazi Hasan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2025-06-18T16:18:47Z</dcterms:created>
  <dcterms:modified xsi:type="dcterms:W3CDTF">2025-06-18T16:18:47Z</dcterms:modified>
</cp:coreProperties>
</file>