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54"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FORM 8-K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val="false"/>
          <w:color w:val="000000"/>
          <w:sz w:val="20"/>
        </w:rPr>
        <w:t>Date of Report (Date of earliest event reported):</w:t>
      </w:r>
      <w:r>
        <w:rPr>
          <w:color w:val="000000"/>
        </w:rPr>
        <w:t xml:space="preserve"> </w:t>
      </w:r>
      <w:r>
        <w:rPr>
          <w:rFonts w:ascii="Times New Roman;sans-serif" w:hAnsi="Times New Roman;sans-serif"/>
          <w:b/>
          <w:color w:val="000000"/>
          <w:sz w:val="20"/>
        </w:rPr>
        <w:t xml:space="preserve">November 13, 2023 </w:t>
      </w:r>
    </w:p>
    <w:p>
      <w:pPr>
        <w:pStyle w:val="TextBody"/>
        <w:bidi w:val="0"/>
        <w:spacing w:before="0" w:after="0"/>
        <w:jc w:val="center"/>
        <w:rPr/>
      </w:pPr>
      <w:r>
        <w:rPr/>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54" w:after="283"/>
        <w:jc w:val="center"/>
        <w:rPr>
          <w:rFonts w:ascii="Times New Roman;sans-serif" w:hAnsi="Times New Roman;sans-serif"/>
          <w:b/>
          <w:color w:val="000000"/>
          <w:sz w:val="32"/>
        </w:rPr>
      </w:pPr>
      <w:r>
        <w:rPr>
          <w:rFonts w:ascii="Times New Roman;sans-serif" w:hAnsi="Times New Roman;sans-serif"/>
          <w:b/>
          <w:color w:val="000000"/>
          <w:sz w:val="32"/>
        </w:rPr>
        <w:t>OPAL Fuels Inc.</w:t>
      </w:r>
    </w:p>
    <w:p>
      <w:pPr>
        <w:pStyle w:val="TextBody"/>
        <w:bidi w:val="0"/>
        <w:spacing w:lineRule="auto" w:line="288" w:before="54"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before="0" w:after="0"/>
        <w:jc w:val="left"/>
        <w:rPr/>
      </w:pPr>
      <w:r>
        <w:rPr/>
      </w:r>
    </w:p>
    <w:tbl>
      <w:tblPr>
        <w:tblW w:w="8789" w:type="dxa"/>
        <w:jc w:val="left"/>
        <w:tblInd w:w="0" w:type="dxa"/>
        <w:tblLayout w:type="fixed"/>
        <w:tblCellMar>
          <w:top w:w="28" w:type="dxa"/>
          <w:left w:w="28" w:type="dxa"/>
          <w:bottom w:w="28" w:type="dxa"/>
          <w:right w:w="28" w:type="dxa"/>
        </w:tblCellMar>
      </w:tblPr>
      <w:tblGrid>
        <w:gridCol w:w="1303"/>
        <w:gridCol w:w="1147"/>
        <w:gridCol w:w="1150"/>
        <w:gridCol w:w="764"/>
        <w:gridCol w:w="764"/>
        <w:gridCol w:w="766"/>
        <w:gridCol w:w="847"/>
        <w:gridCol w:w="847"/>
        <w:gridCol w:w="1201"/>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incorporation) </w:t>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001-40272</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98-1578357</w:t>
            </w:r>
          </w:p>
          <w:p>
            <w:pPr>
              <w:pStyle w:val="TableContents"/>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One North Lexington Avenue</w:t>
            </w:r>
            <w:r>
              <w:rPr>
                <w:rFonts w:ascii="Helvetica;sans-serif" w:hAnsi="Helvetica;sans-serif"/>
                <w:b/>
                <w:color w:val="3051F2"/>
                <w:sz w:val="20"/>
              </w:rPr>
              <w:t xml:space="preserve">, </w:t>
            </w:r>
            <w:r>
              <w:rPr>
                <w:rFonts w:ascii="Times New Roman;sans-serif" w:hAnsi="Times New Roman;sans-serif"/>
                <w:b/>
                <w:color w:val="000000"/>
                <w:sz w:val="20"/>
              </w:rPr>
              <w:t>Suite 1450</w:t>
            </w:r>
          </w:p>
          <w:p>
            <w:pPr>
              <w:pStyle w:val="TableContents"/>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 xml:space="preserve">White Plains, New York </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10601</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288" w:before="0" w:after="2"/>
              <w:jc w:val="center"/>
              <w:rPr/>
            </w:pPr>
            <w:r>
              <w:rPr>
                <w:rFonts w:ascii="Times New Roman;sans-serif" w:hAnsi="Times New Roman;sans-serif"/>
                <w:b w:val="false"/>
                <w:color w:val="000000"/>
                <w:sz w:val="20"/>
              </w:rPr>
              <w:t>Registrant's telephone number, including area code:</w:t>
            </w:r>
            <w:r>
              <w:rPr>
                <w:color w:val="000000"/>
              </w:rPr>
              <w:t xml:space="preserve"> </w:t>
            </w:r>
            <w:r>
              <w:rPr>
                <w:rFonts w:ascii="Times New Roman;sans-serif" w:hAnsi="Times New Roman;sans-serif"/>
                <w:b/>
                <w:color w:val="000000"/>
                <w:sz w:val="20"/>
              </w:rPr>
              <w:t>(914) 705-4000</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bidi w:val="0"/>
        <w:spacing w:lineRule="auto" w:line="288" w:before="54" w:after="12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216"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tbl>
      <w:tblPr>
        <w:tblW w:w="9658" w:type="dxa"/>
        <w:jc w:val="left"/>
        <w:tblInd w:w="0" w:type="dxa"/>
        <w:tblLayout w:type="fixed"/>
        <w:tblCellMar>
          <w:top w:w="28" w:type="dxa"/>
          <w:left w:w="28" w:type="dxa"/>
          <w:bottom w:w="28" w:type="dxa"/>
          <w:right w:w="28" w:type="dxa"/>
        </w:tblCellMar>
      </w:tblPr>
      <w:tblGrid>
        <w:gridCol w:w="1555"/>
        <w:gridCol w:w="1367"/>
        <w:gridCol w:w="1367"/>
        <w:gridCol w:w="515"/>
        <w:gridCol w:w="515"/>
        <w:gridCol w:w="515"/>
        <w:gridCol w:w="1120"/>
        <w:gridCol w:w="1120"/>
        <w:gridCol w:w="1584"/>
      </w:tblGrid>
      <w:tr>
        <w:trPr/>
        <w:tc>
          <w:tcPr>
            <w:tcW w:w="155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9658"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545"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Calibri;sans-serif" w:hAnsi="Calibri;sans-serif"/>
                <w:b/>
                <w:color w:val="000000"/>
                <w:sz w:val="20"/>
              </w:rPr>
            </w:pPr>
            <w:r>
              <w:rPr>
                <w:rFonts w:ascii="Calibri;sans-serif" w:hAnsi="Calibri;sans-serif"/>
                <w:b/>
                <w:color w:val="000000"/>
                <w:sz w:val="20"/>
              </w:rPr>
              <w:t>Trading Symbol(s)</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42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154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OPAL</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r>
        <w:rPr>
          <w:color w:val="000000"/>
        </w:rPr>
        <w:t xml:space="preserve"> </w:t>
      </w:r>
    </w:p>
    <w:p>
      <w:pPr>
        <w:pStyle w:val="TextBody"/>
        <w:bidi w:val="0"/>
        <w:spacing w:lineRule="auto" w:line="288" w:before="108" w:after="283"/>
        <w:jc w:val="both"/>
        <w:rPr/>
      </w:pPr>
      <w:r>
        <w:rPr>
          <w:rFonts w:ascii="Times New Roman;sans-serif" w:hAnsi="Times New Roman;sans-serif"/>
          <w:b w:val="false"/>
          <w:color w:val="000000"/>
          <w:sz w:val="20"/>
        </w:rPr>
        <w:t>Emerging growth company</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08" w:after="283"/>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ans-serif" w:hAnsi="Times New Roman;sans-serif"/>
          <w:b/>
          <w:color w:val="000000"/>
          <w:sz w:val="20"/>
        </w:rPr>
        <w: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6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13, 2023, OPAL Fuels Inc. (the "Company") issued a press release regarding its financial results for the three and nine months ended September 30, 2023. A copy of the press release is furnished as Exhibit 99.1 hereto.</w:t>
      </w:r>
    </w:p>
    <w:p>
      <w:pPr>
        <w:pStyle w:val="TextBody"/>
        <w:bidi w:val="0"/>
        <w:spacing w:before="0" w:after="0"/>
        <w:jc w:val="left"/>
        <w:rPr/>
      </w:pPr>
      <w:r>
        <w:rPr/>
      </w:r>
    </w:p>
    <w:p>
      <w:pPr>
        <w:pStyle w:val="TextBody"/>
        <w:bidi w:val="0"/>
        <w:spacing w:lineRule="auto" w:line="30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disclosed under this Item 2.02 of this Current Report on Form 8-K,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2.02 or the exhibit attached hereto.</w:t>
      </w:r>
    </w:p>
    <w:p>
      <w:pPr>
        <w:pStyle w:val="TextBody"/>
        <w:bidi w:val="0"/>
        <w:spacing w:before="0" w:after="0"/>
        <w:jc w:val="left"/>
        <w:rPr/>
      </w:pPr>
      <w:r>
        <w:rPr/>
      </w:r>
    </w:p>
    <w:p>
      <w:pPr>
        <w:pStyle w:val="TextBody"/>
        <w:bidi w:val="0"/>
        <w:spacing w:lineRule="auto" w:line="30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to supplement the Company’s unaudited condensed consolidated financial statements presented in accordance with accounting principles generally accepted in the United States of America (“GAAP”) in Exhibit 99.1, the Company uses a non-GAAP financial measure that it calls adjusted EBITDA (“Adjusted EBITDA”). This non-GAAP measure adjusts net income for realized and unrealized gain on interest rate swaps, net loss attributable to non-redeemable non-controlling interests, transaction costs and one-time non-recurring charges, non-cash charges, gain on deconsolidation of variable interest entities, amortization of basis differences in equity method investments, major maintenance for Renewable Power and unrealized loss (gain) for derivative instruments. Management believes this non-GAAP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and (3)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pStyle w:val="TextBody"/>
        <w:bidi w:val="0"/>
        <w:spacing w:before="0" w:after="2"/>
        <w:jc w:val="left"/>
        <w:rPr/>
      </w:pPr>
      <w:r>
        <w:rPr/>
      </w:r>
    </w:p>
    <w:p>
      <w:pPr>
        <w:pStyle w:val="TextBody"/>
        <w:bidi w:val="0"/>
        <w:spacing w:lineRule="auto" w:line="300" w:before="0" w:after="2"/>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 Reconciliations of the non-GAAP financial measure to its most directly comparable GAAP financial measure can be found in the exhibit.</w:t>
      </w:r>
    </w:p>
    <w:p>
      <w:pPr>
        <w:pStyle w:val="TextBody"/>
        <w:bidi w:val="0"/>
        <w:spacing w:before="0" w:after="2"/>
        <w:jc w:val="left"/>
        <w:rPr/>
      </w:pPr>
      <w:r>
        <w:rPr/>
      </w:r>
    </w:p>
    <w:p>
      <w:pPr>
        <w:pStyle w:val="TextBody"/>
        <w:bidi w:val="0"/>
        <w:spacing w:lineRule="auto" w:line="268" w:before="0" w:after="12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120"/>
        <w:jc w:val="left"/>
        <w:rPr/>
      </w:pPr>
      <w:r>
        <w:rPr/>
      </w:r>
    </w:p>
    <w:tbl>
      <w:tblPr>
        <w:tblW w:w="7361" w:type="dxa"/>
        <w:jc w:val="left"/>
        <w:tblInd w:w="0" w:type="dxa"/>
        <w:tblLayout w:type="fixed"/>
        <w:tblCellMar>
          <w:top w:w="28" w:type="dxa"/>
          <w:left w:w="28" w:type="dxa"/>
          <w:bottom w:w="28" w:type="dxa"/>
          <w:right w:w="28" w:type="dxa"/>
        </w:tblCellMar>
      </w:tblPr>
      <w:tblGrid>
        <w:gridCol w:w="531"/>
        <w:gridCol w:w="468"/>
        <w:gridCol w:w="470"/>
        <w:gridCol w:w="109"/>
        <w:gridCol w:w="109"/>
        <w:gridCol w:w="109"/>
        <w:gridCol w:w="1630"/>
        <w:gridCol w:w="1630"/>
        <w:gridCol w:w="2305"/>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Number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both"/>
              <w:rPr/>
            </w:pPr>
            <w:hyperlink w:anchor="opalfuelsq32023earningsrel.htm">
              <w:r>
                <w:rPr>
                  <w:rStyle w:val="InternetLink"/>
                  <w:rFonts w:ascii="Times New Roman;sans-serif" w:hAnsi="Times New Roman;sans-serif"/>
                  <w:b w:val="false"/>
                  <w:color w:val="0000FF"/>
                  <w:sz w:val="20"/>
                  <w:u w:val="single"/>
                </w:rPr>
                <w:t>Press release, issued by OPAL Fuels Inc., dated November 13, 2023</w:t>
              </w:r>
            </w:hyperlink>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center"/>
        <w:rPr/>
      </w:pPr>
      <w:r>
        <w:rPr/>
      </w:r>
    </w:p>
    <w:p>
      <w:pPr>
        <w:pStyle w:val="TextBody"/>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2"/>
        </w:rPr>
      </w:pPr>
      <w:r>
        <w:rPr>
          <w:rFonts w:ascii="Times New Roman;sans-serif" w:hAnsi="Times New Roman;sans-serif"/>
          <w:b w:val="false"/>
          <w:color w:val="000000"/>
          <w:sz w:val="22"/>
        </w:rPr>
        <w:t>Date: November 13, 2023</w:t>
      </w:r>
    </w:p>
    <w:tbl>
      <w:tblPr>
        <w:tblW w:w="2358" w:type="dxa"/>
        <w:jc w:val="right"/>
        <w:tblInd w:w="0" w:type="dxa"/>
        <w:tblLayout w:type="fixed"/>
        <w:tblCellMar>
          <w:top w:w="28" w:type="dxa"/>
          <w:left w:w="28" w:type="dxa"/>
          <w:bottom w:w="28" w:type="dxa"/>
          <w:right w:w="28" w:type="dxa"/>
        </w:tblCellMar>
      </w:tblPr>
      <w:tblGrid>
        <w:gridCol w:w="312"/>
        <w:gridCol w:w="273"/>
        <w:gridCol w:w="273"/>
        <w:gridCol w:w="436"/>
        <w:gridCol w:w="436"/>
        <w:gridCol w:w="628"/>
      </w:tblGrid>
      <w:tr>
        <w:trPr/>
        <w:tc>
          <w:tcPr>
            <w:tcW w:w="31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358"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OPAL Fuels Inc.</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5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Coghlin</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Coghlin</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5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1752600" cy="4667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752600" cy="466725"/>
                    </a:xfrm>
                    <a:prstGeom prst="rect">
                      <a:avLst/>
                    </a:prstGeom>
                  </pic:spPr>
                </pic:pic>
              </a:graphicData>
            </a:graphic>
          </wp:inline>
        </w:drawing>
      </w:r>
    </w:p>
    <w:p>
      <w:pPr>
        <w:pStyle w:val="TextBody"/>
        <w:bidi w:val="0"/>
        <w:spacing w:before="0" w:after="0"/>
        <w:jc w:val="left"/>
        <w:rPr/>
      </w:pPr>
      <w:r>
        <w:rPr/>
      </w:r>
    </w:p>
    <w:p>
      <w:pPr>
        <w:pStyle w:val="TextBody"/>
        <w:bidi w:val="0"/>
        <w:spacing w:lineRule="auto" w:line="369" w:before="0" w:after="0"/>
        <w:jc w:val="left"/>
        <w:rPr>
          <w:rFonts w:ascii="Times New Roman;sans-serif" w:hAnsi="Times New Roman;sans-serif"/>
          <w:b/>
          <w:color w:val="000000"/>
          <w:sz w:val="22"/>
        </w:rPr>
      </w:pPr>
      <w:r>
        <w:rPr>
          <w:rFonts w:ascii="Times New Roman;sans-serif" w:hAnsi="Times New Roman;sans-serif"/>
          <w:b/>
          <w:color w:val="000000"/>
          <w:sz w:val="22"/>
        </w:rPr>
        <w:t>FOR IMMEDIATE RELEASE</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OPAL Fuels Reports Third Quarter 2023 Results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WHITE PLAINS, N.Y. – (November 13, 2023) – </w:t>
      </w:r>
      <w:r>
        <w:rPr>
          <w:rFonts w:ascii="Times New Roman;sans-serif" w:hAnsi="Times New Roman;sans-serif"/>
          <w:b w:val="false"/>
          <w:color w:val="0000FF"/>
          <w:sz w:val="24"/>
          <w:u w:val="single"/>
        </w:rPr>
        <w:t xml:space="preserve">OPAL Fuels Inc. </w:t>
      </w:r>
      <w:r>
        <w:rPr>
          <w:rFonts w:ascii="Times New Roman;sans-serif" w:hAnsi="Times New Roman;sans-serif"/>
          <w:b w:val="false"/>
          <w:color w:val="000000"/>
          <w:sz w:val="24"/>
        </w:rPr>
        <w:t>(“OPAL Fuels” or the “Company”) (Nasdaq: OPAL), a leading vertically integrated producer and distributor of renewable natural gas (RNG) for use as a transportation fuel and renewable electricity, today announced financial and operating results for the three and nine months ended September 30, 2023.</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4"/>
        </w:rPr>
        <w:t>During the third quarter OPAL Fuels continued to make strong progress on our long-term strategic growth plans while delivering solid operating and financial results,” said co-CEO Adam Comora. “Production from RNG projects in operation continues to be on target. Many of the headwinds that we were experiencing for projects in construction are now behind us. Additionally, we closed on a $500 million credit facility that provides a clear funding pathway for our RNG production projects and growing number of company-owned fueling stations. OPAL Fuels remains well positioned to capitalize on strengthening end markets – both upstream and downstream – as a leading vertically integrated RNG company.”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Other significant third quarter developments include signing of a joint venture with South Jersey Industries (SJI) to develop two RNG projects (the first of which is Atlantic County Landfill which recently entered construction), and commencement of operations of the Emerald RNG Project, a joint venture with GFL where our ownership share represents approximately 1.3 million MMBtu of annual design capacity. The Company now has 5.2 million MMBtu of annual design capacity online across 8 projects, more than tripling our design capacity over the last two years, and an additional 4.4 million MMBtu of design capacity from projects currently in construction.</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4"/>
        </w:rPr>
        <w:t xml:space="preserve">We are pleased with this quarter’s performance and remain confident our recent achievements position us well to continue executing on our growth plans. We have also enhanced our disclosures with additional information regarding RNG production and monetization. The additional disclosures should help investors in thinking about both the near and longer-term earnings power of the business,” said co-CEO Jonathan Maurer.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Financial Highlights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 xml:space="preserve">Revenues for the three and nine months ended September 30, 2023, were $71.1 million and $169.1 million, up 7% and 0.2% compared to same periods last year.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Net income for the three and nine months ended September 30, 2023, was $0.2 million and $106.9 million compared to $5.4 million and $0.6 million in the comparable periods last year.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Basic net earnings per share attributable to Class A common shareholders for the three and nine months ended September 30, 2023, was $(0.01) and $0.59, respectively compared to $(0.04) and $(0.04) in the comparable periods last year.</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Based on the change in presentation described below, Adjusted EBITDA</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 xml:space="preserve">for the three and nine months ended September 30, 2023, was $16.5 million and $19.9 million compared to $17.7 million and $33.0 million in the comparable periods last year. </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 xml:space="preserve">After corresponding with the SEC staff, the Company has decided to no longer include the value of stored RNG and unsold environmental credits held for sale (“RNG Pending Monetization”) in its presentation of Adjusted EBITDA. The Company previously presented Adjusted EBITDA in this way to match the value of RNG produced during the reporting period with its associated costs of production in the same reporting period and including the value of unsold environmental credits. The Company now presents this RNG Pending Monetization and environmental credit sales activity in the period with a new summary table.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At September 30, 2023, RNG Pending Monetization totaled $33.5 million.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FFFFFF"/>
          <w:sz w:val="16"/>
          <w:shd w:fill="FFFFFF" w:val="clear"/>
        </w:rPr>
        <w:t>1</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0"/>
        </w:rPr>
        <w:t>This is a non-GAAP measure. A reconciliation of non-GAAP financial measure to comparable GAAP measure has been provided in the financial tables included in this press release. An explanation of this measure and how it is calculated is also included below under the heading “Non-GAAP Financial Measures."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Operational Highlights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The portfolio of RNG operating projects is performing well with an average utilization of inlet gas rate of 84%, which is in line with management’s expectations.</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4"/>
        </w:rPr>
        <w:t>The Emerald RNG project came on-line during the third quarter. This project represents approximately 1.3 million MMBtu of annual design capacity and brings the aggregate annual design capacity of our portfolio of operating projects to 5.2 million MMBtu.</w:t>
      </w:r>
      <w:r>
        <w:rPr>
          <w:rFonts w:ascii="Times New Roman;sans-serif" w:hAnsi="Times New Roman;sans-serif"/>
          <w:b w:val="false"/>
          <w:color w:val="000000"/>
          <w:sz w:val="16"/>
        </w:rPr>
        <w:t>2,3</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RNG produced was 0.7 million and 2.0 million MMBtu, for the three and nine months ended September 30, 2023, an increase of 21% and 26% compared to the prior-year periods.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 xml:space="preserve">RNG sold as transportation fuel was 10.9 million and 30.3 million GGEs, respectively, for the three and nine months ended September 30, 2023, an increase of 65% and 52% compared to the prior-year periods.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 xml:space="preserve">The Fuel Station Services segment sold, dispensed, and serviced an aggregate of 33.1 million and 98.0 million GGEs of transportation fuel for the three and nine months ended September 30, 2023, an increase of 8% and 18% compared to the prior-year periods.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Construction Update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OPAL Fuels’ share of annual design capacity for our six projects in construction is approximately 4.4 million MMBtu.</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 xml:space="preserve">We expect the Prince William RNG project to commence commercial operations in the first quarter of 2024. This project, owned 100% by OPAL Fuels, represents approximately 1.7 million MMBtu of annual design capacity.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Regulatory permits have been granted for the Sapphire RNG project, which is now proceeding with the physical construction phase. We anticipate commencing commercial operations in the third quarter of 2024. This project represents approximately 800,000 MMBtu for OPAL Fuels’ 50% ownership share of annual design capacity.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_____________________________</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16"/>
        </w:rPr>
        <w:t>2</w:t>
      </w:r>
      <w:r>
        <w:rPr>
          <w:color w:val="000000"/>
        </w:rPr>
        <w:t xml:space="preserve"> </w:t>
      </w:r>
      <w:r>
        <w:rPr>
          <w:rFonts w:ascii="Times New Roman;sans-serif" w:hAnsi="Times New Roman;sans-serif"/>
          <w:b w:val="false"/>
          <w:color w:val="000000"/>
          <w:sz w:val="20"/>
        </w:rPr>
        <w:t>Design capacity is the annual design output for each facility and may not reflect actual production from the projects, which depends on many variables including, but not limited to, quantity and quality of the biogas, operational up-time of the facility, and actual productivity of the facility.</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16"/>
        </w:rPr>
        <w:t>3</w:t>
      </w:r>
      <w:r>
        <w:rPr>
          <w:color w:val="000000"/>
        </w:rPr>
        <w:t xml:space="preserve"> </w:t>
      </w:r>
      <w:r>
        <w:rPr>
          <w:rFonts w:ascii="Times New Roman;sans-serif" w:hAnsi="Times New Roman;sans-serif"/>
          <w:b w:val="false"/>
          <w:color w:val="000000"/>
          <w:sz w:val="20"/>
        </w:rPr>
        <w:t>Represents OPAL Fuels' proportional share with respect to RNG projects owned with joint venture partners.</w:t>
      </w:r>
    </w:p>
    <w:p>
      <w:pPr>
        <w:pStyle w:val="TextBody"/>
        <w:bidi w:val="0"/>
        <w:spacing w:before="0" w:after="0"/>
        <w:jc w:val="left"/>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Construction of our Polk County RNG project, owned 100% by OPAL Fuels, continues on schedule. Regulatory permits have been granted and we anticipate commercial operations to begin in the fourth quarter of 2024. This project represents approximately 1.1 million MMBtu of annual design capacity.</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two dairy projects in California are expected to be commissioned in the third quarter (Hilltop) and fourth quarter (Vander Schaaf) of 2024, respectively.</w:t>
      </w:r>
      <w:r>
        <w:rPr>
          <w:rFonts w:ascii="Times New Roman;sans-serif" w:hAnsi="Times New Roman;sans-serif"/>
          <w:b w:val="false"/>
          <w:color w:val="000000"/>
          <w:sz w:val="16"/>
        </w:rPr>
        <w:t>4</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We announced the start of construction at the Atlantic RNG project, the first project under our 50/50 joint venture with South Jersey Industries (SJI), located in Egg Harbor Township, New Jersey. This project represents approximately 0.3 million MMBtu of annual design capacity. This project is expected to commence commercial operations in mid-2025.</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Development Update</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We continue to target placing 2.0 million MMBtu of RNG projects (representing OPAL Fuels’ proportional ownership) into construction by the end of 2023.</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Our Advanced Development Pipeline</w:t>
      </w: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4"/>
        </w:rPr>
        <w:t xml:space="preserve">comprises </w:t>
      </w:r>
      <w:r>
        <w:rPr>
          <w:rFonts w:ascii="Times New Roman;sans-serif" w:hAnsi="Times New Roman;sans-serif"/>
          <w:b w:val="false"/>
          <w:color w:val="000000"/>
          <w:sz w:val="24"/>
          <w:shd w:fill="FFFFFF" w:val="clear"/>
        </w:rPr>
        <w:t>7.9</w:t>
      </w:r>
      <w:r>
        <w:rPr>
          <w:color w:val="000000"/>
        </w:rPr>
        <w:t xml:space="preserve"> </w:t>
      </w:r>
      <w:r>
        <w:rPr>
          <w:rFonts w:ascii="Times New Roman;sans-serif" w:hAnsi="Times New Roman;sans-serif"/>
          <w:b w:val="false"/>
          <w:color w:val="000000"/>
          <w:sz w:val="24"/>
        </w:rPr>
        <w:t xml:space="preserve">million MMBtu of feedstock biogas per year.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_______________________________</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16"/>
        </w:rPr>
        <w:t>4</w:t>
      </w:r>
      <w:r>
        <w:rPr>
          <w:color w:val="000000"/>
        </w:rPr>
        <w:t xml:space="preserve"> </w:t>
      </w:r>
      <w:r>
        <w:rPr>
          <w:rFonts w:ascii="Times New Roman;sans-serif" w:hAnsi="Times New Roman;sans-serif"/>
          <w:b w:val="false"/>
          <w:color w:val="000000"/>
          <w:sz w:val="18"/>
        </w:rPr>
        <w:t>Achievement of these commissioning dates is subject to receipt of certain permits and successful resolution of a series of change order requests from the Engineering, Procurement and Construction contractor responsible for the design and construction of the projects’ facilities, which the Company has disputed. For more information, please see the Company’s Quarterly Report on Form 10-Q for the three months ended September 30, 2023.</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12"/>
        </w:rPr>
        <w:t>5</w:t>
      </w:r>
      <w:r>
        <w:rPr>
          <w:color w:val="000000"/>
        </w:rPr>
        <w:t xml:space="preserve"> </w:t>
      </w:r>
      <w:r>
        <w:rPr>
          <w:rFonts w:ascii="Times New Roman;sans-serif" w:hAnsi="Times New Roman;sans-serif"/>
          <w:b w:val="false"/>
          <w:color w:val="000000"/>
          <w:sz w:val="18"/>
        </w:rPr>
        <w:t>The Company's Advanced Development Pipeline ("ADP") comprises projects that have been qualified and are reasonably expected to be in construction within the next twelve to eighteen months. The MMBtu associated with these projects is presented as anticipated design capacity. Anticipated design capacity is the Company’s currently anticipated annual design output for each facility and may not reflect actual production from the projects, which depends on many variables including, but not limited to, quantity and quality of the biogas, operational up-time of the facility, and actual productivity of the facility.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2023 Guidance Update</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As mentioned above, we no longer include the value of RNG Pending Monetization in our presentation of Adjusted EBITDA.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Based on the updated reporting presentation, the Company currently estimates that Adjusted EBITDA</w:t>
      </w:r>
      <w:r>
        <w:rPr>
          <w:color w:val="000000"/>
        </w:rPr>
        <w:t xml:space="preserve"> </w:t>
      </w:r>
      <w:r>
        <w:rPr>
          <w:rFonts w:ascii="Times New Roman;sans-serif" w:hAnsi="Times New Roman;sans-serif"/>
          <w:b w:val="false"/>
          <w:color w:val="000000"/>
          <w:sz w:val="24"/>
        </w:rPr>
        <w:t xml:space="preserve">for the full year 2023 will range between $60 and $63 million.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At December 31, 2023, RNG Pending Monetization is expected to range between $20-22 million.</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We expect to monetize approximately $8.5 million in ITC credits, which is our share of the ITC credits generated by the Emerald RNG project, in the fourth quarter, which is included in our Adjusted EBITDA guidance.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 xml:space="preserve">We expect full year 2023 capital expenditures, excluding investments in unconsolidated entities, to total approximately $135 million. Additionally, our share of the capital expenditures for 2023 in Emerald and Sapphire for the period after deconsolidation is expected to be approximately $25.0 million.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RNG produced in 2023 is anticipated to range between 2.7 million MMBtu and 2.9 million MMBtu.</w:t>
      </w:r>
      <w:r>
        <w:rPr>
          <w:rFonts w:ascii="Times New Roman;sans-serif" w:hAnsi="Times New Roman;sans-serif"/>
          <w:b w:val="false"/>
          <w:color w:val="000000"/>
          <w:sz w:val="13"/>
        </w:rPr>
        <w:t xml:space="preserve">6 </w:t>
      </w:r>
      <w:r>
        <w:rPr>
          <w:rFonts w:ascii="Times New Roman;sans-serif" w:hAnsi="Times New Roman;sans-serif"/>
          <w:b w:val="false"/>
          <w:color w:val="000000"/>
          <w:sz w:val="24"/>
        </w:rPr>
        <w:t>RNG sold as transportation fuel is anticipated to range between 45 million GGEs and 50 million GGEs.</w:t>
      </w:r>
      <w:r>
        <w:rPr>
          <w:rFonts w:ascii="Times New Roman;sans-serif" w:hAnsi="Times New Roman;sans-serif"/>
          <w:b w:val="false"/>
          <w:color w:val="000000"/>
          <w:sz w:val="13"/>
        </w:rPr>
        <w:t>7</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4"/>
        </w:rPr>
      </w:pPr>
      <w:r>
        <w:rPr>
          <w:rFonts w:ascii="Arial;sans-serif" w:hAnsi="Arial;sans-serif"/>
          <w:b w:val="false"/>
          <w:color w:val="000000"/>
          <w:sz w:val="24"/>
        </w:rPr>
        <w:t>__________________</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16"/>
        </w:rPr>
        <w:t>6</w:t>
      </w:r>
      <w:r>
        <w:rPr>
          <w:color w:val="000000"/>
        </w:rPr>
        <w:t xml:space="preserve"> </w:t>
      </w:r>
      <w:r>
        <w:rPr>
          <w:rFonts w:ascii="Times New Roman;sans-serif" w:hAnsi="Times New Roman;sans-serif"/>
          <w:b w:val="false"/>
          <w:color w:val="000000"/>
          <w:sz w:val="18"/>
        </w:rPr>
        <w:t>Reflects OPAL Fuels proportional ownership with respect to RNG projects owned with joint venture partners.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12"/>
        </w:rPr>
        <w:t>7</w:t>
      </w:r>
      <w:r>
        <w:rPr>
          <w:color w:val="000000"/>
        </w:rPr>
        <w:t xml:space="preserve"> </w:t>
      </w:r>
      <w:r>
        <w:rPr>
          <w:rFonts w:ascii="Times New Roman;sans-serif" w:hAnsi="Times New Roman;sans-serif"/>
          <w:b w:val="false"/>
          <w:color w:val="000000"/>
          <w:sz w:val="18"/>
        </w:rPr>
        <w:t>Includes volumes sold in OPAL Fuel's proprietary dispensing network as well as third party stations that are serviced and maintained by OPAL Fuels.</w:t>
      </w:r>
      <w:r>
        <w:rPr>
          <w:rFonts w:ascii="Times New Roman;sans-serif" w:hAnsi="Times New Roman;sans-serif"/>
          <w:b w:val="false"/>
          <w:color w:val="FFFFFF"/>
          <w:sz w:val="18"/>
        </w:rPr>
        <w:t>__</w:t>
      </w:r>
      <w:r>
        <w:rPr>
          <w:rFonts w:ascii="Times New Roman;sans-serif" w:hAnsi="Times New Roman;sans-serif"/>
          <w:b w:val="false"/>
          <w:color w:val="FFFFFF"/>
          <w:sz w:val="24"/>
        </w:rPr>
        <w:t>_____</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Results of Operations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36"/>
        <w:gridCol w:w="1160"/>
        <w:gridCol w:w="1165"/>
        <w:gridCol w:w="109"/>
        <w:gridCol w:w="109"/>
        <w:gridCol w:w="109"/>
        <w:gridCol w:w="257"/>
        <w:gridCol w:w="881"/>
        <w:gridCol w:w="132"/>
        <w:gridCol w:w="132"/>
        <w:gridCol w:w="132"/>
        <w:gridCol w:w="132"/>
        <w:gridCol w:w="257"/>
        <w:gridCol w:w="881"/>
        <w:gridCol w:w="132"/>
        <w:gridCol w:w="109"/>
        <w:gridCol w:w="109"/>
        <w:gridCol w:w="109"/>
        <w:gridCol w:w="233"/>
        <w:gridCol w:w="913"/>
        <w:gridCol w:w="120"/>
        <w:gridCol w:w="120"/>
        <w:gridCol w:w="120"/>
        <w:gridCol w:w="120"/>
        <w:gridCol w:w="233"/>
        <w:gridCol w:w="913"/>
        <w:gridCol w:w="182"/>
      </w:tblGrid>
      <w:tr>
        <w:trPr/>
        <w:tc>
          <w:tcPr>
            <w:tcW w:w="133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thousands of dollars)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9"/>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w:t>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48,815 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53" w:after="30"/>
              <w:jc w:val="center"/>
              <w:rPr/>
            </w:pPr>
            <w:r>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87,376 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71,101 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169,100 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168,814 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EBITDA</w:t>
            </w:r>
            <w:r>
              <w:rPr>
                <w:color w:val="000000"/>
              </w:rPr>
              <w:t xml:space="preserv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Consolidated Adjusted EBITDA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produced (Million MMBtus)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sold (Million GGEs)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volume delivered (Million GGEs)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This is a non-GAAP measure. A reconciliation of non-GAAP financial measure to comparable GAAP measure has been provided in the financial tables included in this press release. An explanation of this measure and how it is calculated is also included below under the heading “Non-GAAP Financial Measures."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RNG Facility Capacity and Utilization Summary</w:t>
      </w:r>
    </w:p>
    <w:p>
      <w:pPr>
        <w:pStyle w:val="TextBody"/>
        <w:bidi w:val="0"/>
        <w:spacing w:before="0" w:after="0"/>
        <w:jc w:val="left"/>
        <w:rPr/>
      </w:pPr>
      <w:r>
        <w:rPr/>
      </w:r>
    </w:p>
    <w:p>
      <w:pPr>
        <w:pStyle w:val="TextBody"/>
        <w:bidi w:val="0"/>
        <w:spacing w:before="0" w:after="0"/>
        <w:jc w:val="both"/>
        <w:rPr/>
      </w:pPr>
      <w:r>
        <w:rPr/>
      </w:r>
    </w:p>
    <w:tbl>
      <w:tblPr>
        <w:tblW w:w="9932" w:type="dxa"/>
        <w:jc w:val="left"/>
        <w:tblInd w:w="0" w:type="dxa"/>
        <w:tblLayout w:type="fixed"/>
        <w:tblCellMar>
          <w:top w:w="28" w:type="dxa"/>
          <w:left w:w="28" w:type="dxa"/>
          <w:bottom w:w="28" w:type="dxa"/>
          <w:right w:w="28" w:type="dxa"/>
        </w:tblCellMar>
      </w:tblPr>
      <w:tblGrid>
        <w:gridCol w:w="1284"/>
        <w:gridCol w:w="1124"/>
        <w:gridCol w:w="1132"/>
        <w:gridCol w:w="109"/>
        <w:gridCol w:w="109"/>
        <w:gridCol w:w="109"/>
        <w:gridCol w:w="247"/>
        <w:gridCol w:w="247"/>
        <w:gridCol w:w="581"/>
        <w:gridCol w:w="247"/>
        <w:gridCol w:w="247"/>
        <w:gridCol w:w="247"/>
        <w:gridCol w:w="247"/>
        <w:gridCol w:w="247"/>
        <w:gridCol w:w="581"/>
        <w:gridCol w:w="109"/>
        <w:gridCol w:w="109"/>
        <w:gridCol w:w="109"/>
        <w:gridCol w:w="235"/>
        <w:gridCol w:w="235"/>
        <w:gridCol w:w="552"/>
        <w:gridCol w:w="235"/>
        <w:gridCol w:w="235"/>
        <w:gridCol w:w="235"/>
        <w:gridCol w:w="235"/>
        <w:gridCol w:w="235"/>
        <w:gridCol w:w="650"/>
      </w:tblGrid>
      <w:tr>
        <w:trPr/>
        <w:tc>
          <w:tcPr>
            <w:tcW w:w="128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c>
          <w:tcPr>
            <w:tcW w:w="7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RNG Fuel Capacity and Utilization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18"/>
              </w:rPr>
              <w:t>Design Capacity (Million MMBtus)</w:t>
            </w:r>
            <w:r>
              <w:rPr>
                <w:rFonts w:ascii="Times New Roman;sans-serif" w:hAnsi="Times New Roman;sans-serif"/>
                <w:b w:val="false"/>
                <w:color w:val="000000"/>
                <w:sz w:val="12"/>
              </w:rPr>
              <w:t xml:space="preserve">(1)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Volume of Inlet Gas (Million MMBtus)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5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Inlet Design Capacity Utilization </w:t>
            </w:r>
            <w:r>
              <w:rPr>
                <w:rFonts w:ascii="Times New Roman;sans-serif" w:hAnsi="Times New Roman;sans-serif"/>
                <w:b w:val="false"/>
                <w:color w:val="000000"/>
                <w:sz w:val="12"/>
              </w:rPr>
              <w:t>(2)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RNG Fuel volume produced (Million MMBtus)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5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Utilization of Inlet Gas % </w:t>
            </w:r>
            <w:r>
              <w:rPr>
                <w:rFonts w:ascii="Times New Roman;sans-serif" w:hAnsi="Times New Roman;sans-serif"/>
                <w:b w:val="false"/>
                <w:color w:val="000000"/>
                <w:sz w:val="12"/>
              </w:rPr>
              <w:t>(3)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Design Capacity for RNG facilities is measured as the volume of feedstock biogas that the facility is capable of accepting at the inlet and processing during the associated period. Design Capacity is presented as OPAL’s ownership share (i.e., net of joint venture partners’ ownership) of the facility and is calculated based on the number of days in the period. New facilities that come online during a quarter are pro-rated for the number of days in commercial operation.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Inlet Design Capacity Utilization is measured as the weighted average of Volume of Inlet Gas, divided by the total Design Capacity. The Volume of Inlet Gas varies over time depending on, among other factors, (i) the quantity and quality of waste deposited at the landfill, (ii) waste management practices by the landfill, and (iii) the construction, operations and maintenance of the landfill gas collection system used to recover the landfill gas. The Design Capacity for each facility will typically be correlated to the amount of landfill gas expected to be generated by the landfill during the term of the related gas rights agreement. The Company expects Inlet Design Capacity Utilization to be in the range of 75-85% on an aggregate basis over the next several years. Typically, newer facilities perform at the lower end of this range and demonstrate increasing utilization as they mature.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2"/>
        </w:rPr>
        <w:t>(3)</w:t>
      </w:r>
      <w:r>
        <w:rPr>
          <w:color w:val="000000"/>
        </w:rPr>
        <w:t xml:space="preserve"> </w:t>
      </w:r>
      <w:r>
        <w:rPr>
          <w:rFonts w:ascii="Times New Roman;sans-serif" w:hAnsi="Times New Roman;sans-serif"/>
          <w:b w:val="false"/>
          <w:color w:val="000000"/>
          <w:sz w:val="18"/>
        </w:rPr>
        <w:t>Data not available for the Company's dairy projects, i.e., Sunoma and Biotown.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2"/>
        </w:rPr>
        <w:t xml:space="preserve">(4) </w:t>
      </w:r>
      <w:r>
        <w:rPr>
          <w:rFonts w:ascii="Times New Roman;sans-serif" w:hAnsi="Times New Roman;sans-serif"/>
          <w:b w:val="false"/>
          <w:color w:val="000000"/>
          <w:sz w:val="18"/>
        </w:rPr>
        <w:t>Utilization of Inlet Gas is measured as weighted average of RNG Fuel Produced divided by Volume of Inlet Gas. Utilization of Inlet Gas varies over time depending on availability and efficiency of the facility and the quality of landfill gas (i.e., concentrations of methane, oxygen, nitrogen, and other gases). The Company generally expects Utilization of Inlet Gas to be in the range of 80% - 90%.</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RNG Pending Monetization Summary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02"/>
        <w:gridCol w:w="784"/>
        <w:gridCol w:w="788"/>
        <w:gridCol w:w="109"/>
        <w:gridCol w:w="109"/>
        <w:gridCol w:w="109"/>
        <w:gridCol w:w="211"/>
        <w:gridCol w:w="736"/>
        <w:gridCol w:w="109"/>
        <w:gridCol w:w="267"/>
        <w:gridCol w:w="935"/>
        <w:gridCol w:w="138"/>
        <w:gridCol w:w="211"/>
        <w:gridCol w:w="736"/>
        <w:gridCol w:w="109"/>
        <w:gridCol w:w="109"/>
        <w:gridCol w:w="109"/>
        <w:gridCol w:w="109"/>
        <w:gridCol w:w="215"/>
        <w:gridCol w:w="646"/>
        <w:gridCol w:w="109"/>
        <w:gridCol w:w="284"/>
        <w:gridCol w:w="831"/>
        <w:gridCol w:w="147"/>
        <w:gridCol w:w="211"/>
        <w:gridCol w:w="721"/>
        <w:gridCol w:w="161"/>
      </w:tblGrid>
      <w:tr>
        <w:trPr/>
        <w:tc>
          <w:tcPr>
            <w:tcW w:w="120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4" w:type="dxa"/>
            <w:gridSpan w:val="21"/>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2022</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RNG Fuel</w:t>
            </w:r>
          </w:p>
        </w:tc>
        <w:tc>
          <w:tcPr>
            <w:tcW w:w="1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Fuel Station Services</w:t>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RNG Fuel</w:t>
            </w:r>
          </w:p>
        </w:tc>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Fuel Station Services</w:t>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Stored Gas Metrics </w:t>
            </w:r>
            <w:r>
              <w:rPr>
                <w:rFonts w:ascii="Times New Roman;sans-serif" w:hAnsi="Times New Roman;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Stored RNG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Add: RNG production (MMBtus)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650,410 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period RNG volumes dispensed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(48,284)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(630,994)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Stored RNG (MMBtus)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48,368 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146,483 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Value of ending balance Stored RNG using quarter end price </w:t>
            </w:r>
            <w:r>
              <w:rPr>
                <w:rFonts w:ascii="Times New Roman;sans-serif" w:hAnsi="Times New Roman;sans-serif"/>
                <w:b/>
                <w:color w:val="000000"/>
                <w:sz w:val="13"/>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11,846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6,140</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17,986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439</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4,595</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RIN Metrics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balance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Generated in current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RIN credit balance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D3 RIN price at quarter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Value of RINS using quarter end price </w:t>
            </w:r>
            <w:r>
              <w:rPr>
                <w:rFonts w:ascii="Times New Roman;sans-serif" w:hAnsi="Times New Roman;sans-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3,107</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LCFS Metrics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(net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Generated in current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LCFS credit balance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LCFS credit price at quarter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Value of LCFSs using quarter end price </w:t>
            </w:r>
            <w:r>
              <w:rPr>
                <w:rFonts w:ascii="Times New Roman;sans-serif" w:hAnsi="Times New Roman;sans-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1,718</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Value of RECs using quarter end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realized sales price - RIN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realized sales price - LCFS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Value of RNG Pending Monetization at quarter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21,802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10,965</w:t>
            </w:r>
            <w:r>
              <w:rPr>
                <w:color w:val="000000"/>
              </w:rPr>
              <w:t>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33,511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4,156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606</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4,762</w:t>
            </w: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Reflects OPAL’s ownership share of Stored RNG (i.e., net of joint venture partners’ ownership) including equity method investments</w:t>
      </w:r>
    </w:p>
    <w:p>
      <w:pPr>
        <w:pStyle w:val="TextBody"/>
        <w:bidi w:val="0"/>
        <w:spacing w:before="0" w:after="0"/>
        <w:jc w:val="both"/>
        <w:rPr/>
      </w:pPr>
      <w:r>
        <w:rPr/>
      </w:r>
    </w:p>
    <w:p>
      <w:pPr>
        <w:pStyle w:val="TextBody"/>
        <w:bidi w:val="0"/>
        <w:spacing w:lineRule="auto" w:line="268"/>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Reflects OPAL’s ownership share of RIN and LCFS credits (i.e., net of joint venture partners’ ownership) including equity method investments and presented net of discounts and any direct transaction costs such as dispensing fees, third-party royalties and transaction costs as applicable.</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Liquidity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September we entered into a $500 million senior secured credit facility, which provides for up to $450 million of initial and delayed draw term loans and $50 million of revolving credit. As of September 30, 2023, we have drawn approximately $164.1 million under the facility.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As of September 30, 2023, our liquidity was $359.9 million, consisting of $326.9 million of availability under the credit facility, and $33.0 million of cash, cash equivalents, and short-term investments.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 believe our liquidity and anticipated cash flows from operations will be sufficient to meet our existing funding needs.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4"/>
        </w:rPr>
      </w:pPr>
      <w:r>
        <w:rPr>
          <w:rFonts w:ascii="Times New Roman;sans-serif" w:hAnsi="Times New Roman;sans-serif"/>
          <w:b/>
          <w:color w:val="000000"/>
          <w:sz w:val="24"/>
        </w:rPr>
        <w:t>Capital Expenditures and Investments by Unconsolidated Entities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During the nine months ended September 30, 2023, OPAL Fuels invested $92.3 million across RNG projects in construction and OPAL Fuels owned fueling stations in construction as compared to $85.2 million as of the comparable period in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the nine months ended September 30, 2023, the Company's portion of capital expenditures in unconsolidated entities was $14.3 million. This represents our share of capital expenditures incurred by Paragon for the Emerald and Sapphire projects post deconsolidation.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Earnings Call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webcast to review OPAL Fuels’ Third Quarter 2023 results is being held tomorrow, November 14, 2023 at 11:00AM Eastern Time.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Materials to be discussed in the webcast will be available before the call on the Company's website.</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4"/>
        </w:rPr>
        <w:t xml:space="preserve">Participants may access the call at </w:t>
      </w:r>
      <w:r>
        <w:rPr>
          <w:rFonts w:ascii="Times New Roman;sans-serif" w:hAnsi="Times New Roman;sans-serif"/>
          <w:b w:val="false"/>
          <w:color w:val="0E32E1"/>
          <w:sz w:val="24"/>
        </w:rPr>
        <w:t>https://edge.media-server.com/mmc/p/n7t8g8zs</w:t>
      </w:r>
      <w:r>
        <w:rPr>
          <w:rFonts w:ascii="Times New Roman;sans-serif" w:hAnsi="Times New Roman;sans-serif"/>
          <w:b w:val="false"/>
          <w:color w:val="000000"/>
          <w:sz w:val="24"/>
        </w:rPr>
        <w:t xml:space="preserve">. Investors can also listen to a webcast of the presentation on the company’s Investor Relations website at </w:t>
      </w:r>
      <w:r>
        <w:rPr>
          <w:rFonts w:ascii="Times New Roman;sans-serif" w:hAnsi="Times New Roman;sans-serif"/>
          <w:b w:val="false"/>
          <w:color w:val="0E32E1"/>
          <w:sz w:val="24"/>
        </w:rPr>
        <w:t>https://investors.opalfuels.com/news-events/events-presentations.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Glossary of terms</w:t>
      </w:r>
    </w:p>
    <w:p>
      <w:pPr>
        <w:pStyle w:val="TextBody"/>
        <w:bidi w:val="0"/>
        <w:spacing w:before="0" w:after="0"/>
        <w:jc w:val="left"/>
        <w:rPr/>
      </w:pPr>
      <w:r>
        <w:rPr/>
      </w:r>
    </w:p>
    <w:p>
      <w:pPr>
        <w:pStyle w:val="TextBody"/>
        <w:bidi w:val="0"/>
        <w:spacing w:lineRule="auto" w:line="288" w:before="0" w:after="0"/>
        <w:jc w:val="both"/>
        <w:rPr/>
      </w:pPr>
      <w:r>
        <w:rPr>
          <w:color w:val="000000"/>
        </w:rPr>
        <w:t>“</w:t>
      </w:r>
      <w:r>
        <w:rPr>
          <w:rFonts w:ascii="Times New Roman;sans-serif" w:hAnsi="Times New Roman;sans-serif"/>
          <w:b w:val="false"/>
          <w:i/>
          <w:color w:val="000000"/>
          <w:sz w:val="24"/>
        </w:rPr>
        <w:t xml:space="preserve">Environmental Attributes” </w:t>
      </w:r>
      <w:r>
        <w:rPr>
          <w:rFonts w:ascii="Times New Roman;sans-serif" w:hAnsi="Times New Roman;sans-serif"/>
          <w:b w:val="false"/>
          <w:color w:val="000000"/>
          <w:sz w:val="24"/>
        </w:rPr>
        <w:t>refer to federal, state, and local government incentives in the United States, provided in the form of Renewable Identification Numbers, Renewable Energy Credits, Low Carbon Fuel Standard credits, rebates, tax credits and other incentives to end users, distributors, system integrators and manufacturers of renewable energy projects that promote the use of renewable energy.</w:t>
      </w:r>
    </w:p>
    <w:p>
      <w:pPr>
        <w:pStyle w:val="TextBody"/>
        <w:bidi w:val="0"/>
        <w:spacing w:before="0" w:after="0"/>
        <w:jc w:val="left"/>
        <w:rPr/>
      </w:pPr>
      <w:r>
        <w:rPr/>
      </w:r>
    </w:p>
    <w:p>
      <w:pPr>
        <w:pStyle w:val="TextBody"/>
        <w:bidi w:val="0"/>
        <w:spacing w:lineRule="auto" w:line="288"/>
        <w:jc w:val="both"/>
        <w:rPr/>
      </w:pPr>
      <w:r>
        <w:rPr>
          <w:color w:val="000000"/>
        </w:rPr>
        <w:t>“</w:t>
      </w:r>
      <w:r>
        <w:rPr>
          <w:rFonts w:ascii="Times New Roman;sans-serif" w:hAnsi="Times New Roman;sans-serif"/>
          <w:b w:val="false"/>
          <w:i/>
          <w:color w:val="000000"/>
          <w:sz w:val="24"/>
        </w:rPr>
        <w:t xml:space="preserve">GGE” </w:t>
      </w:r>
      <w:r>
        <w:rPr>
          <w:rFonts w:ascii="Times New Roman;sans-serif" w:hAnsi="Times New Roman;sans-serif"/>
          <w:b w:val="false"/>
          <w:color w:val="000000"/>
          <w:sz w:val="24"/>
        </w:rPr>
        <w:t xml:space="preserve">refers to Gasoline gallon equivalent. The conversion ratio is 1MMBtu of natural gas equal to 7.74 GGE. </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LFG” </w:t>
      </w:r>
      <w:r>
        <w:rPr>
          <w:rFonts w:ascii="Times New Roman;sans-serif" w:hAnsi="Times New Roman;sans-serif"/>
          <w:b w:val="false"/>
          <w:color w:val="000000"/>
          <w:sz w:val="24"/>
        </w:rPr>
        <w:t>refers to landfill gas.</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MMBtu” </w:t>
      </w:r>
      <w:r>
        <w:rPr>
          <w:rFonts w:ascii="Times New Roman;sans-serif" w:hAnsi="Times New Roman;sans-serif"/>
          <w:b w:val="false"/>
          <w:color w:val="000000"/>
          <w:sz w:val="24"/>
        </w:rPr>
        <w:t xml:space="preserve">refers to British thermal units. </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Renewable Power” </w:t>
      </w:r>
      <w:r>
        <w:rPr>
          <w:rFonts w:ascii="Times New Roman;sans-serif" w:hAnsi="Times New Roman;sans-serif"/>
          <w:b w:val="false"/>
          <w:color w:val="000000"/>
          <w:sz w:val="24"/>
        </w:rPr>
        <w:t>refers to electricity generated from renewable sources.</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RNG” </w:t>
      </w:r>
      <w:r>
        <w:rPr>
          <w:rFonts w:ascii="Times New Roman;sans-serif" w:hAnsi="Times New Roman;sans-serif"/>
          <w:b w:val="false"/>
          <w:color w:val="000000"/>
          <w:sz w:val="24"/>
        </w:rPr>
        <w:t>refers to renewable natural gas.</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D3” </w:t>
      </w:r>
      <w:r>
        <w:rPr>
          <w:rFonts w:ascii="Times New Roman;sans-serif" w:hAnsi="Times New Roman;sans-serif"/>
          <w:b w:val="false"/>
          <w:color w:val="000000"/>
          <w:sz w:val="24"/>
        </w:rPr>
        <w:t>refers to cellulosic biofuel with a 60% GHG reduction requirement.</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RIN” </w:t>
      </w:r>
      <w:r>
        <w:rPr>
          <w:rFonts w:ascii="Times New Roman;sans-serif" w:hAnsi="Times New Roman;sans-serif"/>
          <w:b w:val="false"/>
          <w:color w:val="000000"/>
          <w:sz w:val="24"/>
        </w:rPr>
        <w:t>refers to Renewal Identification Numbers.</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EPA” </w:t>
      </w:r>
      <w:r>
        <w:rPr>
          <w:rFonts w:ascii="Times New Roman;sans-serif" w:hAnsi="Times New Roman;sans-serif"/>
          <w:b w:val="false"/>
          <w:color w:val="000000"/>
          <w:sz w:val="24"/>
        </w:rPr>
        <w:t>refers to Environmental Protection Agency.</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About OPAL Fuels Inc.</w:t>
      </w:r>
    </w:p>
    <w:p>
      <w:pPr>
        <w:pStyle w:val="TextBody"/>
        <w:bidi w:val="0"/>
        <w:spacing w:lineRule="auto" w:line="288" w:before="0" w:after="0"/>
        <w:jc w:val="both"/>
        <w:rPr/>
      </w:pPr>
      <w:r>
        <w:rPr>
          <w:rFonts w:ascii="Times New Roman;sans-serif" w:hAnsi="Times New Roman;sans-serif"/>
          <w:b w:val="false"/>
          <w:color w:val="0563C1"/>
          <w:sz w:val="24"/>
        </w:rPr>
        <w:t>OPAL Fuels</w:t>
      </w:r>
      <w:r>
        <w:rPr>
          <w:color w:val="000000"/>
        </w:rPr>
        <w:t xml:space="preserve"> </w:t>
      </w:r>
      <w:r>
        <w:rPr>
          <w:rFonts w:ascii="Times New Roman;sans-serif" w:hAnsi="Times New Roman;sans-serif"/>
          <w:b w:val="false"/>
          <w:color w:val="0563C1"/>
          <w:sz w:val="24"/>
        </w:rPr>
        <w:t>Inc. (Nasdaq: OPAL)</w:t>
      </w:r>
      <w:r>
        <w:rPr>
          <w:color w:val="000000"/>
        </w:rPr>
        <w:t xml:space="preserve"> </w:t>
      </w:r>
      <w:r>
        <w:rPr>
          <w:rFonts w:ascii="Times New Roman;sans-serif" w:hAnsi="Times New Roman;sans-serif"/>
          <w:b w:val="false"/>
          <w:color w:val="000000"/>
          <w:sz w:val="24"/>
        </w:rPr>
        <w:t xml:space="preserve">is a leading vertically integrated producer and distributor of </w:t>
      </w:r>
      <w:r>
        <w:rPr>
          <w:rFonts w:ascii="Times New Roman;sans-serif" w:hAnsi="Times New Roman;sans-serif"/>
          <w:b w:val="false"/>
          <w:color w:val="212121"/>
          <w:sz w:val="24"/>
        </w:rPr>
        <w:t xml:space="preserve">renewable electricity and renewable natural gas (RNG), a proven low-carbon energy source that is rapidly decarbonizing multiple sectors including the transportation and utility industries. OPAL Fuels delivers complete renewable solutions to customers and production partners. With a portfolio of 24 operating renewable fuel and renewable power projects, OPAL Fuels is positioned to advance the clean energy transition in support of renewable fuel for transportation, for utilities, for powering EV charging infrastructure, and by offering hydrogen fuel solutions. To learn more about OPAL Fuels and how it is leading the effort to capture North America’s harmful methane emissions and decarbonize the economy, please visit </w:t>
      </w:r>
      <w:r>
        <w:rPr>
          <w:rFonts w:ascii="Times New Roman;sans-serif" w:hAnsi="Times New Roman;sans-serif"/>
          <w:b w:val="false"/>
          <w:color w:val="0078D4"/>
          <w:sz w:val="24"/>
        </w:rPr>
        <w:t>www.opalfuels.com.</w:t>
      </w:r>
    </w:p>
    <w:p>
      <w:pPr>
        <w:pStyle w:val="TextBody"/>
        <w:bidi w:val="0"/>
        <w:spacing w:before="0" w:after="0"/>
        <w:jc w:val="both"/>
        <w:rPr/>
      </w:pPr>
      <w:r>
        <w:rPr/>
      </w:r>
    </w:p>
    <w:p>
      <w:pPr>
        <w:pStyle w:val="TextBody"/>
        <w:bidi w:val="0"/>
        <w:spacing w:lineRule="auto" w:line="240" w:before="0" w:after="0"/>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Forward-Looking Statements</w:t>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entitled “Risk Factors” and “Cautionary Statement Regarding Forward-Looking Statements” in the Company's annual report on Form 10K filed on March 29, 2023, and other filings the Company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Disclaimer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Contact information</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color w:val="000000"/>
          <w:sz w:val="24"/>
        </w:rPr>
      </w:pPr>
      <w:r>
        <w:rPr>
          <w:rFonts w:ascii="Times New Roman;sans-serif" w:hAnsi="Times New Roman;sans-serif"/>
          <w:b/>
          <w:color w:val="000000"/>
          <w:sz w:val="24"/>
        </w:rPr>
        <w:t>Investors</w:t>
      </w:r>
    </w:p>
    <w:p>
      <w:pPr>
        <w:pStyle w:val="TextBody"/>
        <w:bidi w:val="0"/>
        <w:spacing w:lineRule="auto" w:line="31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Todd Firestone</w:t>
      </w:r>
    </w:p>
    <w:p>
      <w:pPr>
        <w:pStyle w:val="TextBody"/>
        <w:bidi w:val="0"/>
        <w:spacing w:lineRule="auto" w:line="31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Vice President Investor Relations &amp; Corporate Development</w:t>
      </w:r>
    </w:p>
    <w:p>
      <w:pPr>
        <w:pStyle w:val="TextBody"/>
        <w:bidi w:val="0"/>
        <w:spacing w:lineRule="auto" w:line="31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914-705-4001</w:t>
      </w:r>
    </w:p>
    <w:p>
      <w:pPr>
        <w:pStyle w:val="TextBody"/>
        <w:bidi w:val="0"/>
        <w:spacing w:lineRule="auto" w:line="369" w:before="0" w:after="0"/>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investors@opalfuels.com</w:t>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ICR, Inc. </w:t>
      </w:r>
    </w:p>
    <w:p>
      <w:pPr>
        <w:pStyle w:val="TextBody"/>
        <w:bidi w:val="0"/>
        <w:spacing w:lineRule="auto" w:line="312" w:before="0" w:after="0"/>
        <w:jc w:val="both"/>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OPALFuelsPR@icrinc.com</w:t>
      </w:r>
    </w:p>
    <w:p>
      <w:pPr>
        <w:pStyle w:val="TextBody"/>
        <w:bidi w:val="0"/>
        <w:spacing w:before="0" w:after="0"/>
        <w:jc w:val="left"/>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 thousands of U.S. dollars,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77"/>
        <w:gridCol w:w="2411"/>
        <w:gridCol w:w="2396"/>
        <w:gridCol w:w="215"/>
        <w:gridCol w:w="808"/>
        <w:gridCol w:w="119"/>
        <w:gridCol w:w="109"/>
        <w:gridCol w:w="109"/>
        <w:gridCol w:w="109"/>
        <w:gridCol w:w="207"/>
        <w:gridCol w:w="778"/>
        <w:gridCol w:w="167"/>
      </w:tblGrid>
      <w:tr>
        <w:trPr/>
        <w:tc>
          <w:tcPr>
            <w:tcW w:w="2777"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(includes $1,302 and $12,506 at September 30, 2023 and December 31, 2022, respectively, related to consolidated VIEs)</w:t>
            </w:r>
          </w:p>
        </w:tc>
        <w:tc>
          <w:tcPr>
            <w:tcW w:w="21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(includes $79 and $966 at September 30, 2023 and December 31, 2022, respectively, related to consolidated VIEs)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31,083 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current (includes $1,232 and $6,971 at September 30, 2023 and December 31, 2022, respectively, related to consolidated VIEs)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32,402 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Short term investments </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receivable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4,144 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9,771 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Parts inventory</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 held for sale (includes $29 and $0 at September 30, 2023 and December 31, 2022, respectively, related to consolidated VIEs)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and other current assets (includes $193 and $415 at September 30, 2023 and December 31, 2022, respectively, related to consolidated VIEs)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7,625 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assets, current portion</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105,785 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211,983 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spares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 (includes $26,684 and $73,140 at September 30, 2023 and December 31, 2022, respectively, related to consolidated VIEs)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303,690 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297,323 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right-of-use assets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11,744 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other entities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199,466 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51,765 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 - variable fee component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assets, non-current portion</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financing costs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non-current (includes $2,843 and $2,923 at September 30, 2023 and December 31, 2022, respectively, related to consolidated VIEs)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690,455 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644,856 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(includes $603 and $4,896 at September 30, 2023 and December 31, 2022, respectively, related to consolidated VIEs)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payable, related party (includes $1,035 and $433 at September 30, 2023 and December 31, 2022, respectively, related to consolidated VIEs) </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payable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932"/>
        <w:gridCol w:w="2400"/>
        <w:gridCol w:w="2417"/>
        <w:gridCol w:w="196"/>
        <w:gridCol w:w="736"/>
        <w:gridCol w:w="109"/>
        <w:gridCol w:w="109"/>
        <w:gridCol w:w="109"/>
        <w:gridCol w:w="109"/>
        <w:gridCol w:w="196"/>
        <w:gridCol w:w="736"/>
        <w:gridCol w:w="156"/>
      </w:tblGrid>
      <w:tr>
        <w:trPr/>
        <w:tc>
          <w:tcPr>
            <w:tcW w:w="293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capital expenses (includes $0 and $7,821 at September 30, 2023 and December 31, 2022,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 (includes $602 and $646 at September 30, 2023 and December 31, 2022,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term loan, current portion, net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working capital facility,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current portion (includes $1,739 and $380 at September 30, 2023 and December 31, 2022,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Municipality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liability,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non-current portion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OPAL Term Loan, net of debt issuance costs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 (includes $20,402 and $21,712 at September 30, 2023 and December 31, 2022,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non-current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 out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267,037 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preferred non-controlling interests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130,000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138,142</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1,158,937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1,013,833</w:t>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deficit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 340,000,000 shares authorized as of September 30, 2023; 29,332,333 and 29,477,766 shares, issued and outstanding at September 30, 2023 and December 31, 2022,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$0.0001 par value, 160,000,000 shares authorized as of September 30, 2023; None issued and outstanding as of September 30, 2023 and December 31, 2022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C common stock, $0.0001 par value, 160,000,000 shares authorized as of September 30, 2023; None issued and outstanding as of September 30, 2023 and December 31, 2022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D common stock, $0.0001 par value, 160,000,000 shares authorized as of September 30, 2023; 144,399,037 and 144,399,037 shares issued and outstanding at September 30, 2023 and December 31, 2022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Additional paid-in capital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(800,813)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in treasury, at cost; 1,635,783 and 0 shares at September 30, 2023 and December 31, 2022,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 attributable to the Company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(852,944)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(800,601)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Non-redeemable non-controlling interests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(852,060)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(774,156)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liabilities, Redeemable preferred non-controlling interests, Redeemable non-controlling interests and Stockholders' deficit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690,455 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644,856 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OPAL FUELS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OPERATIONS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 thousands of U.S. dollars, except per unit data)</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(Unaudited)</w:t>
      </w:r>
    </w:p>
    <w:tbl>
      <w:tblPr>
        <w:tblW w:w="10205" w:type="dxa"/>
        <w:jc w:val="center"/>
        <w:tblInd w:w="0" w:type="dxa"/>
        <w:tblLayout w:type="fixed"/>
        <w:tblCellMar>
          <w:top w:w="28" w:type="dxa"/>
          <w:left w:w="28" w:type="dxa"/>
          <w:bottom w:w="28" w:type="dxa"/>
          <w:right w:w="28" w:type="dxa"/>
        </w:tblCellMar>
      </w:tblPr>
      <w:tblGrid>
        <w:gridCol w:w="1777"/>
        <w:gridCol w:w="1348"/>
        <w:gridCol w:w="1361"/>
        <w:gridCol w:w="109"/>
        <w:gridCol w:w="109"/>
        <w:gridCol w:w="109"/>
        <w:gridCol w:w="254"/>
        <w:gridCol w:w="733"/>
        <w:gridCol w:w="115"/>
        <w:gridCol w:w="115"/>
        <w:gridCol w:w="115"/>
        <w:gridCol w:w="115"/>
        <w:gridCol w:w="254"/>
        <w:gridCol w:w="733"/>
        <w:gridCol w:w="115"/>
        <w:gridCol w:w="109"/>
        <w:gridCol w:w="109"/>
        <w:gridCol w:w="109"/>
        <w:gridCol w:w="223"/>
        <w:gridCol w:w="738"/>
        <w:gridCol w:w="109"/>
        <w:gridCol w:w="109"/>
        <w:gridCol w:w="109"/>
        <w:gridCol w:w="109"/>
        <w:gridCol w:w="223"/>
        <w:gridCol w:w="738"/>
        <w:gridCol w:w="158"/>
      </w:tblGrid>
      <w:tr>
        <w:trPr/>
        <w:tc>
          <w:tcPr>
            <w:tcW w:w="1777"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448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RNG fuel (includes revenues from related party of $18,782 and $15,481 for the three months ended September 30, 2023 and 2022, respectively; $32,909 and $36,326 for the nine months ended September 30, 2023 and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 (includes revenues from related party of $6,942 and $3,855 for the three months ended September 30, 2023 and 2022, respectively; $10,875 and $12,698 for the nine months ended September 30, 2023 and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 (includes revenues from related party of $1,732 and $927 for the three months ended September 30, 2023 and 2022, respectively; $5,006 and $3,196, for the nine months ended September 30, 2023 and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32,623 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71,101 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66,550 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168,814 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27,043 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74,130 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23,593 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34,561 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69,228 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68,485 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169,428 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(1,935)</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(7,212)</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Loss on debt extinguishment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18"/>
              </w:rPr>
              <w:t>Income from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3,658 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Dividends on Redeemable preferred non-controlling interests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5,093 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attributable to Class A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of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26,978,969 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25,671,390 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27,110,953 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25,671,390 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26,978,969 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25,823,772 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27,683,855 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25,823,772 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 share amounts: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Basic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Diluted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w10:wrap type="none"/>
              </v:rect>
            </w:pict>
          </mc:Fallback>
        </mc:AlternateContent>
      </w:r>
    </w:p>
    <w:p>
      <w:pPr>
        <w:pStyle w:val="TextBody"/>
        <w:bidi w:val="0"/>
        <w:spacing w:before="200" w:after="200"/>
        <w:jc w:val="center"/>
        <w:rPr/>
      </w:pPr>
      <w:r>
        <w:rPr/>
      </w:r>
    </w:p>
    <w:p>
      <w:pPr>
        <w:pStyle w:val="TextBody"/>
        <w:bidi w:val="0"/>
        <w:spacing w:lineRule="auto" w:line="288" w:before="200" w:after="200"/>
        <w:jc w:val="center"/>
        <w:rPr>
          <w:rFonts w:ascii="Times New Roman;sans-serif" w:hAnsi="Times New Roman;sans-serif"/>
          <w:b/>
          <w:color w:val="000000"/>
          <w:sz w:val="24"/>
        </w:rPr>
      </w:pPr>
      <w:r>
        <w:rPr>
          <w:rFonts w:ascii="Times New Roman;sans-serif" w:hAnsi="Times New Roman;sans-serif"/>
          <w:b/>
          <w:color w:val="000000"/>
          <w:sz w:val="24"/>
        </w:rPr>
        <w:t>OPAL FUELS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CASH FLOWS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 thousands of U.S. dollars)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(Unaudited)</w:t>
      </w:r>
    </w:p>
    <w:tbl>
      <w:tblPr>
        <w:tblW w:w="8541" w:type="dxa"/>
        <w:jc w:val="center"/>
        <w:tblInd w:w="0" w:type="dxa"/>
        <w:tblLayout w:type="fixed"/>
        <w:tblCellMar>
          <w:top w:w="28" w:type="dxa"/>
          <w:left w:w="28" w:type="dxa"/>
          <w:bottom w:w="28" w:type="dxa"/>
          <w:right w:w="28" w:type="dxa"/>
        </w:tblCellMar>
      </w:tblPr>
      <w:tblGrid>
        <w:gridCol w:w="2031"/>
        <w:gridCol w:w="1788"/>
        <w:gridCol w:w="1791"/>
        <w:gridCol w:w="109"/>
        <w:gridCol w:w="109"/>
        <w:gridCol w:w="109"/>
        <w:gridCol w:w="211"/>
        <w:gridCol w:w="796"/>
        <w:gridCol w:w="109"/>
        <w:gridCol w:w="109"/>
        <w:gridCol w:w="109"/>
        <w:gridCol w:w="109"/>
        <w:gridCol w:w="211"/>
        <w:gridCol w:w="796"/>
        <w:gridCol w:w="154"/>
      </w:tblGrid>
      <w:tr>
        <w:trPr/>
        <w:tc>
          <w:tcPr>
            <w:tcW w:w="2031"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56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(219,215)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270,525 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w10:wrap type="none"/>
              </v:rect>
            </w:pict>
          </mc:Fallback>
        </mc:AlternateContent>
      </w:r>
    </w:p>
    <w:p>
      <w:pPr>
        <w:pStyle w:val="TextBody"/>
        <w:bidi w:val="0"/>
        <w:spacing w:before="160" w:after="283"/>
        <w:jc w:val="center"/>
        <w:rPr/>
      </w:pPr>
      <w:r>
        <w:rPr/>
      </w:r>
    </w:p>
    <w:p>
      <w:pPr>
        <w:pStyle w:val="TextBody"/>
        <w:bidi w:val="0"/>
        <w:spacing w:lineRule="auto" w:line="288" w:before="160" w:after="283"/>
        <w:jc w:val="center"/>
        <w:rPr>
          <w:rFonts w:ascii="Times New Roman;sans-serif" w:hAnsi="Times New Roman;sans-serif"/>
          <w:b/>
          <w:color w:val="000000"/>
          <w:sz w:val="24"/>
        </w:rPr>
      </w:pPr>
      <w:r>
        <w:rPr>
          <w:rFonts w:ascii="Times New Roman;sans-serif" w:hAnsi="Times New Roman;sans-serif"/>
          <w:b/>
          <w:color w:val="000000"/>
          <w:sz w:val="24"/>
        </w:rPr>
        <w:t>Non-GAAP Financial Measures (Unaudited)</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release includes various financial measures that are non-GAAP financial measures as defined under the rules of the Securities and Exchange Commission. We believe these measures provide important supplemental information to investors to use in evaluating ongoing operating results. We use these measures, together with accounting principles generally accepted in the United States (“GAAP” or “U.S. GAAP”), for internal managerial purposes and as a means to evaluate period-to-period comparisons. However, we do not, and you should not, rely on non-GAAP financial measures alone as measures of our performance. We believe that non-GAAP financial measures reflect an additional way of viewing aspects of our operations, that when taken together with GAAP results and the reconciliations to corresponding GAAP financial measures that we also provide give a more complete understanding of factors and trends affecting our business. We strongly encourage you to review all of our financial statements and publicly filed reports in their entirety and to not solely rely on any single non-GAAP financial measure.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These Non-GAAP financial measures are not recognized terms under GAAP and do not purport to be alternatives to GAAP net income or any other GAAP measure as indicators of operating performance. Moreover, because not all companies use identical measures and calculations, the Company’s presentation of Non-GAAP financial measures may not be comparable to other similarly titled measures used by other companies. We strongly encourage you to review all of our financial statements and publicly filed reports in their entirety and to not solely rely on any single non-GAAP financial measure.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Adjusted EBITDA</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 supplement the Company’s unaudited condensed consolidated financial statements presented in accordance with GAAP, the Company uses a non-GAAP financial measure that it calls adjusted EBITDA (“Adjusted EBITDA”). This non-GAAP measure adjusts net income for realized and unrealized gain on interest rate swaps, net loss attributable to non-redeemable non-controlling interests, transaction costs and one-time non-recurring charges, non-cash charges, gain on deconsolidation of VIEs, amortization of basis differences in equity method investments, major maintenance for Renewable Power and unrealized loss (gain) for derivative instruments. Management believes this non-GAAP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items that management believes are not directly attributable to the Company’s core operating performance and may obscure trends in the business; (3) the measure better aligns revenues with expenses; and (4)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tables presents the reconciliation of our Net income (loss) to Adjusted EBITDA:</w:t>
      </w:r>
    </w:p>
    <w:p>
      <w:pPr>
        <w:pStyle w:val="TextBody"/>
        <w:bidi w:val="0"/>
        <w:spacing w:before="0" w:after="0"/>
        <w:jc w:val="left"/>
        <w:rPr/>
      </w:pPr>
      <w:r>
        <w:rPr/>
      </w:r>
    </w:p>
    <w:p>
      <w:pPr>
        <w:pStyle w:val="TextBody"/>
        <w:bidi w:val="0"/>
        <w:spacing w:lineRule="auto" w:line="369"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GAAP Net income to Adjusted EBITDA </w:t>
      </w:r>
    </w:p>
    <w:p>
      <w:pPr>
        <w:pStyle w:val="TextBody"/>
        <w:bidi w:val="0"/>
        <w:spacing w:lineRule="auto" w:line="369"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and Nine Months Ended September 30, 2023 and 2022</w:t>
      </w:r>
    </w:p>
    <w:p>
      <w:pPr>
        <w:pStyle w:val="TextBody"/>
        <w:bidi w:val="0"/>
        <w:spacing w:lineRule="auto" w:line="369"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dollars)</w:t>
      </w:r>
    </w:p>
    <w:p>
      <w:pPr>
        <w:pStyle w:val="TextBody"/>
        <w:bidi w:val="0"/>
        <w:spacing w:before="0" w:after="0"/>
        <w:jc w:val="center"/>
        <w:rPr/>
      </w:pPr>
      <w:r>
        <w:rPr/>
      </w:r>
    </w:p>
    <w:p>
      <w:pPr>
        <w:pStyle w:val="TextBody"/>
        <w:bidi w:val="0"/>
        <w:spacing w:before="0" w:after="0"/>
        <w:jc w:val="center"/>
        <w:rPr/>
      </w:pPr>
      <w:r>
        <w:rPr/>
      </w:r>
    </w:p>
    <w:tbl>
      <w:tblPr>
        <w:tblW w:w="15101" w:type="dxa"/>
        <w:jc w:val="center"/>
        <w:tblInd w:w="0" w:type="dxa"/>
        <w:tblLayout w:type="fixed"/>
        <w:tblCellMar>
          <w:top w:w="28" w:type="dxa"/>
          <w:left w:w="28" w:type="dxa"/>
          <w:bottom w:w="28" w:type="dxa"/>
          <w:right w:w="28" w:type="dxa"/>
        </w:tblCellMar>
      </w:tblPr>
      <w:tblGrid>
        <w:gridCol w:w="930"/>
        <w:gridCol w:w="280"/>
        <w:gridCol w:w="231"/>
        <w:gridCol w:w="109"/>
        <w:gridCol w:w="109"/>
        <w:gridCol w:w="109"/>
        <w:gridCol w:w="211"/>
        <w:gridCol w:w="721"/>
        <w:gridCol w:w="109"/>
        <w:gridCol w:w="109"/>
        <w:gridCol w:w="109"/>
        <w:gridCol w:w="109"/>
        <w:gridCol w:w="211"/>
        <w:gridCol w:w="616"/>
        <w:gridCol w:w="109"/>
        <w:gridCol w:w="109"/>
        <w:gridCol w:w="109"/>
        <w:gridCol w:w="109"/>
        <w:gridCol w:w="213"/>
        <w:gridCol w:w="622"/>
        <w:gridCol w:w="111"/>
        <w:gridCol w:w="109"/>
        <w:gridCol w:w="109"/>
        <w:gridCol w:w="109"/>
        <w:gridCol w:w="211"/>
        <w:gridCol w:w="73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36"/>
        <w:gridCol w:w="109"/>
        <w:gridCol w:w="109"/>
        <w:gridCol w:w="109"/>
        <w:gridCol w:w="109"/>
        <w:gridCol w:w="211"/>
        <w:gridCol w:w="826"/>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8" w:type="dxa"/>
            <w:gridSpan w:val="2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2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RNG Fuel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Renewable Power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RNG Fuel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Renewable Power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income (loss)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Loss on debt extinguishment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Depreciation, amortization and accretion</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to reflect Adjusted EBITDA from equity method investments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warrant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Unrealized (gain) loss on derivative instruments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Non-cash charges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One-time non-recurring charges </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 maintenance for 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14981" w:type="dxa"/>
        <w:jc w:val="center"/>
        <w:tblInd w:w="0" w:type="dxa"/>
        <w:tblLayout w:type="fixed"/>
        <w:tblCellMar>
          <w:top w:w="28" w:type="dxa"/>
          <w:left w:w="28" w:type="dxa"/>
          <w:bottom w:w="28" w:type="dxa"/>
          <w:right w:w="28" w:type="dxa"/>
        </w:tblCellMar>
      </w:tblPr>
      <w:tblGrid>
        <w:gridCol w:w="915"/>
        <w:gridCol w:w="280"/>
        <w:gridCol w:w="231"/>
        <w:gridCol w:w="109"/>
        <w:gridCol w:w="109"/>
        <w:gridCol w:w="109"/>
        <w:gridCol w:w="211"/>
        <w:gridCol w:w="616"/>
        <w:gridCol w:w="109"/>
        <w:gridCol w:w="109"/>
        <w:gridCol w:w="109"/>
        <w:gridCol w:w="109"/>
        <w:gridCol w:w="211"/>
        <w:gridCol w:w="721"/>
        <w:gridCol w:w="109"/>
        <w:gridCol w:w="109"/>
        <w:gridCol w:w="109"/>
        <w:gridCol w:w="109"/>
        <w:gridCol w:w="213"/>
        <w:gridCol w:w="622"/>
        <w:gridCol w:w="111"/>
        <w:gridCol w:w="109"/>
        <w:gridCol w:w="109"/>
        <w:gridCol w:w="109"/>
        <w:gridCol w:w="211"/>
        <w:gridCol w:w="73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36"/>
        <w:gridCol w:w="109"/>
        <w:gridCol w:w="109"/>
        <w:gridCol w:w="109"/>
        <w:gridCol w:w="109"/>
        <w:gridCol w:w="211"/>
        <w:gridCol w:w="721"/>
        <w:gridCol w:w="154"/>
      </w:tblGrid>
      <w:tr>
        <w:trPr/>
        <w:tc>
          <w:tcPr>
            <w:tcW w:w="9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8" w:type="dxa"/>
            <w:gridSpan w:val="2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3" w:type="dxa"/>
            <w:gridSpan w:val="2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2022</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RNG Fuel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RNG Fuel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Renewable Power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income (loss)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Depreciation, amortization and accretion</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to reflect Adjusted EBITDA from equity method investments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Unrealized (gain) loss on derivative instruments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Non-cash charges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One-time non-recurring charges </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 on repayment of Note Receivable and reversal of liability to non-redeemable non-controlling interest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 maintenance for 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Net income (loss) by segment is included in our quarterly report on Form 10 Q. Net income for RNG Fuel includes our portion of net loss on our equity method investments.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Loss on debt extinguishment relates to assignment of our senior secured credit facility to Paragon and debt restructuring related to OPAL Term Loan.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Includes depreciation, amortization and accretion on equity method investments.</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 xml:space="preserve">Unrealized loss on derivative instruments includes change in fair value of interest rate swaps, commodity swaps, earnout liabilities and put option on a forward purchase agreement.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16"/>
        </w:rPr>
        <w:t xml:space="preserve">(5) </w:t>
      </w:r>
      <w:r>
        <w:rPr>
          <w:rFonts w:ascii="Times New Roman;sans-serif" w:hAnsi="Times New Roman;sans-serif"/>
          <w:b w:val="false"/>
          <w:color w:val="000000"/>
          <w:sz w:val="20"/>
        </w:rPr>
        <w:t xml:space="preserve">Non-cash charges include stock-based compensation expense, certain expenses included in selling, general and administrative expenses relating to employee benefit accruals, inventory write down charges included in cost of sales - RNG fuel and loss on disposal of assets. </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16"/>
        </w:rPr>
        <w:t xml:space="preserve">(6) </w:t>
      </w:r>
      <w:r>
        <w:rPr>
          <w:rFonts w:ascii="Times New Roman;sans-serif" w:hAnsi="Times New Roman;sans-serif"/>
          <w:b w:val="false"/>
          <w:color w:val="000000"/>
          <w:sz w:val="20"/>
        </w:rPr>
        <w:t>One-time non-recurring charges include certain expenses related to development expenses on our RNG facilities such as lease expenses and virtual pipe line costs, incurred during construction phase that could not be capitalized per GAAP and fees paid in connection with warrant exchange for the three and nine months ended September 30, 2023. One-time non-recurring charges includes one time transaction costs relating to the Business Combination for the three and nine months ended September 30, 2022.</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Helvetica">
    <w:altName w:val="Arial"/>
    <w:charset w:val="01"/>
    <w:family w:val="auto"/>
    <w:pitch w:val="default"/>
  </w:font>
  <w:font w:name="Calibri">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7016</Words>
  <Characters>39739</Characters>
  <CharactersWithSpaces>46302</CharactersWithSpaces>
  <Paragraphs>1250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