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7530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75304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Unger David 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OPAL Fuels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03/31/2026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779"/>
        <w:spacing w:after="0"/>
        <w:rPr>
          <w:sz w:val="20"/>
          <w:szCs w:val="20"/>
          <w:color w:val="auto"/>
        </w:rPr>
      </w:pPr>
      <w:r>
        <w:rPr>
          <w:rFonts w:ascii="Times New Roman" w:cs="Times New Roman" w:eastAsia="Times New Roman" w:hAnsi="Times New Roman"/>
          <w:sz w:val="16"/>
          <w:szCs w:val="16"/>
          <w:color w:val="0000FF"/>
        </w:rPr>
        <w:t>Executive Vice President</w:t>
      </w:r>
    </w:p>
    <w:p>
      <w:pPr>
        <w:spacing w:after="0" w:line="325" w:lineRule="exact"/>
        <w:rPr>
          <w:sz w:val="24"/>
          <w:szCs w:val="24"/>
          <w:color w:val="auto"/>
        </w:rPr>
      </w:pPr>
    </w:p>
    <w:p>
      <w:pPr>
        <w:sectPr>
          <w:pgSz w:w="11900" w:h="16838" w:orient="portrait"/>
          <w:cols w:equalWidth="0" w:num="3">
            <w:col w:w="3420" w:space="480"/>
            <w:col w:w="3101" w:space="720"/>
            <w:col w:w="3359"/>
          </w:cols>
          <w:pgMar w:left="460" w:top="215" w:right="359" w:bottom="0" w:gutter="0" w:footer="0" w:header="0"/>
          <w:type w:val="continuous"/>
        </w:sectPr>
      </w:pP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60" w:type="dxa"/>
            <w:vAlign w:val="bottom"/>
            <w:gridSpan w:val="6"/>
          </w:tcPr>
          <w:p>
            <w:pPr>
              <w:jc w:val="center"/>
              <w:ind w:right="94"/>
              <w:spacing w:after="0"/>
              <w:rPr>
                <w:sz w:val="20"/>
                <w:szCs w:val="20"/>
                <w:color w:val="auto"/>
              </w:rPr>
            </w:pPr>
            <w:r>
              <w:rPr>
                <w:rFonts w:ascii="Arial" w:cs="Arial" w:eastAsia="Arial" w:hAnsi="Arial"/>
                <w:sz w:val="13"/>
                <w:szCs w:val="13"/>
                <w:color w:val="auto"/>
                <w:w w:val="96"/>
              </w:rPr>
              <w:t>4. If Amendment, Date of Original Filed (Month/Day/Year)</w:t>
            </w:r>
          </w:p>
        </w:tc>
        <w:tc>
          <w:tcPr>
            <w:tcW w:w="368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10601</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6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2"/>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jc w:val="center"/>
              <w:ind w:left="609"/>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jc w:val="center"/>
              <w:ind w:righ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jc w:val="center"/>
              <w:ind w:left="769"/>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749"/>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6"/>
                <w:szCs w:val="16"/>
                <w:color w:val="0000FF"/>
                <w:w w:val="99"/>
              </w:rPr>
              <w:t>80,703</w:t>
            </w:r>
          </w:p>
        </w:tc>
        <w:tc>
          <w:tcPr>
            <w:tcW w:w="560" w:type="dxa"/>
            <w:vAlign w:val="bottom"/>
          </w:tcPr>
          <w:p>
            <w:pPr>
              <w:jc w:val="center"/>
              <w:ind w:left="174"/>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color w:val="0000FF"/>
              </w:rPr>
              <w:t>204,679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749"/>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6"/>
                <w:szCs w:val="16"/>
                <w:color w:val="0000FF"/>
                <w:w w:val="99"/>
              </w:rPr>
              <w:t>29,093</w:t>
            </w:r>
          </w:p>
        </w:tc>
        <w:tc>
          <w:tcPr>
            <w:tcW w:w="560" w:type="dxa"/>
            <w:vAlign w:val="bottom"/>
            <w:tcBorders>
              <w:bottom w:val="single" w:sz="8" w:color="2C2C2C"/>
            </w:tcBorders>
          </w:tcPr>
          <w:p>
            <w:pPr>
              <w:jc w:val="center"/>
              <w:ind w:left="174"/>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5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6"/>
                <w:szCs w:val="16"/>
                <w:color w:val="0000FF"/>
              </w:rPr>
              <w:t>175,586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749"/>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6"/>
                <w:szCs w:val="16"/>
                <w:color w:val="0000FF"/>
                <w:w w:val="99"/>
              </w:rPr>
              <w:t>23,522</w:t>
            </w:r>
          </w:p>
        </w:tc>
        <w:tc>
          <w:tcPr>
            <w:tcW w:w="560" w:type="dxa"/>
            <w:vAlign w:val="bottom"/>
          </w:tcPr>
          <w:p>
            <w:pPr>
              <w:jc w:val="center"/>
              <w:ind w:left="174"/>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color w:val="0000FF"/>
              </w:rPr>
              <w:t>199,108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749"/>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6"/>
                <w:szCs w:val="16"/>
                <w:color w:val="0000FF"/>
                <w:w w:val="99"/>
              </w:rPr>
              <w:t>8,479</w:t>
            </w:r>
          </w:p>
        </w:tc>
        <w:tc>
          <w:tcPr>
            <w:tcW w:w="560" w:type="dxa"/>
            <w:vAlign w:val="bottom"/>
            <w:tcBorders>
              <w:bottom w:val="single" w:sz="8" w:color="2C2C2C"/>
            </w:tcBorders>
          </w:tcPr>
          <w:p>
            <w:pPr>
              <w:jc w:val="center"/>
              <w:ind w:left="174"/>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5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6"/>
                <w:szCs w:val="16"/>
                <w:color w:val="0000FF"/>
              </w:rPr>
              <w:t>190,629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749"/>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6"/>
                <w:szCs w:val="16"/>
                <w:color w:val="0000FF"/>
                <w:w w:val="99"/>
              </w:rPr>
              <w:t>57,100</w:t>
            </w:r>
          </w:p>
        </w:tc>
        <w:tc>
          <w:tcPr>
            <w:tcW w:w="560" w:type="dxa"/>
            <w:vAlign w:val="bottom"/>
          </w:tcPr>
          <w:p>
            <w:pPr>
              <w:jc w:val="center"/>
              <w:ind w:left="174"/>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color w:val="0000FF"/>
              </w:rPr>
              <w:t>247,729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749"/>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6"/>
                <w:szCs w:val="16"/>
                <w:color w:val="0000FF"/>
                <w:w w:val="99"/>
              </w:rPr>
              <w:t>20,584</w:t>
            </w:r>
          </w:p>
        </w:tc>
        <w:tc>
          <w:tcPr>
            <w:tcW w:w="560" w:type="dxa"/>
            <w:vAlign w:val="bottom"/>
            <w:tcBorders>
              <w:bottom w:val="single" w:sz="8" w:color="2C2C2C"/>
            </w:tcBorders>
          </w:tcPr>
          <w:p>
            <w:pPr>
              <w:jc w:val="center"/>
              <w:ind w:left="174"/>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5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6"/>
                <w:szCs w:val="16"/>
                <w:color w:val="0000FF"/>
              </w:rPr>
              <w:t>227,145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749"/>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6"/>
                <w:szCs w:val="16"/>
                <w:color w:val="0000FF"/>
                <w:w w:val="99"/>
              </w:rPr>
              <w:t>5,811</w:t>
            </w:r>
          </w:p>
        </w:tc>
        <w:tc>
          <w:tcPr>
            <w:tcW w:w="560" w:type="dxa"/>
            <w:vAlign w:val="bottom"/>
          </w:tcPr>
          <w:p>
            <w:pPr>
              <w:jc w:val="center"/>
              <w:ind w:left="174"/>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color w:val="0000FF"/>
              </w:rPr>
              <w:t>232,956</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749"/>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6"/>
                <w:szCs w:val="16"/>
                <w:color w:val="0000FF"/>
                <w:w w:val="99"/>
              </w:rPr>
              <w:t>2,095</w:t>
            </w:r>
          </w:p>
        </w:tc>
        <w:tc>
          <w:tcPr>
            <w:tcW w:w="560" w:type="dxa"/>
            <w:vAlign w:val="bottom"/>
            <w:tcBorders>
              <w:bottom w:val="single" w:sz="8" w:color="2C2C2C"/>
            </w:tcBorders>
          </w:tcPr>
          <w:p>
            <w:pPr>
              <w:jc w:val="center"/>
              <w:ind w:left="174"/>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5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6"/>
                <w:szCs w:val="16"/>
                <w:color w:val="0000FF"/>
              </w:rPr>
              <w:t>230,861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56"/>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jc w:val="center"/>
              <w:ind w:right="46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56"/>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80,703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03/31/2026</w:t>
            </w:r>
          </w:p>
        </w:tc>
        <w:tc>
          <w:tcPr>
            <w:tcW w:w="1040" w:type="dxa"/>
            <w:vAlign w:val="bottom"/>
          </w:tcPr>
          <w:p>
            <w:pPr>
              <w:spacing w:after="0"/>
              <w:rPr>
                <w:sz w:val="11"/>
                <w:szCs w:val="11"/>
                <w:color w:val="auto"/>
              </w:rPr>
            </w:pPr>
          </w:p>
        </w:tc>
        <w:tc>
          <w:tcPr>
            <w:tcW w:w="800" w:type="dxa"/>
            <w:vAlign w:val="bottom"/>
            <w:gridSpan w:val="2"/>
          </w:tcPr>
          <w:p>
            <w:pPr>
              <w:jc w:val="center"/>
              <w:ind w:right="317"/>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11"/>
                <w:szCs w:val="11"/>
                <w:color w:val="auto"/>
              </w:rPr>
            </w:pPr>
          </w:p>
        </w:tc>
        <w:tc>
          <w:tcPr>
            <w:tcW w:w="480" w:type="dxa"/>
            <w:vAlign w:val="bottom"/>
          </w:tcPr>
          <w:p>
            <w:pPr>
              <w:jc w:val="center"/>
              <w:ind w:right="79"/>
              <w:spacing w:after="0" w:line="138" w:lineRule="exact"/>
              <w:rPr>
                <w:sz w:val="20"/>
                <w:szCs w:val="20"/>
                <w:color w:val="auto"/>
              </w:rPr>
            </w:pPr>
            <w:r>
              <w:rPr>
                <w:rFonts w:ascii="Times New Roman" w:cs="Times New Roman" w:eastAsia="Times New Roman" w:hAnsi="Times New Roman"/>
                <w:sz w:val="13"/>
                <w:szCs w:val="13"/>
                <w:color w:val="0000FF"/>
                <w:w w:val="94"/>
              </w:rPr>
              <w:t>80,703</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6"/>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1"/>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23,522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03/31/2026</w:t>
            </w:r>
          </w:p>
        </w:tc>
        <w:tc>
          <w:tcPr>
            <w:tcW w:w="1040" w:type="dxa"/>
            <w:vAlign w:val="bottom"/>
          </w:tcPr>
          <w:p>
            <w:pPr>
              <w:spacing w:after="0"/>
              <w:rPr>
                <w:sz w:val="11"/>
                <w:szCs w:val="11"/>
                <w:color w:val="auto"/>
              </w:rPr>
            </w:pPr>
          </w:p>
        </w:tc>
        <w:tc>
          <w:tcPr>
            <w:tcW w:w="800" w:type="dxa"/>
            <w:vAlign w:val="bottom"/>
            <w:gridSpan w:val="2"/>
          </w:tcPr>
          <w:p>
            <w:pPr>
              <w:jc w:val="center"/>
              <w:ind w:right="317"/>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11"/>
                <w:szCs w:val="11"/>
                <w:color w:val="auto"/>
              </w:rPr>
            </w:pPr>
          </w:p>
        </w:tc>
        <w:tc>
          <w:tcPr>
            <w:tcW w:w="480" w:type="dxa"/>
            <w:vAlign w:val="bottom"/>
          </w:tcPr>
          <w:p>
            <w:pPr>
              <w:jc w:val="center"/>
              <w:ind w:right="79"/>
              <w:spacing w:after="0" w:line="138" w:lineRule="exact"/>
              <w:rPr>
                <w:sz w:val="20"/>
                <w:szCs w:val="20"/>
                <w:color w:val="auto"/>
              </w:rPr>
            </w:pPr>
            <w:r>
              <w:rPr>
                <w:rFonts w:ascii="Times New Roman" w:cs="Times New Roman" w:eastAsia="Times New Roman" w:hAnsi="Times New Roman"/>
                <w:sz w:val="13"/>
                <w:szCs w:val="13"/>
                <w:color w:val="0000FF"/>
                <w:w w:val="94"/>
              </w:rPr>
              <w:t>23,522</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6"/>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23,522</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57,100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03/31/2026</w:t>
            </w:r>
          </w:p>
        </w:tc>
        <w:tc>
          <w:tcPr>
            <w:tcW w:w="1040" w:type="dxa"/>
            <w:vAlign w:val="bottom"/>
          </w:tcPr>
          <w:p>
            <w:pPr>
              <w:spacing w:after="0"/>
              <w:rPr>
                <w:sz w:val="11"/>
                <w:szCs w:val="11"/>
                <w:color w:val="auto"/>
              </w:rPr>
            </w:pPr>
          </w:p>
        </w:tc>
        <w:tc>
          <w:tcPr>
            <w:tcW w:w="800" w:type="dxa"/>
            <w:vAlign w:val="bottom"/>
            <w:gridSpan w:val="2"/>
          </w:tcPr>
          <w:p>
            <w:pPr>
              <w:jc w:val="center"/>
              <w:ind w:right="317"/>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11"/>
                <w:szCs w:val="11"/>
                <w:color w:val="auto"/>
              </w:rPr>
            </w:pPr>
          </w:p>
        </w:tc>
        <w:tc>
          <w:tcPr>
            <w:tcW w:w="480" w:type="dxa"/>
            <w:vAlign w:val="bottom"/>
          </w:tcPr>
          <w:p>
            <w:pPr>
              <w:jc w:val="center"/>
              <w:ind w:right="79"/>
              <w:spacing w:after="0" w:line="138" w:lineRule="exact"/>
              <w:rPr>
                <w:sz w:val="20"/>
                <w:szCs w:val="20"/>
                <w:color w:val="auto"/>
              </w:rPr>
            </w:pPr>
            <w:r>
              <w:rPr>
                <w:rFonts w:ascii="Times New Roman" w:cs="Times New Roman" w:eastAsia="Times New Roman" w:hAnsi="Times New Roman"/>
                <w:sz w:val="13"/>
                <w:szCs w:val="13"/>
                <w:color w:val="0000FF"/>
                <w:w w:val="94"/>
              </w:rPr>
              <w:t>57,100</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6"/>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ind w:right="4"/>
              <w:spacing w:after="0" w:line="138" w:lineRule="exact"/>
              <w:rPr>
                <w:sz w:val="20"/>
                <w:szCs w:val="20"/>
                <w:color w:val="auto"/>
              </w:rPr>
            </w:pPr>
            <w:r>
              <w:rPr>
                <w:rFonts w:ascii="Times New Roman" w:cs="Times New Roman" w:eastAsia="Times New Roman" w:hAnsi="Times New Roman"/>
                <w:sz w:val="13"/>
                <w:szCs w:val="13"/>
                <w:color w:val="0000FF"/>
                <w:w w:val="94"/>
              </w:rPr>
              <w:t>114,200</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5,811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03/31/2026</w:t>
            </w:r>
          </w:p>
        </w:tc>
        <w:tc>
          <w:tcPr>
            <w:tcW w:w="1040" w:type="dxa"/>
            <w:vAlign w:val="bottom"/>
          </w:tcPr>
          <w:p>
            <w:pPr>
              <w:spacing w:after="0"/>
              <w:rPr>
                <w:sz w:val="11"/>
                <w:szCs w:val="11"/>
                <w:color w:val="auto"/>
              </w:rPr>
            </w:pPr>
          </w:p>
        </w:tc>
        <w:tc>
          <w:tcPr>
            <w:tcW w:w="800" w:type="dxa"/>
            <w:vAlign w:val="bottom"/>
            <w:gridSpan w:val="2"/>
          </w:tcPr>
          <w:p>
            <w:pPr>
              <w:jc w:val="center"/>
              <w:ind w:right="317"/>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11"/>
                <w:szCs w:val="11"/>
                <w:color w:val="auto"/>
              </w:rPr>
            </w:pPr>
          </w:p>
        </w:tc>
        <w:tc>
          <w:tcPr>
            <w:tcW w:w="480" w:type="dxa"/>
            <w:vAlign w:val="bottom"/>
          </w:tcPr>
          <w:p>
            <w:pPr>
              <w:jc w:val="center"/>
              <w:ind w:right="59"/>
              <w:spacing w:after="0" w:line="138" w:lineRule="exact"/>
              <w:rPr>
                <w:sz w:val="20"/>
                <w:szCs w:val="20"/>
                <w:color w:val="auto"/>
              </w:rPr>
            </w:pPr>
            <w:r>
              <w:rPr>
                <w:rFonts w:ascii="Times New Roman" w:cs="Times New Roman" w:eastAsia="Times New Roman" w:hAnsi="Times New Roman"/>
                <w:sz w:val="13"/>
                <w:szCs w:val="13"/>
                <w:color w:val="0000FF"/>
                <w:w w:val="95"/>
              </w:rPr>
              <w:t>5,811</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6"/>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1"/>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101,433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03/31/2026</w:t>
            </w:r>
          </w:p>
        </w:tc>
        <w:tc>
          <w:tcPr>
            <w:tcW w:w="1040" w:type="dxa"/>
            <w:vAlign w:val="bottom"/>
          </w:tcPr>
          <w:p>
            <w:pPr>
              <w:spacing w:after="0"/>
              <w:rPr>
                <w:sz w:val="11"/>
                <w:szCs w:val="11"/>
                <w:color w:val="auto"/>
              </w:rPr>
            </w:pPr>
          </w:p>
        </w:tc>
        <w:tc>
          <w:tcPr>
            <w:tcW w:w="800" w:type="dxa"/>
            <w:vAlign w:val="bottom"/>
            <w:gridSpan w:val="2"/>
          </w:tcPr>
          <w:p>
            <w:pPr>
              <w:jc w:val="center"/>
              <w:ind w:right="317"/>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right"/>
              <w:ind w:right="63"/>
              <w:spacing w:after="0" w:line="138" w:lineRule="exact"/>
              <w:rPr>
                <w:sz w:val="20"/>
                <w:szCs w:val="20"/>
                <w:color w:val="auto"/>
              </w:rPr>
            </w:pPr>
            <w:r>
              <w:rPr>
                <w:rFonts w:ascii="Times New Roman" w:cs="Times New Roman" w:eastAsia="Times New Roman" w:hAnsi="Times New Roman"/>
                <w:sz w:val="13"/>
                <w:szCs w:val="13"/>
                <w:color w:val="0000FF"/>
              </w:rPr>
              <w:t>101,433</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6"/>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101,433</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gridSpan w:val="2"/>
            <w:vMerge w:val="restart"/>
          </w:tcPr>
          <w:p>
            <w:pPr>
              <w:jc w:val="center"/>
              <w:ind w:right="317"/>
              <w:spacing w:after="0" w:line="200" w:lineRule="exact"/>
              <w:rPr>
                <w:sz w:val="20"/>
                <w:szCs w:val="20"/>
                <w:color w:val="auto"/>
              </w:rPr>
            </w:pPr>
            <w:r>
              <w:rPr>
                <w:rFonts w:ascii="Times New Roman" w:cs="Times New Roman" w:eastAsia="Times New Roman" w:hAnsi="Times New Roman"/>
                <w:sz w:val="23"/>
                <w:szCs w:val="23"/>
                <w:color w:val="0000FF"/>
                <w:w w:val="96"/>
                <w:vertAlign w:val="subscript"/>
              </w:rPr>
              <w:t>A</w:t>
            </w:r>
            <w:r>
              <w:rPr>
                <w:rFonts w:ascii="Times New Roman" w:cs="Times New Roman" w:eastAsia="Times New Roman" w:hAnsi="Times New Roman"/>
                <w:sz w:val="10"/>
                <w:szCs w:val="10"/>
                <w:color w:val="008000"/>
                <w:w w:val="96"/>
              </w:rPr>
              <w:t>(8)</w:t>
            </w: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(9)(10)(11)(12)</w:t>
            </w: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56,660</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2.52</w:t>
            </w:r>
          </w:p>
        </w:tc>
        <w:tc>
          <w:tcPr>
            <w:tcW w:w="10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03/31/2026</w:t>
            </w:r>
          </w:p>
        </w:tc>
        <w:tc>
          <w:tcPr>
            <w:tcW w:w="10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00" w:type="dxa"/>
            <w:vAlign w:val="bottom"/>
            <w:vMerge w:val="restart"/>
          </w:tcPr>
          <w:p>
            <w:pPr>
              <w:jc w:val="right"/>
              <w:ind w:right="103"/>
              <w:spacing w:after="0" w:line="138" w:lineRule="exact"/>
              <w:rPr>
                <w:sz w:val="20"/>
                <w:szCs w:val="20"/>
                <w:color w:val="auto"/>
              </w:rPr>
            </w:pPr>
            <w:r>
              <w:rPr>
                <w:rFonts w:ascii="Times New Roman" w:cs="Times New Roman" w:eastAsia="Times New Roman" w:hAnsi="Times New Roman"/>
                <w:sz w:val="13"/>
                <w:szCs w:val="13"/>
                <w:color w:val="0000FF"/>
              </w:rPr>
              <w:t>56,660</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03/31/2036</w:t>
            </w:r>
          </w:p>
        </w:tc>
        <w:tc>
          <w:tcPr>
            <w:tcW w:w="5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36"/>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56,660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-3434080</wp:posOffset>
            </wp:positionV>
            <wp:extent cx="28575" cy="3439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4397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21" w:lineRule="exact"/>
        <w:rPr>
          <w:rFonts w:ascii="Times New Roman" w:cs="Times New Roman" w:eastAsia="Times New Roman" w:hAnsi="Times New Roman"/>
          <w:sz w:val="13"/>
          <w:szCs w:val="13"/>
          <w:color w:val="008000"/>
        </w:rPr>
      </w:pPr>
    </w:p>
    <w:p>
      <w:pPr>
        <w:ind w:left="40" w:right="16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$2.52 per share, the closing price of Class A common stock on March 31, 2026.</w:t>
      </w:r>
    </w:p>
    <w:p>
      <w:pPr>
        <w:spacing w:after="0" w:line="21" w:lineRule="exact"/>
        <w:rPr>
          <w:rFonts w:ascii="Times New Roman" w:cs="Times New Roman" w:eastAsia="Times New Roman" w:hAnsi="Times New Roman"/>
          <w:sz w:val="13"/>
          <w:szCs w:val="13"/>
          <w:color w:val="008000"/>
        </w:rPr>
      </w:pPr>
    </w:p>
    <w:p>
      <w:pPr>
        <w:jc w:val="both"/>
        <w:ind w:left="40" w:right="20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the Reporting Person was granted 242,111 restricted stock units ("RSUs") pursuant to the terms of the Issuer's 2022 Omnibus Equity Incentive Plan (the "Plan"). RSUs were scheduled to vest in three (3) equal installments on each of the following dates: (i) March 31, 2024, (ii) March 31, 2025, and (iii) March 31, 2026, provided that the Reporting Person continues to provide services to the Issuer through the applicable vesting date. Each restricted stock unit represents the right to receive, at settlement, one share of Class A common stock.</w:t>
      </w:r>
    </w:p>
    <w:p>
      <w:pPr>
        <w:spacing w:after="0" w:line="24" w:lineRule="exact"/>
        <w:rPr>
          <w:rFonts w:ascii="Times New Roman" w:cs="Times New Roman" w:eastAsia="Times New Roman" w:hAnsi="Times New Roman"/>
          <w:sz w:val="13"/>
          <w:szCs w:val="13"/>
          <w:color w:val="008000"/>
        </w:rPr>
      </w:pPr>
    </w:p>
    <w:p>
      <w:pPr>
        <w:jc w:val="both"/>
        <w:ind w:left="40" w:right="22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2024, the Reporting Person was granted 70,565 restricted stock units ("RSUs") pursuant to the terms of the Issuer's 2022 Omnibus Equity Incentive Plan (the "Plan"). RSUs were scheduled to vest in three (3) equal installments on each of the following dates: (i) March 31, 2025, (ii) March 31, 2026, and (iii) March 31, 2027, provided that the Reporting Person continues to provide services to the Issuer through the applicable vesting date. Each restricted stock unit represents the right to receive, at settlement, one share of Class A common stock.</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March 31, 2025, the Reporting Person was granted 171,300 restricted stock units ("RSUs") pursuant to the terms of the Issuer's 2022 Omnibus Equity Incentive Plan (the "Plan"). RSUs were scheduled to vest in</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right="20"/>
        <w:spacing w:after="0" w:line="244" w:lineRule="auto"/>
        <w:rPr>
          <w:sz w:val="20"/>
          <w:szCs w:val="20"/>
          <w:color w:val="auto"/>
        </w:rPr>
      </w:pPr>
      <w:r>
        <w:rPr>
          <w:rFonts w:ascii="Times New Roman" w:cs="Times New Roman" w:eastAsia="Times New Roman" w:hAnsi="Times New Roman"/>
          <w:sz w:val="13"/>
          <w:szCs w:val="13"/>
          <w:color w:val="008000"/>
        </w:rPr>
        <w:t>three (3) equal installments on each of the following dates: (i) March 31, 2026, (ii) March 31, 2027, and (iii) March 31, 2028, provided that the Reporting Person continues to provide services to the Issuer through the applicable vesting date. Each restricted stock unit represents the right to receive, at settlement, one share of Class A common stock.</w:t>
      </w:r>
    </w:p>
    <w:p>
      <w:pPr>
        <w:spacing w:after="0" w:line="22" w:lineRule="exact"/>
        <w:rPr>
          <w:sz w:val="20"/>
          <w:szCs w:val="20"/>
          <w:color w:val="auto"/>
        </w:rPr>
      </w:pPr>
    </w:p>
    <w:p>
      <w:pPr>
        <w:ind w:left="2" w:right="80" w:hanging="2"/>
        <w:spacing w:after="0" w:line="23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the Reporting Person was awarded a target number of performance-based restricted stock units ("PRSUs"), subject to satisfaction of performance conditions as determined by the Board of Directors of OPAL Fuels Inc. Each PRSU represented the right to receive, at settlement, one share of Class A common stock. The amount shown represents the actual number of units earned by the Reporting Person pursuant to the satisfaction of performance conditions.</w:t>
      </w:r>
    </w:p>
    <w:p>
      <w:pPr>
        <w:spacing w:after="0" w:line="24" w:lineRule="exact"/>
        <w:rPr>
          <w:rFonts w:ascii="Times New Roman" w:cs="Times New Roman" w:eastAsia="Times New Roman" w:hAnsi="Times New Roman"/>
          <w:sz w:val="13"/>
          <w:szCs w:val="13"/>
          <w:color w:val="008000"/>
        </w:rPr>
      </w:pPr>
    </w:p>
    <w:p>
      <w:pPr>
        <w:ind w:left="2" w:right="100" w:hanging="2"/>
        <w:spacing w:after="0" w:line="23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2026, the Reporting Person was granted 101,433 RSUs pursuant to the Plan. RSUs are scheduled to vest in three (3) equal installments on each of the following dates: (i) March 31, 2027, (ii) March 31, 2028, and (iii) March 31, 2029, provided that the Reporting Person continues to provide services to the Issuer through the applicable vesting date. Each restricted stock unit represents the right to receive, at settlement, one share of Class A common stock.</w:t>
      </w:r>
    </w:p>
    <w:p>
      <w:pPr>
        <w:spacing w:after="0" w:line="24"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Issuer's 2022 Omnibus Equity Incentive Plan (the "Plan").</w:t>
      </w:r>
    </w:p>
    <w:p>
      <w:pPr>
        <w:spacing w:after="0" w:line="38" w:lineRule="exact"/>
        <w:rPr>
          <w:rFonts w:ascii="Times New Roman" w:cs="Times New Roman" w:eastAsia="Times New Roman" w:hAnsi="Times New Roman"/>
          <w:sz w:val="13"/>
          <w:szCs w:val="13"/>
          <w:color w:val="008000"/>
        </w:rPr>
      </w:pPr>
    </w:p>
    <w:p>
      <w:pPr>
        <w:jc w:val="both"/>
        <w:ind w:left="2" w:right="240" w:hanging="2"/>
        <w:spacing w:after="0" w:line="23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at an exercise price of $2.52 per share, which was the volume weighted average price of the Issuer's Class A common stock for the five days immediately preceding March 31, 2026, as quoted on the Nasdaq Stock Market. The Option vests in three (3) equal installments on each of the following dates: (i) March 31, 2027, (ii) March 31, 2028, and (iii) March 31, 2029, provided, that the Reporting Person continues to provide services to the Issuer through the applicable vesting date.</w:t>
      </w:r>
    </w:p>
    <w:p>
      <w:pPr>
        <w:spacing w:after="0" w:line="24" w:lineRule="exact"/>
        <w:rPr>
          <w:rFonts w:ascii="Times New Roman" w:cs="Times New Roman" w:eastAsia="Times New Roman" w:hAnsi="Times New Roman"/>
          <w:sz w:val="13"/>
          <w:szCs w:val="13"/>
          <w:color w:val="008000"/>
        </w:rPr>
      </w:pPr>
    </w:p>
    <w:p>
      <w:pPr>
        <w:ind w:left="2" w:hanging="2"/>
        <w:spacing w:after="0" w:line="244"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21" w:lineRule="exact"/>
        <w:rPr>
          <w:rFonts w:ascii="Times New Roman" w:cs="Times New Roman" w:eastAsia="Times New Roman" w:hAnsi="Times New Roman"/>
          <w:sz w:val="13"/>
          <w:szCs w:val="13"/>
          <w:color w:val="008000"/>
        </w:rPr>
      </w:pPr>
    </w:p>
    <w:p>
      <w:pPr>
        <w:ind w:left="2" w:right="220" w:hanging="2"/>
        <w:spacing w:after="0" w:line="309" w:lineRule="auto"/>
        <w:tabs>
          <w:tab w:leader="none" w:pos="186"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sectPr>
          <w:pgSz w:w="11900" w:h="16838" w:orient="portrait"/>
          <w:cols w:equalWidth="0" w:num="1">
            <w:col w:w="10842"/>
          </w:cols>
          <w:pgMar w:left="498" w:top="127" w:right="559" w:bottom="1440" w:gutter="0" w:footer="0" w:header="0"/>
        </w:sectPr>
      </w:pPr>
    </w:p>
    <w:p>
      <w:pPr>
        <w:ind w:left="2"/>
        <w:spacing w:after="0"/>
        <w:rPr>
          <w:sz w:val="20"/>
          <w:szCs w:val="20"/>
          <w:color w:val="auto"/>
        </w:rPr>
      </w:pPr>
      <w:r>
        <w:rPr>
          <w:rFonts w:ascii="Times New Roman" w:cs="Times New Roman" w:eastAsia="Times New Roman" w:hAnsi="Times New Roman"/>
          <w:sz w:val="13"/>
          <w:szCs w:val="13"/>
          <w:color w:val="008000"/>
        </w:rPr>
        <w:t>12. Upon the occurrence of a termination by reason of the Reporting Person's death, any unvested portion of the Option shall accelerate and vest in full.</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John Coghlin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-11430</wp:posOffset>
            </wp:positionV>
            <wp:extent cx="177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71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0"/>
          <w:szCs w:val="20"/>
          <w:color w:val="auto"/>
        </w:rPr>
      </w:pPr>
    </w:p>
    <w:p>
      <w:pPr>
        <w:sectPr>
          <w:pgSz w:w="11900" w:h="16838" w:orient="portrait"/>
          <w:cols w:equalWidth="0" w:num="2">
            <w:col w:w="8662" w:space="100"/>
            <w:col w:w="2080"/>
          </w:cols>
          <w:pgMar w:left="498" w:top="127" w:right="559" w:bottom="1440" w:gutter="0" w:footer="0" w:header="0"/>
          <w:type w:val="continuous"/>
        </w:sect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00" w:hanging="2"/>
        <w:spacing w:after="0" w:line="356" w:lineRule="auto"/>
        <w:tabs>
          <w:tab w:leader="none" w:pos="135"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2"/>
      </w:cols>
      <w:pgMar w:left="498" w:top="12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269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2026-04-02T15:51:43Z</dcterms:created>
  <dcterms:modified xsi:type="dcterms:W3CDTF">2026-04-02T15:51:43Z</dcterms:modified>
</cp:coreProperties>
</file>