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Filed pursuant to Rule 424(b)(3)</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Statement No. 333-266757</w:t>
      </w:r>
    </w:p>
    <w:p>
      <w:pPr>
        <w:pStyle w:val="TextBody"/>
        <w:bidi w:val="0"/>
        <w:spacing w:lineRule="auto" w:line="240" w:before="120" w:after="240"/>
        <w:jc w:val="center"/>
        <w:rPr/>
      </w:pPr>
      <w:r>
        <w:rPr>
          <w:color w:val="000000"/>
        </w:rPr>
        <w:t xml:space="preserve">  </w:t>
      </w:r>
      <w:r>
        <w:rPr>
          <w:rFonts w:ascii="Times New Roman;sans-serif" w:hAnsi="Times New Roman;sans-serif"/>
          <w:b/>
          <w:color w:val="000000"/>
          <w:sz w:val="20"/>
        </w:rPr>
        <w:t>PROSPECTUS</w:t>
      </w:r>
    </w:p>
    <w:p>
      <w:pPr>
        <w:pStyle w:val="TextBody"/>
        <w:bidi w:val="0"/>
        <w:spacing w:before="0" w:after="0"/>
        <w:jc w:val="center"/>
        <w:rPr/>
      </w:pPr>
      <w:r>
        <w:rPr/>
        <w:drawing>
          <wp:inline distT="0" distB="0" distL="0" distR="0">
            <wp:extent cx="18764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4381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120" w:after="24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UP TO 166,318,246 SHARES OF CLASS A COMMON STOCK</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This prospectus relates to the offer and sale from time to time by the selling securityholders named in this prospectus (the “</w:t>
      </w:r>
      <w:r>
        <w:rPr>
          <w:rFonts w:ascii="Times New Roman;sans-serif" w:hAnsi="Times New Roman;sans-serif"/>
          <w:b/>
          <w:i/>
          <w:color w:val="000000"/>
          <w:sz w:val="20"/>
        </w:rPr>
        <w:t>Selling Holders</w:t>
      </w:r>
      <w:r>
        <w:rPr>
          <w:color w:val="000000"/>
        </w:rPr>
        <w:t>”</w:t>
      </w:r>
      <w:r>
        <w:rPr>
          <w:rFonts w:ascii="Times New Roman;sans-serif" w:hAnsi="Times New Roman;sans-serif"/>
          <w:b w:val="false"/>
          <w:color w:val="000000"/>
          <w:sz w:val="20"/>
        </w:rPr>
        <w:t>) of:</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 10,838,609 shares of Class A common stock issued under the Business Combination Agreement, dated as of December 2, 2021 (as the same has been or may be amended, modified, supplemented or waived from time to time, the “</w:t>
      </w:r>
      <w:r>
        <w:rPr>
          <w:rFonts w:ascii="Times New Roman;sans-serif" w:hAnsi="Times New Roman;sans-serif"/>
          <w:b/>
          <w:i/>
          <w:color w:val="000000"/>
          <w:sz w:val="20"/>
        </w:rPr>
        <w:t>BCA</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i/>
          <w:color w:val="000000"/>
          <w:sz w:val="20"/>
        </w:rPr>
        <w:t>Business Combination Agreement</w:t>
      </w:r>
      <w:r>
        <w:rPr>
          <w:color w:val="000000"/>
        </w:rPr>
        <w:t>”</w:t>
      </w:r>
      <w:r>
        <w:rPr>
          <w:rFonts w:ascii="Times New Roman;sans-serif" w:hAnsi="Times New Roman;sans-serif"/>
          <w:b w:val="false"/>
          <w:color w:val="000000"/>
          <w:sz w:val="20"/>
        </w:rPr>
        <w:t>), by and among ArcLight Clean Transition Corp. II (“</w:t>
      </w:r>
      <w:r>
        <w:rPr>
          <w:rFonts w:ascii="Times New Roman;sans-serif" w:hAnsi="Times New Roman;sans-serif"/>
          <w:b/>
          <w:i/>
          <w:color w:val="000000"/>
          <w:sz w:val="20"/>
        </w:rPr>
        <w:t>ArcLight</w:t>
      </w:r>
      <w:r>
        <w:rPr>
          <w:color w:val="000000"/>
        </w:rPr>
        <w:t>”</w:t>
      </w:r>
      <w:r>
        <w:rPr>
          <w:rFonts w:ascii="Times New Roman;sans-serif" w:hAnsi="Times New Roman;sans-serif"/>
          <w:b w:val="false"/>
          <w:color w:val="000000"/>
          <w:sz w:val="20"/>
        </w:rPr>
        <w:t>), 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and Opal Holdco LLC (“</w:t>
      </w:r>
      <w:r>
        <w:rPr>
          <w:rFonts w:ascii="Times New Roman;sans-serif" w:hAnsi="Times New Roman;sans-serif"/>
          <w:b/>
          <w:i/>
          <w:color w:val="000000"/>
          <w:sz w:val="20"/>
        </w:rPr>
        <w:t>OPAL Holdco</w:t>
      </w:r>
      <w:r>
        <w:rPr>
          <w:color w:val="000000"/>
        </w:rPr>
        <w:t>”</w:t>
      </w:r>
      <w:r>
        <w:rPr>
          <w:rFonts w:ascii="Times New Roman;sans-serif" w:hAnsi="Times New Roman;sans-serif"/>
          <w:b w:val="false"/>
          <w:color w:val="000000"/>
          <w:sz w:val="20"/>
        </w:rPr>
        <w:t>) to ARCC Beacon LLC (“</w:t>
      </w:r>
      <w:r>
        <w:rPr>
          <w:rFonts w:ascii="Times New Roman;sans-serif" w:hAnsi="Times New Roman;sans-serif"/>
          <w:b/>
          <w:i/>
          <w:color w:val="000000"/>
          <w:sz w:val="20"/>
        </w:rPr>
        <w:t>Ares</w:t>
      </w:r>
      <w:r>
        <w:rPr>
          <w:color w:val="000000"/>
        </w:rPr>
        <w:t>”</w:t>
      </w:r>
      <w:r>
        <w:rPr>
          <w:rFonts w:ascii="Times New Roman;sans-serif" w:hAnsi="Times New Roman;sans-serif"/>
          <w:b w:val="false"/>
          <w:color w:val="000000"/>
          <w:sz w:val="20"/>
        </w:rPr>
        <w:t>),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and certain former directors of ArcLight originally acquired by such parties for an effective purchase price of approximately $0.003 per share;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(ii) 144,399,037 shares of Class A common stock issuable upon the conversion of Class C common stock issuable to Opal Holdco and Hillman RNG Investments, LLC (the “</w:t>
      </w:r>
      <w:r>
        <w:rPr>
          <w:rFonts w:ascii="Times New Roman;sans-serif" w:hAnsi="Times New Roman;sans-serif"/>
          <w:b/>
          <w:i/>
          <w:color w:val="000000"/>
          <w:sz w:val="20"/>
        </w:rPr>
        <w:t>Opco Common Equityholders</w:t>
      </w:r>
      <w:r>
        <w:rPr>
          <w:color w:val="000000"/>
        </w:rPr>
        <w:t>”</w:t>
      </w:r>
      <w:r>
        <w:rPr>
          <w:rFonts w:ascii="Times New Roman;sans-serif" w:hAnsi="Times New Roman;sans-serif"/>
          <w:b w:val="false"/>
          <w:color w:val="000000"/>
          <w:sz w:val="20"/>
        </w:rPr>
        <w:t>) upon the exchange of Opco Common Units (as defined below) and the cancellation of an equal number of shares of Class D common stock (as defined in this prospectus) originally issued as consideration in connection with the Business Combination at a per share value of $10.00 per share; and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(iii) 11,080,600 shares of Class A common stock originally issued and sold to certain of the Selling Holders pursuant to subscription agreements dated as of December 2, 2021 (collectively, the “</w:t>
      </w:r>
      <w:r>
        <w:rPr>
          <w:rFonts w:ascii="Times New Roman;sans-serif" w:hAnsi="Times New Roman;sans-serif"/>
          <w:b/>
          <w:i/>
          <w:color w:val="000000"/>
          <w:sz w:val="20"/>
        </w:rPr>
        <w:t>PIPE Investors</w:t>
      </w:r>
      <w:r>
        <w:rPr>
          <w:color w:val="000000"/>
        </w:rPr>
        <w:t>”</w:t>
      </w:r>
      <w:r>
        <w:rPr>
          <w:rFonts w:ascii="Times New Roman;sans-serif" w:hAnsi="Times New Roman;sans-serif"/>
          <w:b w:val="false"/>
          <w:color w:val="000000"/>
          <w:sz w:val="20"/>
        </w:rPr>
        <w:t>) at a purchase price of $10.00 per share.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In connection with the Business Combination, holders of 27,364,124 of Arclight’s Class A ordinary shares, or 87.94% of the shares with redemption rights, exercised their right to redeem their shares for cash at a redemption price of approximately $10.00 per share, for an aggregate redemption amount of $274,186,522. The shares of Class A common stock being offered for resale pursuant to this prospectus by the Selling Holders represent approximately 601% of shares of Class A common stock outstanding of the Company as of April 28, 2023 (without giving effect to the issuance of shares upon the conversion of Class C common stock to be issued to the Opco Common Equityholders upon the exchange by them of Opco Common Units). Given the substantial number of shares of Class A common stock being registered for potential resale by Selling Holders pursuant to this prospectus, the sale of shares by the Selling Holders, or the perception in the market that the selling Holders of a large number of shares intend to sell shares, could increase the volatility of the market price of our Class A common stock or result in a significant decline in the public trading price of our Class A common stock. Even if our trading price is significantly below $10.00, the offering price for the units offered in Arclight’s IPO, certain of the Selling Holders, including the Sponsor, may still have an incentive to sell shares of our Class A common stock because they purchased the shares at prices lower than the public investors or the current trading price of our Class A common stock. For example, based on the closing price of our Class A common stock of $7.99 as of April 28, 2023, Sponsor and other holders of the shares of our Class A common stock that were originally purchased by Arclight’s Sponsor in a private placement prior to Arclight’s initial public offering (the “</w:t>
      </w:r>
      <w:r>
        <w:rPr>
          <w:rFonts w:ascii="Times New Roman;sans-serif" w:hAnsi="Times New Roman;sans-serif"/>
          <w:b/>
          <w:i/>
          <w:color w:val="000000"/>
          <w:sz w:val="20"/>
        </w:rPr>
        <w:t>Founder Shares</w:t>
      </w:r>
      <w:r>
        <w:rPr>
          <w:color w:val="000000"/>
        </w:rPr>
        <w:t>”</w:t>
      </w:r>
      <w:r>
        <w:rPr>
          <w:rFonts w:ascii="Times New Roman;sans-serif" w:hAnsi="Times New Roman;sans-serif"/>
          <w:b w:val="false"/>
          <w:color w:val="000000"/>
          <w:sz w:val="20"/>
        </w:rPr>
        <w:t>) would experience a potential profit of approximately $7.987 per share, or approximately $11,970,948 in the aggregate.</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shares of Class A common stock by the Selling Holders pursuant to this prospectus. Our registration of the securities covered by this prospectus does not mean that either we or the Selling Holders will issue, offer or sell, as applicable, any of the Class A common stock. The Selling Holders may offer and sell the securities covered by this prospectus in a number of different ways and at varying prices. We provide more information about how the Selling Holders may sell the shares in the section entitled “Plan of Distribution.”</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prospectus and any prospectus supplement or amendment carefully before you invest in our Class A common stock.</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the Nasdaq Capital Market (“Nasdaq”) under the symbol “OPAL.” On April 28, 2023, the closing price of our Class A common stock was $7.99 per share.</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are an “emerging growth company,” as that term is defined under the federal securities laws and, as such, are subject to certain reduced public company reporting requirements.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Investing in our securities involves risks that are described in the “Risk Factors” section beginning on page 18 of this prospectus.</w:t>
      </w:r>
    </w:p>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May 15, 2023.</w:t>
      </w:r>
    </w:p>
    <w:p>
      <w:pPr>
        <w:pStyle w:val="TextBody"/>
        <w:bidi w:val="0"/>
        <w:spacing w:lineRule="auto" w:line="240"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2" name="Frame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120" w:after="24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40" w:before="0" w:after="0"/>
        <w:jc w:val="center"/>
        <w:rPr>
          <w:color w:val="000000"/>
        </w:rPr>
      </w:pPr>
      <w:r>
        <w:rPr>
          <w:color w:val="000000"/>
        </w:rPr>
        <w:t> </w:t>
      </w:r>
    </w:p>
    <w:tbl>
      <w:tblPr>
        <w:tblW w:w="10020" w:type="dxa"/>
        <w:jc w:val="left"/>
        <w:tblInd w:w="0" w:type="dxa"/>
        <w:tblLayout w:type="fixed"/>
        <w:tblCellMar>
          <w:top w:w="28" w:type="dxa"/>
          <w:left w:w="28" w:type="dxa"/>
          <w:bottom w:w="28" w:type="dxa"/>
          <w:right w:w="28" w:type="dxa"/>
        </w:tblCellMar>
      </w:tblPr>
      <w:tblGrid>
        <w:gridCol w:w="3462"/>
        <w:gridCol w:w="3040"/>
        <w:gridCol w:w="3052"/>
        <w:gridCol w:w="136"/>
        <w:gridCol w:w="136"/>
        <w:gridCol w:w="194"/>
      </w:tblGrid>
      <w:tr>
        <w:trPr/>
        <w:tc>
          <w:tcPr>
            <w:tcW w:w="3462"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4">
              <w:r>
                <w:rPr>
                  <w:rStyle w:val="InternetLink"/>
                  <w:rFonts w:ascii="Times New Roman;sans-serif" w:hAnsi="Times New Roman;sans-serif"/>
                  <w:b w:val="false"/>
                  <w:color w:val="000000"/>
                  <w:sz w:val="20"/>
                  <w:u w:val="single"/>
                </w:rPr>
                <w:t>TRADEMARKS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4">
              <w:r>
                <w:rPr>
                  <w:rStyle w:val="InternetLink"/>
                  <w:rFonts w:ascii="Times New Roman;sans-serif" w:hAnsi="Times New Roman;sans-serif"/>
                  <w:b w:val="false"/>
                  <w:strike w:val="false"/>
                  <w:dstrike w:val="false"/>
                  <w:color w:val="000000"/>
                  <w:sz w:val="20"/>
                  <w:u w:val="none"/>
                  <w:effect w:val="none"/>
                </w:rPr>
                <w:t>3</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7">
              <w:r>
                <w:rPr>
                  <w:rStyle w:val="InternetLink"/>
                  <w:rFonts w:ascii="Times New Roman;sans-serif" w:hAnsi="Times New Roman;sans-serif"/>
                  <w:b w:val="false"/>
                  <w:color w:val="000000"/>
                  <w:sz w:val="20"/>
                  <w:u w:val="single"/>
                </w:rPr>
                <w:t>SELECTED DEFINITIONS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7">
              <w:r>
                <w:rPr>
                  <w:rStyle w:val="InternetLink"/>
                  <w:rFonts w:ascii="Times New Roman;sans-serif" w:hAnsi="Times New Roman;sans-serif"/>
                  <w:b w:val="false"/>
                  <w:strike w:val="false"/>
                  <w:dstrike w:val="false"/>
                  <w:color w:val="000000"/>
                  <w:sz w:val="20"/>
                  <w:u w:val="none"/>
                  <w:effect w:val="none"/>
                </w:rPr>
                <w:t>3</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10">
              <w:r>
                <w:rPr>
                  <w:rStyle w:val="InternetLink"/>
                  <w:rFonts w:ascii="Times New Roman;sans-serif" w:hAnsi="Times New Roman;sans-serif"/>
                  <w:b w:val="false"/>
                  <w:color w:val="000000"/>
                  <w:sz w:val="20"/>
                  <w:u w:val="single"/>
                </w:rPr>
                <w:t>CAUTIONARY STATEMENT REGARDING FORWARD-LOOKING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10">
              <w:r>
                <w:rPr>
                  <w:rStyle w:val="InternetLink"/>
                  <w:rFonts w:ascii="Times New Roman;sans-serif" w:hAnsi="Times New Roman;sans-serif"/>
                  <w:b w:val="false"/>
                  <w:strike w:val="false"/>
                  <w:dstrike w:val="false"/>
                  <w:color w:val="000000"/>
                  <w:sz w:val="20"/>
                  <w:u w:val="none"/>
                  <w:effect w:val="none"/>
                </w:rPr>
                <w:t>7</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13">
              <w:r>
                <w:rPr>
                  <w:rStyle w:val="InternetLink"/>
                  <w:rFonts w:ascii="Times New Roman;sans-serif" w:hAnsi="Times New Roman;sans-serif"/>
                  <w:b w:val="false"/>
                  <w:color w:val="000000"/>
                  <w:sz w:val="20"/>
                  <w:u w:val="single"/>
                </w:rPr>
                <w:t>SUMMARY</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13">
              <w:r>
                <w:rPr>
                  <w:rStyle w:val="InternetLink"/>
                  <w:rFonts w:ascii="Times New Roman;sans-serif" w:hAnsi="Times New Roman;sans-serif"/>
                  <w:b w:val="false"/>
                  <w:strike w:val="false"/>
                  <w:dstrike w:val="false"/>
                  <w:color w:val="000000"/>
                  <w:sz w:val="20"/>
                  <w:u w:val="none"/>
                  <w:effect w:val="none"/>
                </w:rPr>
                <w:t>8</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16">
              <w:r>
                <w:rPr>
                  <w:rStyle w:val="InternetLink"/>
                  <w:rFonts w:ascii="Times New Roman;sans-serif" w:hAnsi="Times New Roman;sans-serif"/>
                  <w:b w:val="false"/>
                  <w:color w:val="000000"/>
                  <w:sz w:val="20"/>
                  <w:u w:val="single"/>
                </w:rPr>
                <w:t>MARKET PRICE, TICKER SYMBOL, AND DIVIDEND INFORMATION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16">
              <w:r>
                <w:rPr>
                  <w:rStyle w:val="InternetLink"/>
                  <w:rFonts w:ascii="Times New Roman;sans-serif" w:hAnsi="Times New Roman;sans-serif"/>
                  <w:b w:val="false"/>
                  <w:strike w:val="false"/>
                  <w:dstrike w:val="false"/>
                  <w:color w:val="000000"/>
                  <w:sz w:val="20"/>
                  <w:u w:val="none"/>
                  <w:effect w:val="none"/>
                </w:rPr>
                <w:t>16</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19">
              <w:r>
                <w:rPr>
                  <w:rStyle w:val="InternetLink"/>
                  <w:rFonts w:ascii="Times New Roman;sans-serif" w:hAnsi="Times New Roman;sans-serif"/>
                  <w:b w:val="false"/>
                  <w:color w:val="000000"/>
                  <w:sz w:val="20"/>
                  <w:u w:val="single"/>
                </w:rPr>
                <w:t>RISK FACTORS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19">
              <w:r>
                <w:rPr>
                  <w:rStyle w:val="InternetLink"/>
                  <w:rFonts w:ascii="Times New Roman;sans-serif" w:hAnsi="Times New Roman;sans-serif"/>
                  <w:b w:val="false"/>
                  <w:strike w:val="false"/>
                  <w:dstrike w:val="false"/>
                  <w:color w:val="000000"/>
                  <w:sz w:val="20"/>
                  <w:u w:val="none"/>
                  <w:effect w:val="none"/>
                </w:rPr>
                <w:t>16</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22">
              <w:r>
                <w:rPr>
                  <w:rStyle w:val="InternetLink"/>
                  <w:rFonts w:ascii="Times New Roman;sans-serif" w:hAnsi="Times New Roman;sans-serif"/>
                  <w:b w:val="false"/>
                  <w:color w:val="000000"/>
                  <w:sz w:val="20"/>
                  <w:u w:val="single"/>
                </w:rPr>
                <w:t>USE OF PROCEEDS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22">
              <w:r>
                <w:rPr>
                  <w:rStyle w:val="InternetLink"/>
                  <w:rFonts w:ascii="Times New Roman;sans-serif" w:hAnsi="Times New Roman;sans-serif"/>
                  <w:b w:val="false"/>
                  <w:strike w:val="false"/>
                  <w:dstrike w:val="false"/>
                  <w:color w:val="000000"/>
                  <w:sz w:val="20"/>
                  <w:u w:val="none"/>
                  <w:effect w:val="none"/>
                </w:rPr>
                <w:t>50</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25">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25">
              <w:r>
                <w:rPr>
                  <w:rStyle w:val="InternetLink"/>
                  <w:rFonts w:ascii="Times New Roman;sans-serif" w:hAnsi="Times New Roman;sans-serif"/>
                  <w:b w:val="false"/>
                  <w:strike w:val="false"/>
                  <w:dstrike w:val="false"/>
                  <w:color w:val="000000"/>
                  <w:sz w:val="20"/>
                  <w:u w:val="none"/>
                  <w:effect w:val="none"/>
                </w:rPr>
                <w:t>50</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28">
              <w:r>
                <w:rPr>
                  <w:rStyle w:val="InternetLink"/>
                  <w:rFonts w:ascii="Times New Roman;sans-serif" w:hAnsi="Times New Roman;sans-serif"/>
                  <w:b w:val="false"/>
                  <w:color w:val="000000"/>
                  <w:sz w:val="20"/>
                  <w:u w:val="single"/>
                </w:rPr>
                <w:t>BUSINESS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28">
              <w:r>
                <w:rPr>
                  <w:rStyle w:val="InternetLink"/>
                  <w:rFonts w:ascii="Times New Roman;sans-serif" w:hAnsi="Times New Roman;sans-serif"/>
                  <w:b w:val="false"/>
                  <w:strike w:val="false"/>
                  <w:dstrike w:val="false"/>
                  <w:color w:val="000000"/>
                  <w:sz w:val="20"/>
                  <w:u w:val="none"/>
                  <w:effect w:val="none"/>
                </w:rPr>
                <w:t>65</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31">
              <w:r>
                <w:rPr>
                  <w:rStyle w:val="InternetLink"/>
                  <w:rFonts w:ascii="Times New Roman;sans-serif" w:hAnsi="Times New Roman;sans-serif"/>
                  <w:b w:val="false"/>
                  <w:color w:val="000000"/>
                  <w:sz w:val="20"/>
                  <w:u w:val="single"/>
                </w:rPr>
                <w:t>MANAGEMENT</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31">
              <w:r>
                <w:rPr>
                  <w:rStyle w:val="InternetLink"/>
                  <w:rFonts w:ascii="Times New Roman;sans-serif" w:hAnsi="Times New Roman;sans-serif"/>
                  <w:b w:val="false"/>
                  <w:strike w:val="false"/>
                  <w:dstrike w:val="false"/>
                  <w:color w:val="000000"/>
                  <w:sz w:val="20"/>
                  <w:u w:val="none"/>
                  <w:effect w:val="none"/>
                </w:rPr>
                <w:t>77</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34">
              <w:r>
                <w:rPr>
                  <w:rStyle w:val="InternetLink"/>
                  <w:rFonts w:ascii="Times New Roman;sans-serif" w:hAnsi="Times New Roman;sans-serif"/>
                  <w:b w:val="false"/>
                  <w:color w:val="000000"/>
                  <w:sz w:val="20"/>
                  <w:u w:val="single"/>
                </w:rPr>
                <w:t>EXECUTIVE COMPENSATION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34">
              <w:r>
                <w:rPr>
                  <w:rStyle w:val="InternetLink"/>
                  <w:rFonts w:ascii="Times New Roman;sans-serif" w:hAnsi="Times New Roman;sans-serif"/>
                  <w:b w:val="false"/>
                  <w:strike w:val="false"/>
                  <w:dstrike w:val="false"/>
                  <w:color w:val="000000"/>
                  <w:sz w:val="20"/>
                  <w:u w:val="none"/>
                  <w:effect w:val="none"/>
                </w:rPr>
                <w:t>89</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37">
              <w:r>
                <w:rPr>
                  <w:rStyle w:val="InternetLink"/>
                  <w:rFonts w:ascii="Times New Roman;sans-serif" w:hAnsi="Times New Roman;sans-serif"/>
                  <w:b w:val="false"/>
                  <w:color w:val="000000"/>
                  <w:sz w:val="20"/>
                  <w:u w:val="single"/>
                </w:rPr>
                <w:t>DESCRIPTION OF SECURITIES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37">
              <w:r>
                <w:rPr>
                  <w:rStyle w:val="InternetLink"/>
                  <w:rFonts w:ascii="Times New Roman;sans-serif" w:hAnsi="Times New Roman;sans-serif"/>
                  <w:b w:val="false"/>
                  <w:strike w:val="false"/>
                  <w:dstrike w:val="false"/>
                  <w:color w:val="000000"/>
                  <w:sz w:val="20"/>
                  <w:u w:val="none"/>
                  <w:effect w:val="none"/>
                </w:rPr>
                <w:t>94</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40">
              <w:r>
                <w:rPr>
                  <w:rStyle w:val="InternetLink"/>
                  <w:rFonts w:ascii="Times New Roman;sans-serif" w:hAnsi="Times New Roman;sans-serif"/>
                  <w:b w:val="false"/>
                  <w:color w:val="000000"/>
                  <w:sz w:val="20"/>
                  <w:u w:val="single"/>
                </w:rPr>
                <w:t>BENEFICIAL OWNERSHIP</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40">
              <w:r>
                <w:rPr>
                  <w:rStyle w:val="InternetLink"/>
                  <w:rFonts w:ascii="Times New Roman;sans-serif" w:hAnsi="Times New Roman;sans-serif"/>
                  <w:b w:val="false"/>
                  <w:strike w:val="false"/>
                  <w:dstrike w:val="false"/>
                  <w:color w:val="000000"/>
                  <w:sz w:val="20"/>
                  <w:u w:val="none"/>
                  <w:effect w:val="none"/>
                </w:rPr>
                <w:t>102</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43">
              <w:r>
                <w:rPr>
                  <w:rStyle w:val="InternetLink"/>
                  <w:rFonts w:ascii="Times New Roman;sans-serif" w:hAnsi="Times New Roman;sans-serif"/>
                  <w:b w:val="false"/>
                  <w:color w:val="000000"/>
                  <w:sz w:val="20"/>
                  <w:u w:val="single"/>
                </w:rPr>
                <w:t>SELLING HOLDERS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43">
              <w:r>
                <w:rPr>
                  <w:rStyle w:val="InternetLink"/>
                  <w:rFonts w:ascii="Times New Roman;sans-serif" w:hAnsi="Times New Roman;sans-serif"/>
                  <w:b w:val="false"/>
                  <w:strike w:val="false"/>
                  <w:dstrike w:val="false"/>
                  <w:color w:val="000000"/>
                  <w:sz w:val="20"/>
                  <w:u w:val="none"/>
                  <w:effect w:val="none"/>
                </w:rPr>
                <w:t>105</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46">
              <w:r>
                <w:rPr>
                  <w:rStyle w:val="InternetLink"/>
                  <w:rFonts w:ascii="Times New Roman;sans-serif" w:hAnsi="Times New Roman;sans-serif"/>
                  <w:b w:val="false"/>
                  <w:color w:val="000000"/>
                  <w:sz w:val="20"/>
                  <w:u w:val="single"/>
                </w:rPr>
                <w:t>CERTAIN RELATIONSHIPS AND RELATED PARTY TRANSACTIONS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46">
              <w:r>
                <w:rPr>
                  <w:rStyle w:val="InternetLink"/>
                  <w:rFonts w:ascii="Times New Roman;sans-serif" w:hAnsi="Times New Roman;sans-serif"/>
                  <w:b w:val="false"/>
                  <w:strike w:val="false"/>
                  <w:dstrike w:val="false"/>
                  <w:color w:val="000000"/>
                  <w:sz w:val="20"/>
                  <w:u w:val="none"/>
                  <w:effect w:val="none"/>
                </w:rPr>
                <w:t>109</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49">
              <w:r>
                <w:rPr>
                  <w:rStyle w:val="InternetLink"/>
                  <w:rFonts w:ascii="Times New Roman;sans-serif" w:hAnsi="Times New Roman;sans-serif"/>
                  <w:b w:val="false"/>
                  <w:color w:val="000000"/>
                  <w:sz w:val="20"/>
                  <w:u w:val="single"/>
                </w:rPr>
                <w:t>UNITED STATES FEDERAL INCOME TAX CONSIDERATIONS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49">
              <w:r>
                <w:rPr>
                  <w:rStyle w:val="InternetLink"/>
                  <w:rFonts w:ascii="Times New Roman;sans-serif" w:hAnsi="Times New Roman;sans-serif"/>
                  <w:b w:val="false"/>
                  <w:strike w:val="false"/>
                  <w:dstrike w:val="false"/>
                  <w:color w:val="000000"/>
                  <w:sz w:val="20"/>
                  <w:u w:val="none"/>
                  <w:effect w:val="none"/>
                </w:rPr>
                <w:t>115</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52">
              <w:r>
                <w:rPr>
                  <w:rStyle w:val="InternetLink"/>
                  <w:rFonts w:ascii="Times New Roman;sans-serif" w:hAnsi="Times New Roman;sans-serif"/>
                  <w:b w:val="false"/>
                  <w:color w:val="000000"/>
                  <w:sz w:val="20"/>
                  <w:u w:val="single"/>
                </w:rPr>
                <w:t>PLAN OF DISTRIBUTION</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52">
              <w:r>
                <w:rPr>
                  <w:rStyle w:val="InternetLink"/>
                  <w:rFonts w:ascii="Times New Roman;sans-serif" w:hAnsi="Times New Roman;sans-serif"/>
                  <w:b w:val="false"/>
                  <w:strike w:val="false"/>
                  <w:dstrike w:val="false"/>
                  <w:color w:val="000000"/>
                  <w:sz w:val="20"/>
                  <w:u w:val="none"/>
                  <w:effect w:val="none"/>
                </w:rPr>
                <w:t>119</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55">
              <w:r>
                <w:rPr>
                  <w:rStyle w:val="InternetLink"/>
                  <w:rFonts w:ascii="Times New Roman;sans-serif" w:hAnsi="Times New Roman;sans-serif"/>
                  <w:b w:val="false"/>
                  <w:color w:val="000000"/>
                  <w:sz w:val="20"/>
                  <w:u w:val="single"/>
                </w:rPr>
                <w:t>LEGAL MATTERS</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55">
              <w:r>
                <w:rPr>
                  <w:rStyle w:val="InternetLink"/>
                  <w:rFonts w:ascii="Times New Roman;sans-serif" w:hAnsi="Times New Roman;sans-serif"/>
                  <w:b w:val="false"/>
                  <w:strike w:val="false"/>
                  <w:dstrike w:val="false"/>
                  <w:color w:val="000000"/>
                  <w:sz w:val="20"/>
                  <w:u w:val="none"/>
                  <w:effect w:val="none"/>
                </w:rPr>
                <w:t>123</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58">
              <w:r>
                <w:rPr>
                  <w:rStyle w:val="InternetLink"/>
                  <w:rFonts w:ascii="Times New Roman;sans-serif" w:hAnsi="Times New Roman;sans-serif"/>
                  <w:b w:val="false"/>
                  <w:color w:val="000000"/>
                  <w:sz w:val="20"/>
                  <w:u w:val="single"/>
                </w:rPr>
                <w:t>EXPERTS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58">
              <w:r>
                <w:rPr>
                  <w:rStyle w:val="InternetLink"/>
                  <w:rFonts w:ascii="Times New Roman;sans-serif" w:hAnsi="Times New Roman;sans-serif"/>
                  <w:b w:val="false"/>
                  <w:strike w:val="false"/>
                  <w:dstrike w:val="false"/>
                  <w:color w:val="000000"/>
                  <w:sz w:val="20"/>
                  <w:u w:val="none"/>
                  <w:effect w:val="none"/>
                </w:rPr>
                <w:t>123</w:t>
              </w:r>
            </w:hyperlink>
          </w:p>
        </w:tc>
      </w:tr>
      <w:tr>
        <w:trPr/>
        <w:tc>
          <w:tcPr>
            <w:tcW w:w="9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61">
              <w:r>
                <w:rPr>
                  <w:rStyle w:val="InternetLink"/>
                  <w:rFonts w:ascii="Times New Roman;sans-serif" w:hAnsi="Times New Roman;sans-serif"/>
                  <w:b w:val="false"/>
                  <w:color w:val="000000"/>
                  <w:sz w:val="20"/>
                  <w:u w:val="single"/>
                </w:rPr>
                <w:t>WHERE YOU CAN FIND MORE INFORMATION</w:t>
              </w:r>
            </w:hyperlink>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61">
              <w:r>
                <w:rPr>
                  <w:rStyle w:val="InternetLink"/>
                  <w:rFonts w:ascii="Times New Roman;sans-serif" w:hAnsi="Times New Roman;sans-serif"/>
                  <w:b w:val="false"/>
                  <w:strike w:val="false"/>
                  <w:dstrike w:val="false"/>
                  <w:color w:val="000000"/>
                  <w:sz w:val="20"/>
                  <w:u w:val="none"/>
                  <w:effect w:val="none"/>
                </w:rPr>
                <w:t>123</w:t>
              </w:r>
            </w:hyperlink>
          </w:p>
        </w:tc>
      </w:tr>
      <w:tr>
        <w:trPr/>
        <w:tc>
          <w:tcPr>
            <w:tcW w:w="9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c5904065ddc4f148dc2038a8fcca4d8_64">
              <w:r>
                <w:rPr>
                  <w:rStyle w:val="InternetLink"/>
                  <w:rFonts w:ascii="Times New Roman;sans-serif" w:hAnsi="Times New Roman;sans-serif"/>
                  <w:b w:val="false"/>
                  <w:color w:val="000000"/>
                  <w:sz w:val="20"/>
                  <w:u w:val="single"/>
                </w:rPr>
                <w:t>INDEX TO FINANCIAL STATEMENTS</w:t>
              </w:r>
            </w:hyperlink>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c5904065ddc4f148dc2038a8fcca4d8_64">
              <w:r>
                <w:rPr>
                  <w:rStyle w:val="InternetLink"/>
                  <w:rFonts w:ascii="Times New Roman;sans-serif" w:hAnsi="Times New Roman;sans-serif"/>
                  <w:b w:val="false"/>
                  <w:strike w:val="false"/>
                  <w:dstrike w:val="false"/>
                  <w:color w:val="000000"/>
                  <w:sz w:val="20"/>
                  <w:u w:val="none"/>
                  <w:effect w:val="none"/>
                </w:rPr>
                <w:t>124</w:t>
              </w:r>
            </w:hyperlink>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This document contains references to trademarks and service marks belonging to other entities. Solely for convenience, trademarks and trade names referred to in this prospectus may appear without the </w:t>
      </w:r>
      <w:r>
        <w:rPr>
          <w:rFonts w:ascii="Times New Roman;sans-serif" w:hAnsi="Times New Roman;sans-serif"/>
          <w:b w:val="false"/>
          <w:color w:val="000000"/>
          <w:sz w:val="16"/>
        </w:rPr>
        <w:t>®</w:t>
      </w:r>
      <w:r>
        <w:rPr>
          <w:color w:val="000000"/>
        </w:rPr>
        <w:t> </w:t>
      </w:r>
      <w:r>
        <w:rPr>
          <w:rFonts w:ascii="Times New Roman;sans-serif" w:hAnsi="Times New Roman;sans-serif"/>
          <w:b w:val="false"/>
          <w:color w:val="000000"/>
          <w:sz w:val="20"/>
        </w:rPr>
        <w:t>or </w:t>
      </w:r>
      <w:r>
        <w:rPr>
          <w:color w:val="000000"/>
        </w:rPr>
        <w:t>™ </w:t>
      </w:r>
      <w:r>
        <w:rPr>
          <w:rFonts w:ascii="Times New Roman;sans-serif" w:hAnsi="Times New Roman;sans-serif"/>
          <w:b w:val="false"/>
          <w:color w:val="000000"/>
          <w:sz w:val="20"/>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used in this prospectus, unless the context otherwise requires: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ArcLight” refers to ArcLight Clean Transaction Corp. II, a blank check company incorporated as a Cayman Islands exempt company, and our previous name prior to the Closing.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Ares” refers to ARCC Beacon LLC, a Delaware limited liability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Business Combination” refers to the transaction contemplated by the BCA.</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Bylaws” refers to the bylaws of OPAL.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Charter” refers to certificate of incorporation of OPAL.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Class A common stock” refers to the shares of Class A common stock, par value $0.0001 per share, of OPAL.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Class A Units” refers to the Class A Units as defined in the Second A&amp;R LLC Agreement.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Class B common stock” refers to the shares of Class B common stock, par value $0.0001 per share, of OPAL.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Class B Units” refers to the Class B Units as defined in the Second A&amp;R LLC Agreement.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Class C common stock” refers to the shares of Class C common stock, par value $0.0001 per share, of OPAL.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Class D common stock” refers to the shares of Class D common stock, par value $0.0001 per share, of OPAL.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i/>
          <w:color w:val="000000"/>
          <w:sz w:val="20"/>
        </w:rPr>
        <w:t>Closing” refers to the closing of the Business Combination.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 xml:space="preserve">Closing Date” refers to July 21, 2022.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Common Stock” refers to the collective shares of Class A common stock, Class B common stock, Class C common stock and Class D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Company”, “we”, “our”, “us” or similar terms refers to OPAL Fuels Inc. individually or on a consolidated basis, as the context may require.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Exchange Act” refers to the Securities Exchange Act of 1934, as amended.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FASB” refers to the Financial Accounting Standards Board.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Fortistar” refers to Fortistar LLC, a Delaware limited liability company.</w:t>
      </w:r>
    </w:p>
    <w:p>
      <w:pPr>
        <w:pStyle w:val="TextBody"/>
        <w:bidi w:val="0"/>
        <w:spacing w:lineRule="auto" w:line="240" w:before="0" w:after="0"/>
        <w:jc w:val="both"/>
        <w:rPr>
          <w:color w:val="000000"/>
        </w:rPr>
      </w:pPr>
      <w:r>
        <w:rPr>
          <w:color w:val="000000"/>
        </w:rPr>
        <w:t> </w:t>
      </w:r>
    </w:p>
    <w:p>
      <w:pPr>
        <w:pStyle w:val="TextBody"/>
        <w:bidi w:val="0"/>
        <w:spacing w:lineRule="auto" w:line="240"/>
        <w:jc w:val="both"/>
        <w:rPr>
          <w:color w:val="000000"/>
        </w:rPr>
      </w:pPr>
      <w:r>
        <w:rPr>
          <w:color w:val="000000"/>
        </w:rPr>
        <w:t>“</w:t>
      </w:r>
      <w:r>
        <w:rPr>
          <w:rFonts w:ascii="Times New Roman;sans-serif" w:hAnsi="Times New Roman;sans-serif"/>
          <w:b w:val="false"/>
          <w:i/>
          <w:color w:val="000000"/>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i/>
          <w:color w:val="000000"/>
          <w:sz w:val="20"/>
        </w:rPr>
        <w:t xml:space="preserve">pressurized using compressor systems and, in this state, is referred to as </w:t>
      </w:r>
      <w:r>
        <w:rPr>
          <w:rFonts w:ascii="Times New Roman;sans-serif" w:hAnsi="Times New Roman;sans-serif"/>
          <w:b w:val="false"/>
          <w:color w:val="000000"/>
          <w:sz w:val="20"/>
        </w:rPr>
        <w:t>CNG.</w:t>
      </w:r>
      <w:r>
        <w:rPr>
          <w:color w:val="000000"/>
        </w:rPr>
        <w:t xml:space="preserve"> </w:t>
      </w:r>
      <w:r>
        <w:rPr>
          <w:rFonts w:ascii="Times New Roman;sans-serif" w:hAnsi="Times New Roman;sans-serif"/>
          <w:b w:val="false"/>
          <w:i/>
          <w:color w:val="000000"/>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Hillman” refers to Hillman RNG Investments, LLC, a Delaware limited liability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i/>
          <w:color w:val="000000"/>
          <w:sz w:val="20"/>
        </w:rPr>
        <w:t>refers to the Investment Company Act of 1940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as amended.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2021, as the same may be amended, modified, supplemented or waived from time to time in accordance with its terms.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IPO” refers to ArcLight’s initial public offering of its Class A ordinary shares and ArcLight Public Warrants pursuant to the IPO Registration Statement and completed on March 25, 2021.</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IPO Registration Statement” refers to ArcLight’s Registration Statement on Form S-1, filed with the SEC (File No. 333-252730), on March 22, 2021.</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Meteora” refers to Meteora Capital Partners and its affiliates.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Nasdaq” refers to the Nasdaq Capital Market.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NextEra” refers to Mendocino Capital, LLC, a Delaware limited liability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OPAL” and “OPAL Fuels” refers to OPAL Fuels Inc., a Delaware corporation.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our Board” refers to our board of directors.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OPAL Holdco” refers to OPAL Holdco LLC, a Delaware limited liability.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OPAL Preferred Stock” refers to our shares of preferred stock, par value $0.0001 per share.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Private Placement Warrants” refers to the 9,223,261 redeemable warrants that were exchanged for the ArcLight Private Placement Warrants in connection with the Closing, and which were subsequently exchanged for Class A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Public Warrants” refers to the 6,223,233 redeemable warrants exchanged for the ArcLight Public Warrants in connection with the Closing, and which were subsequently exchanged for Class A common stock</w:t>
      </w:r>
      <w:r>
        <w:rPr>
          <w:rFonts w:ascii="Times New Roman;sans-serif" w:hAnsi="Times New Roman;sans-serif"/>
          <w:b w:val="false"/>
          <w:color w:val="000000"/>
          <w:sz w:val="20"/>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Warrants” refers collectively to the Private Placement Warrants together with the Public Warrants.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Opco” refers to OPAL Fuels LLC, a Delaware limited liability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Opco Common Equityholders” refers to OPAL Holdco and Hillman.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Opco Common Units” refers to the Class B Units resulting from the re-classification of the collective Opco common units existing immediately prior to the Closing.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Series A Preferred Units” refers to the 1,000,000 Series A preferred units of Opco held by NextEra.</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Series A-1 Preferred Units” refers to the 300,000 Series A-1 preferred units of Opco held by Hillman.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Organizational Documents</w:t>
      </w:r>
      <w:r>
        <w:rPr>
          <w:color w:val="000000"/>
        </w:rPr>
        <w:t xml:space="preserve">” </w:t>
      </w:r>
      <w:r>
        <w:rPr>
          <w:rFonts w:ascii="Times New Roman;sans-serif" w:hAnsi="Times New Roman;sans-serif"/>
          <w:b w:val="false"/>
          <w:i/>
          <w:color w:val="000000"/>
          <w:sz w:val="20"/>
        </w:rPr>
        <w:t>refers to the Charter and the Bylaws</w:t>
      </w:r>
      <w:r>
        <w:rPr>
          <w:rFonts w:ascii="Times New Roman;sans-serif" w:hAnsi="Times New Roman;sans-serif"/>
          <w:b w:val="false"/>
          <w:color w:val="000000"/>
          <w:sz w:val="20"/>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PIPE Investment” refers to the PIPE Investors that purchased a total of 11,080,600 shares of Class A common stock in connection with the Closing at a cash purchase price of $10.00 per share pursuant to the Subscription Agreements.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PIPE Investors” refers, collectively, to the institutional and accredited investors that entered into Subscription Agreements with ArcLight.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Sarbanes-Oxley Act” refers to the Sarbanes-Oxley Act of 2002.</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SEC” refers to the U.S. Securities and Exchange Commission.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Second A&amp;R LLC Agreement” refers to the Second Amended and Restated Limited Liability Company     Agreement of Opco.</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Securities Act” refers to the Securities Act of 1933, as amended.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Sponsor” refers to ArcLight CTC Holdings II, L.P., a Delaware limited partnership.</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Subscription Agreements” refer to the subscription agreements (as amended from time to time) that ArcLight entered into in connection with the Business Combination Agreement, each dated as of December 2, 2021.</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Tax Receivable Agreement” refers to the Tax Receivable Agreement, dated July 21, 2022, by and among OPAL Fuels Inc, Opal Holdco LLC and the TRA Parties named therein as included in Exhibit 10.6 to the Current Report on Form 8-K, filed with the SEC on July 29, 2021, as the same may be amended, modified, supplemented or waived from time to time in accordance with its terms.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following is a glossary of key industry terms used herein: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ADG” refers to anaerobic digester gas.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Advanced Clean Trucks Regulation” refers to the rules adopted by the California Air Resources Board on June 25, 2020 requiring the sale of zero-emission heavy-duty trucks.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BOD” refers to biochemical oxygen demand.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Btu” refers to British thermal units.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CARB” refers to the California Air Resources Board.</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CI” refers to carbon intensity.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CNG” refers to compressed natural gas.</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CO</w:t>
      </w:r>
      <w:r>
        <w:rPr>
          <w:color w:val="000000"/>
        </w:rPr>
        <w:t xml:space="preserve">₂” </w:t>
      </w:r>
      <w:r>
        <w:rPr>
          <w:rFonts w:ascii="Times New Roman;sans-serif" w:hAnsi="Times New Roman;sans-serif"/>
          <w:b w:val="false"/>
          <w:i/>
          <w:color w:val="000000"/>
          <w:sz w:val="20"/>
        </w:rPr>
        <w:t>refers to Carbon dioxide.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D3” refers to cellulosic biofuel with a 60% GHG reduction requirement.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EHS” refers to environment, health and safety.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EISA” refers to Energy Independence and Security Act of 2007.</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EPA” refers to the U.S. Environmental Protection Agency.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EPACT 2005” refers to the Energy Policy Act of 2005.</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FERC” refers to the U.S. Federal Energy Regulatory Commission.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GHG” refers to greenhouse gases.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ISOs” refers to independent system operators.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LCFS” refers to Low Carbon Fuel Standard or similar types of federal and state programs.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LFG” refers to landfill gas.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Obligated Parties” means refiners or importers of gasoline or diesel fuel under the RFS program.</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QFs” refers to qualifying small power production facilities under the Federal Power Act and the Public Utility Regulatory Policies Act of 1978, as amended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RECs” refers to renewable energy credits.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Renewable Power” refers to electricity generated from renewable sources.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RFS” refers to the EPA’s Renewable Fuel Standard.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RINs” refers to Renewable Identification Numbers.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RNG” refers to renewable natural gas.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RPS” refers to Renewable Portfolio Standards.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RTOs” refers to regional transmission organizations.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RVOs” refers to renewable volume obligations.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w:t>
      </w:r>
      <w:r>
        <w:rPr>
          <w:rFonts w:ascii="Times New Roman;sans-serif" w:hAnsi="Times New Roman;sans-serif"/>
          <w:b w:val="false"/>
          <w:i/>
          <w:color w:val="000000"/>
          <w:sz w:val="20"/>
        </w:rPr>
        <w:t>September 2020 Executive Order” refers to Executive Order N-79-20 issued by the Governor of the State of California in September 2020.</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made in this prospectus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to realize the benefits of the Business Combination, which may be affected by, among other things, competition, our ability to grow and manage growth profitably, maintain relationships with customers and suppliers and retain key employees;</w:t>
            </w:r>
          </w:p>
        </w:tc>
      </w:tr>
    </w:tbl>
    <w:p>
      <w:pPr>
        <w:pStyle w:val="TextBody"/>
        <w:bidi w:val="0"/>
        <w:spacing w:lineRule="auto" w:line="240" w:before="0" w:after="0"/>
        <w:ind w:left="0" w:right="0" w:hanging="480"/>
        <w:jc w:val="both"/>
        <w:rPr>
          <w:color w:val="000000"/>
        </w:rPr>
      </w:pPr>
      <w:r>
        <w:rPr>
          <w:color w:val="000000"/>
        </w:rPr>
        <w:t> </w:t>
      </w:r>
    </w:p>
    <w:tbl>
      <w:tblPr>
        <w:tblW w:w="78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13"/>
        <w:gridCol w:w="2113"/>
        <w:gridCol w:w="29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in retaining or recruiting, our principal officers, key employees or directors;</w:t>
            </w:r>
          </w:p>
        </w:tc>
      </w:tr>
    </w:tbl>
    <w:p>
      <w:pPr>
        <w:pStyle w:val="TextBody"/>
        <w:bidi w:val="0"/>
        <w:spacing w:lineRule="auto" w:line="240" w:before="0" w:after="0"/>
        <w:ind w:left="0" w:right="0" w:hanging="480"/>
        <w:jc w:val="both"/>
        <w:rPr>
          <w:color w:val="000000"/>
        </w:rPr>
      </w:pPr>
      <w:r>
        <w:rPr>
          <w:color w:val="000000"/>
        </w:rPr>
        <w:t> </w:t>
      </w:r>
    </w:p>
    <w:tbl>
      <w:tblPr>
        <w:tblW w:w="93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38"/>
        <w:gridCol w:w="2538"/>
        <w:gridCol w:w="35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intense competition and competitive pressures from other companies in the industry in which we operate;</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increased costs of, or delays in obtaining, key components or labor for the construction and completion of landfill gas and livestock waste projects that generate electricity, and RNG, CNG and hydrogen dispensing stations;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relating to our business, operations and financial performance, including market conditions and global and economic factors beyond our control;</w:t>
            </w:r>
          </w:p>
        </w:tc>
      </w:tr>
    </w:tbl>
    <w:p>
      <w:pPr>
        <w:pStyle w:val="TextBody"/>
        <w:bidi w:val="0"/>
        <w:spacing w:lineRule="auto" w:line="240" w:before="0" w:after="0"/>
        <w:ind w:left="0" w:right="0" w:hanging="480"/>
        <w:jc w:val="both"/>
        <w:rPr>
          <w:color w:val="000000"/>
        </w:rPr>
      </w:pPr>
      <w:r>
        <w:rPr>
          <w:color w:val="000000"/>
        </w:rPr>
        <w:t> </w:t>
      </w:r>
    </w:p>
    <w:tbl>
      <w:tblPr>
        <w:tblW w:w="65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13"/>
        <w:gridCol w:w="1713"/>
        <w:gridCol w:w="24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related to the global COVID-19 pandemic;</w:t>
            </w:r>
          </w:p>
        </w:tc>
      </w:tr>
    </w:tbl>
    <w:p>
      <w:pPr>
        <w:pStyle w:val="TextBody"/>
        <w:bidi w:val="0"/>
        <w:spacing w:lineRule="auto" w:line="240" w:before="0" w:after="0"/>
        <w:ind w:left="0" w:right="0" w:hanging="480"/>
        <w:jc w:val="both"/>
        <w:rPr>
          <w:color w:val="000000"/>
        </w:rPr>
      </w:pPr>
      <w:r>
        <w:rPr>
          <w:color w:val="000000"/>
        </w:rPr>
        <w:t> </w:t>
      </w:r>
    </w:p>
    <w:tbl>
      <w:tblPr>
        <w:tblW w:w="86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45"/>
        <w:gridCol w:w="2345"/>
        <w:gridCol w:w="33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3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reduction or elimination of government economic incentives to the renewable energy market;</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owners and operators of landfill and livestock biogas conversion project sites on which we operate our landfill gas and livestock waste projects that generate electricity and (iii) RNG prices for Environmental Attributes, low carbon fuel standard credits and other incentives;</w:t>
            </w:r>
          </w:p>
        </w:tc>
      </w:tr>
    </w:tbl>
    <w:p>
      <w:pPr>
        <w:pStyle w:val="TextBody"/>
        <w:bidi w:val="0"/>
        <w:spacing w:lineRule="auto" w:line="240" w:before="0" w:after="0"/>
        <w:ind w:left="0" w:right="0" w:hanging="480"/>
        <w:jc w:val="both"/>
        <w:rPr>
          <w:color w:val="000000"/>
        </w:rPr>
      </w:pPr>
      <w:r>
        <w:rPr>
          <w:color w:val="000000"/>
        </w:rPr>
        <w:t> </w:t>
      </w:r>
    </w:p>
    <w:tbl>
      <w:tblPr>
        <w:tblW w:w="83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38"/>
        <w:gridCol w:w="2238"/>
        <w:gridCol w:w="3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identify, acquire, develop and operate renewable projects and Fueling Stations;</w:t>
            </w:r>
          </w:p>
        </w:tc>
      </w:tr>
    </w:tbl>
    <w:p>
      <w:pPr>
        <w:pStyle w:val="TextBody"/>
        <w:bidi w:val="0"/>
        <w:spacing w:lineRule="auto" w:line="240" w:before="0" w:after="0"/>
        <w:ind w:left="0" w:right="0" w:hanging="480"/>
        <w:jc w:val="both"/>
        <w:rPr>
          <w:color w:val="000000"/>
        </w:rPr>
      </w:pPr>
      <w:r>
        <w:rPr>
          <w:color w:val="000000"/>
        </w:rPr>
        <w:t> </w:t>
      </w:r>
    </w:p>
    <w:tbl>
      <w:tblPr>
        <w:tblW w:w="71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96"/>
        <w:gridCol w:w="1896"/>
        <w:gridCol w:w="26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issue equity or equity-linked securities or obtain debt financing;</w:t>
            </w:r>
          </w:p>
        </w:tc>
      </w:tr>
    </w:tbl>
    <w:p>
      <w:pPr>
        <w:pStyle w:val="TextBody"/>
        <w:bidi w:val="0"/>
        <w:spacing w:lineRule="auto" w:line="240" w:before="0" w:after="0"/>
        <w:ind w:left="0" w:right="0" w:hanging="480"/>
        <w:jc w:val="both"/>
        <w:rPr>
          <w:color w:val="000000"/>
        </w:rPr>
      </w:pPr>
      <w:r>
        <w:rPr>
          <w:color w:val="000000"/>
        </w:rPr>
        <w:t> </w:t>
      </w:r>
    </w:p>
    <w:tbl>
      <w:tblPr>
        <w:tblW w:w="51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23"/>
        <w:gridCol w:w="1323"/>
        <w:gridCol w:w="1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demand for renewable energy not being sustained;</w:t>
            </w:r>
          </w:p>
        </w:tc>
      </w:tr>
    </w:tbl>
    <w:p>
      <w:pPr>
        <w:pStyle w:val="TextBody"/>
        <w:bidi w:val="0"/>
        <w:spacing w:lineRule="auto" w:line="240" w:before="0" w:after="0"/>
        <w:ind w:left="0" w:right="0" w:hanging="480"/>
        <w:jc w:val="both"/>
        <w:rPr>
          <w:color w:val="000000"/>
        </w:rPr>
      </w:pPr>
      <w:r>
        <w:rPr>
          <w:color w:val="000000"/>
        </w:rPr>
        <w:t> </w:t>
      </w:r>
    </w:p>
    <w:tbl>
      <w:tblPr>
        <w:tblW w:w="81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impacts of climate change, changing weather patterns and conditions and natural disasters;</w:t>
            </w:r>
          </w:p>
        </w:tc>
      </w:tr>
    </w:tbl>
    <w:p>
      <w:pPr>
        <w:pStyle w:val="TextBody"/>
        <w:bidi w:val="0"/>
        <w:spacing w:lineRule="auto" w:line="240" w:before="0" w:after="0"/>
        <w:ind w:left="0" w:right="0" w:hanging="480"/>
        <w:jc w:val="both"/>
        <w:rPr>
          <w:color w:val="000000"/>
        </w:rPr>
      </w:pPr>
      <w:r>
        <w:rPr>
          <w:color w:val="000000"/>
        </w:rPr>
        <w:t> </w:t>
      </w:r>
    </w:p>
    <w:tbl>
      <w:tblPr>
        <w:tblW w:w="49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42"/>
        <w:gridCol w:w="1242"/>
        <w:gridCol w:w="17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legal, tax and regulatory changes; and</w:t>
            </w:r>
          </w:p>
        </w:tc>
      </w:tr>
    </w:tbl>
    <w:p>
      <w:pPr>
        <w:pStyle w:val="TextBody"/>
        <w:bidi w:val="0"/>
        <w:spacing w:lineRule="auto" w:line="240" w:before="0" w:after="0"/>
        <w:ind w:left="0" w:right="0" w:hanging="480"/>
        <w:jc w:val="both"/>
        <w:rPr>
          <w:color w:val="000000"/>
        </w:rPr>
      </w:pPr>
      <w:r>
        <w:rPr>
          <w:color w:val="000000"/>
        </w:rPr>
        <w:t> </w:t>
      </w:r>
    </w:p>
    <w:tbl>
      <w:tblPr>
        <w:tblW w:w="59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7"/>
        <w:gridCol w:w="1547"/>
        <w:gridCol w:w="21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other factors detailed under the section entitled “</w:t>
            </w:r>
            <w:r>
              <w:rPr>
                <w:rFonts w:ascii="Times New Roman;sans-serif" w:hAnsi="Times New Roman;sans-serif"/>
                <w:b w:val="false"/>
                <w:i/>
                <w:color w:val="000000"/>
                <w:sz w:val="20"/>
              </w:rPr>
              <w:t>Risk Factors.</w:t>
            </w:r>
            <w:r>
              <w:rPr>
                <w:color w:val="000000"/>
              </w:rPr>
              <w:t>”</w:t>
            </w:r>
          </w:p>
        </w:tc>
      </w:tr>
    </w:tbl>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6"/>
        <w:gridCol w:w="2873"/>
        <w:gridCol w:w="4066"/>
      </w:tblGrid>
      <w:tr>
        <w:trPr/>
        <w:tc>
          <w:tcPr>
            <w:tcW w:w="3266"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w:t>
            </w:r>
          </w:p>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summary highlights selected information contained elsewhere in this prospectus and does not contain all of the information you should consider when making your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entitled “Where You Can Find More Information.” The definition of some of the terms used in this prospectus are set forth under the section “Selected Definitions.”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We have been an established biogas-to-energy producer in the United States, having participated in the landfill gas to energy industry for over 20 years.</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The biogas is generated by microbes as they break down organic matter in the absence of oxygen. Our principal sources of biogas are (i) landfill gas, which is produced by the decomposition of organic waste at landfills and (ii) dairy manure, which is processed through anaerobic digesters to produce the biogas.</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ableContents"/>
              <w:bidi w:val="0"/>
              <w:spacing w:before="0" w:after="0"/>
              <w:ind w:left="0" w:right="0" w:firstLine="36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Business Combination</w:t>
            </w:r>
          </w:p>
          <w:p>
            <w:pPr>
              <w:pStyle w:val="TableContents"/>
              <w:bidi w:val="0"/>
              <w:spacing w:before="0" w:after="0"/>
              <w:ind w:left="0" w:right="0" w:firstLine="360"/>
              <w:jc w:val="both"/>
              <w:rPr/>
            </w:pPr>
            <w:r>
              <w:rPr/>
            </w:r>
          </w:p>
          <w:p>
            <w:pPr>
              <w:pStyle w:val="TableContents"/>
              <w:bidi w:val="0"/>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w:t>
            </w:r>
          </w:p>
          <w:p>
            <w:pPr>
              <w:pStyle w:val="TableContents"/>
              <w:bidi w:val="0"/>
              <w:spacing w:before="0" w:after="0"/>
              <w:ind w:left="0" w:right="0" w:firstLine="360"/>
              <w:jc w:val="both"/>
              <w:rPr/>
            </w:pPr>
            <w:r>
              <w:rPr/>
            </w:r>
          </w:p>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Warrant Exchange</w:t>
            </w:r>
          </w:p>
          <w:p>
            <w:pPr>
              <w:pStyle w:val="TableContents"/>
              <w:bidi w:val="0"/>
              <w:spacing w:before="0" w:after="0"/>
              <w:jc w:val="both"/>
              <w:rPr/>
            </w:pPr>
            <w:r>
              <w:rPr/>
            </w:r>
          </w:p>
          <w:p>
            <w:pPr>
              <w:pStyle w:val="TableContents"/>
              <w:bidi w:val="0"/>
              <w:spacing w:lineRule="auto" w:line="240" w:before="0" w:after="0"/>
              <w:jc w:val="both"/>
              <w:rPr/>
            </w:pPr>
            <w:r>
              <w:rPr>
                <w:color w:val="000000"/>
              </w:rPr>
              <w:t>    </w:t>
            </w:r>
            <w:r>
              <w:rPr>
                <w:rFonts w:ascii="Times New Roman;sans-serif" w:hAnsi="Times New Roman;sans-serif"/>
                <w:b w:val="false"/>
                <w:color w:val="000000"/>
                <w:sz w:val="20"/>
              </w:rPr>
              <w:t>On November 18, 2022, the Company announced the commencement of an exchange offer (the “Offer”) and consent solicitation relating to its outstanding (i) public warrants to purchase shares of Class A common stock of the Company, par value $0.0001 per share which warrants traded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w:t>
            </w:r>
            <w:r>
              <w:rPr>
                <w:color w:val="000000"/>
              </w:rPr>
              <w:t xml:space="preserve"> </w:t>
            </w:r>
            <w:r>
              <w:rPr>
                <w:rFonts w:ascii="Times New Roman;sans-serif" w:hAnsi="Times New Roman;sans-serif"/>
                <w:b w:val="false"/>
                <w:color w:val="000000"/>
                <w:sz w:val="20"/>
              </w:rPr>
              <w:t>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Capture and Conversion Business</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ableContents"/>
              <w:bidi w:val="0"/>
              <w:spacing w:before="0" w:after="0"/>
              <w:ind w:left="0" w:right="0" w:firstLine="360"/>
              <w:jc w:val="both"/>
              <w:rPr/>
            </w:pPr>
            <w:r>
              <w:rPr/>
            </w:r>
          </w:p>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Dispensing and Monetization Business</w:t>
            </w:r>
          </w:p>
          <w:p>
            <w:pPr>
              <w:pStyle w:val="TableContents"/>
              <w:bidi w:val="0"/>
              <w:spacing w:lineRule="auto" w:line="240" w:before="0" w:after="0"/>
              <w:ind w:left="0" w:right="0" w:firstLine="360"/>
              <w:jc w:val="left"/>
              <w:rPr>
                <w:color w:val="000000"/>
              </w:rPr>
            </w:pPr>
            <w:r>
              <w:rPr>
                <w:color w:val="000000"/>
              </w:rPr>
              <w:t> </w:t>
            </w:r>
          </w:p>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 </w:t>
            </w:r>
          </w:p>
          <w:p>
            <w:pPr>
              <w:pStyle w:val="TableContents"/>
              <w:bidi w:val="0"/>
              <w:spacing w:before="0" w:after="0"/>
              <w:jc w:val="left"/>
              <w:rPr/>
            </w:pPr>
            <w:r>
              <w:rPr/>
            </w:r>
          </w:p>
          <w:p>
            <w:pPr>
              <w:pStyle w:val="TableContents"/>
              <w:bidi w:val="0"/>
              <w:spacing w:before="0" w:after="0"/>
              <w:jc w:val="both"/>
              <w:rPr/>
            </w:pPr>
            <w:r>
              <w:rPr/>
            </w:r>
          </w:p>
          <w:p>
            <w:pPr>
              <w:pStyle w:val="TableContents"/>
              <w:bidi w:val="0"/>
              <w:spacing w:lineRule="auto" w:line="240" w:before="0" w:after="0"/>
              <w:jc w:val="both"/>
              <w:rPr>
                <w:color w:val="000000"/>
              </w:rPr>
            </w:pPr>
            <w:r>
              <w:rPr>
                <w:color w:val="000000"/>
              </w:rPr>
              <w:t> </w:t>
            </w:r>
          </w:p>
          <w:p>
            <w:pPr>
              <w:pStyle w:val="TableContents"/>
              <w:bidi w:val="0"/>
              <w:spacing w:before="0" w:after="0"/>
              <w:jc w:val="left"/>
              <w:rPr/>
            </w:pPr>
            <w:r>
              <w:rPr/>
            </w:r>
          </w:p>
        </w:tc>
      </w:tr>
    </w:tbl>
    <w:p>
      <w:pPr>
        <w:pStyle w:val="TextBody"/>
        <w:bidi w:val="0"/>
        <w:spacing w:before="0" w:after="0"/>
        <w:jc w:val="center"/>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Hydrogen Fuel</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and engineering phase of the first several of these hydrogen fueling stations.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for further detail of our projects.</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i/>
                <w:color w:val="000000"/>
                <w:sz w:val="20"/>
              </w:rPr>
              <w:t>Promoting the reduction of methane and GHG emissions and expanding the use of renewable fuels to displace fossil-based fuels</w:t>
            </w:r>
            <w:r>
              <w:rPr>
                <w:rFonts w:ascii="Times New Roman;sans-serif" w:hAnsi="Times New Roman;sans-serif"/>
                <w:b w:val="false"/>
                <w:color w:val="000000"/>
                <w:sz w:val="20"/>
              </w:rPr>
              <w:t>: We share the 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i/>
                <w:color w:val="000000"/>
                <w:sz w:val="20"/>
              </w:rPr>
              <w:t>Expanding our industry position as a full-service partner for development opportunities, including through strategic transactions</w:t>
            </w:r>
            <w:r>
              <w:rPr>
                <w:rFonts w:ascii="Times New Roman;sans-serif" w:hAnsi="Times New Roman;sans-serif"/>
                <w:b w:val="false"/>
                <w:color w:val="000000"/>
                <w:sz w:val="20"/>
              </w:rPr>
              <w:t>: Throughout our over 20 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i/>
                <w:color w:val="000000"/>
                <w:sz w:val="20"/>
              </w:rPr>
              <w:t>Expanding our capabilities to new feedstock sources and technologies</w:t>
            </w:r>
            <w:r>
              <w:rPr>
                <w:rFonts w:ascii="Times New Roman;sans-serif" w:hAnsi="Times New Roman;sans-serif"/>
                <w:b w:val="false"/>
                <w:color w:val="000000"/>
                <w:sz w:val="20"/>
              </w:rPr>
              <w:t>: We believe we will be 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i/>
                <w:color w:val="000000"/>
                <w:sz w:val="20"/>
              </w:rPr>
              <w:t>Empowering our customers to achieve their sustainability and carbon reduction objectives</w:t>
            </w:r>
            <w:r>
              <w:rPr>
                <w:rFonts w:ascii="Times New Roman;sans-serif" w:hAnsi="Times New Roman;sans-serif"/>
                <w:b w:val="false"/>
                <w:color w:val="000000"/>
                <w:sz w:val="20"/>
              </w:rPr>
              <w:t>: We are well positioned to empower our customers to achieve their sustainability and 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ableContents"/>
              <w:bidi w:val="0"/>
              <w:spacing w:before="0" w:after="0"/>
              <w:jc w:val="left"/>
              <w:rPr/>
            </w:pPr>
            <w:r>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Corporation Information</w:t>
            </w:r>
          </w:p>
          <w:p>
            <w:pPr>
              <w:pStyle w:val="TableContents"/>
              <w:bidi w:val="0"/>
              <w:spacing w:before="0" w:after="0"/>
              <w:jc w:val="both"/>
              <w:rPr/>
            </w:pPr>
            <w:r>
              <w:rPr/>
            </w:r>
          </w:p>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 xml:space="preserve">We are a Delaware corporation. Our principal executive offices are located at One North Lexington Avenue, Suite 1450, White Plains, New York 10601 and our telephone number is (914) 705-4000. Our website is </w:t>
            </w:r>
            <w:r>
              <w:rPr>
                <w:rFonts w:ascii="Times New Roman;sans-serif" w:hAnsi="Times New Roman;sans-serif"/>
                <w:b w:val="false"/>
                <w:i/>
                <w:color w:val="000000"/>
                <w:sz w:val="20"/>
              </w:rPr>
              <w:t>www.opalfuels.com</w:t>
            </w:r>
            <w:r>
              <w:rPr>
                <w:rFonts w:ascii="Times New Roman;sans-serif" w:hAnsi="Times New Roman;sans-serif"/>
                <w:b w:val="false"/>
                <w:color w:val="000000"/>
                <w:sz w:val="20"/>
              </w:rPr>
              <w:t>. Our website and the information contained on, or accessed through, its website are not part of this prospectus, and you should rely only on the information contained in this prospectus when making a decision as to whether to invest in our securities.</w:t>
            </w:r>
          </w:p>
          <w:p>
            <w:pPr>
              <w:pStyle w:val="TableContents"/>
              <w:bidi w:val="0"/>
              <w:spacing w:before="0" w:after="0"/>
              <w:ind w:left="0" w:right="0" w:firstLine="360"/>
              <w:jc w:val="both"/>
              <w:rPr/>
            </w:pPr>
            <w:r>
              <w:rPr/>
            </w:r>
          </w:p>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You should consider all of the information contained in this prospectus before investing in our securities which involves substantial risk. Our business is subject to numerous risks and uncertainties, including those highlighted in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beginning on page 18 of this prospectus, that represent challenges that we face in connection with the successful implementation of our strategy and the growth of our business. The occurrence of one or more of the events or circumstances described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Risks Related to Our Third Party Relationships and Government Regulation of Our Business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 </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Opco for the provision of CNG to said fleets;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Failure of third parties to manufacture quality products or provide reliable services in a timely manner could cause delays in developing, constructing and operating our Biogas Conversion Projects and Fueling Stations, which could damage our reputation, adversely affect our partner relationships or adversely affect our growth;</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We are subject to risks associated with litigation or administrative proceedings that could materially impact our operations, including proceedings in the future related to projects we subsequently acquire.</w:t>
            </w:r>
          </w:p>
          <w:p>
            <w:pPr>
              <w:pStyle w:val="TableContents"/>
              <w:bidi w:val="0"/>
              <w:spacing w:before="0" w:after="0"/>
              <w:jc w:val="both"/>
              <w:rPr/>
            </w:pPr>
            <w:r>
              <w:rPr/>
            </w:r>
          </w:p>
          <w:p>
            <w:pPr>
              <w:pStyle w:val="TableContents"/>
              <w:bidi w:val="0"/>
              <w:spacing w:lineRule="auto" w:line="240" w:before="0" w:after="0"/>
              <w:ind w:left="0" w:right="0" w:hanging="480"/>
              <w:jc w:val="both"/>
              <w:rPr>
                <w:color w:val="000000"/>
              </w:rPr>
            </w:pPr>
            <w:r>
              <w:rPr>
                <w:color w:val="000000"/>
              </w:rPr>
              <w:t> </w:t>
            </w:r>
          </w:p>
          <w:p>
            <w:pPr>
              <w:pStyle w:val="TableContents"/>
              <w:bidi w:val="0"/>
              <w:spacing w:before="0" w:after="0"/>
              <w:jc w:val="both"/>
              <w:rPr/>
            </w:pPr>
            <w:r>
              <w:rPr/>
            </w:r>
          </w:p>
          <w:p>
            <w:pPr>
              <w:pStyle w:val="TableContents"/>
              <w:bidi w:val="0"/>
              <w:spacing w:lineRule="auto" w:line="240" w:before="0" w:after="0"/>
              <w:ind w:left="0" w:right="0" w:hanging="480"/>
              <w:jc w:val="both"/>
              <w:rPr>
                <w:color w:val="000000"/>
              </w:rPr>
            </w:pPr>
            <w:r>
              <w:rPr>
                <w:color w:val="000000"/>
              </w:rPr>
              <w:t> </w:t>
            </w:r>
          </w:p>
          <w:p>
            <w:pPr>
              <w:pStyle w:val="TableContents"/>
              <w:bidi w:val="0"/>
              <w:spacing w:before="0" w:after="0"/>
              <w:jc w:val="both"/>
              <w:rPr/>
            </w:pPr>
            <w:r>
              <w:rPr/>
            </w:r>
          </w:p>
          <w:p>
            <w:pPr>
              <w:pStyle w:val="TableContents"/>
              <w:bidi w:val="0"/>
              <w:spacing w:before="0" w:after="0"/>
              <w:jc w:val="left"/>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6"/>
        <w:gridCol w:w="2869"/>
        <w:gridCol w:w="4070"/>
      </w:tblGrid>
      <w:tr>
        <w:trPr/>
        <w:tc>
          <w:tcPr>
            <w:tcW w:w="32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Market Risks Related to Our Business</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The volatility in the price of oil, gasoline, diesel, natural gas, RNG or Environmental Attributes could adversely affect our business;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ableContents"/>
              <w:bidi w:val="0"/>
              <w:spacing w:before="0" w:after="0"/>
              <w:jc w:val="both"/>
              <w:rPr/>
            </w:pPr>
            <w:r>
              <w:rPr/>
            </w:r>
          </w:p>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Additional Risk Factors Relating to Our Business in General</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 </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In accordance with applicable FASB standards, management has concluded there are conditions or events, considered in the aggregate, that raise substantial doubt about the ability of Opco to continue as a going concern without the implementation of various mitigation steps identified by management of Opco;</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We have a history of accounting losses and may incur additional losses in the future;</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We operate a capital-intensive business and are pursuing a business plan requiring significant access to capital. We may fail to get access to said capital in a timely manner or obtain capital at unfavorable terms.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Some relationships with our counterparties and suppliers may experience disruptions in connection with the Business Combination, which may limit our business;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Our failure to timely and effectively implement controls and procedures required by Section 404(a) of the Sarbanes-Oxley Act could have a material adverse effect on our business; and</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There can be no assurance that we will be able to comply with the continued listing standards of Nasdaq.</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40" w:before="0" w:after="0"/>
              <w:ind w:left="0" w:right="0" w:hanging="480"/>
              <w:jc w:val="both"/>
              <w:rPr>
                <w:color w:val="000000"/>
              </w:rPr>
            </w:pPr>
            <w:r>
              <w:rPr>
                <w:color w:val="000000"/>
              </w:rPr>
              <w:t> </w:t>
            </w:r>
          </w:p>
          <w:p>
            <w:pPr>
              <w:pStyle w:val="TableContents"/>
              <w:bidi w:val="0"/>
              <w:spacing w:before="0" w:after="0"/>
              <w:jc w:val="both"/>
              <w:rPr/>
            </w:pPr>
            <w:r>
              <w:rPr/>
            </w:r>
          </w:p>
          <w:p>
            <w:pPr>
              <w:pStyle w:val="TableContents"/>
              <w:bidi w:val="0"/>
              <w:spacing w:before="0" w:after="0"/>
              <w:jc w:val="left"/>
              <w:rPr/>
            </w:pPr>
            <w:r>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ind w:left="0" w:right="0" w:hanging="48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Implications of Being an Emerging Growth Company and a Smaller Reporting Company</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and file periodic reports with the SEC. These provisions include, but are not limited to:</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w:t>
            </w:r>
          </w:p>
          <w:p>
            <w:pPr>
              <w:pStyle w:val="TableContents"/>
              <w:bidi w:val="0"/>
              <w:spacing w:before="0" w:after="0"/>
              <w:jc w:val="both"/>
              <w:rPr/>
            </w:pPr>
            <w:r>
              <w:rPr/>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reduced disclosure obligations regarding executive compensation in our periodic reports, proxy statements, and registration statements, including in this prospectus;</w:t>
            </w:r>
          </w:p>
          <w:p>
            <w:pPr>
              <w:pStyle w:val="TableContents"/>
              <w:bidi w:val="0"/>
              <w:spacing w:before="0" w:after="0"/>
              <w:jc w:val="both"/>
              <w:rPr/>
            </w:pPr>
            <w:r>
              <w:rPr/>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(the “</w:t>
            </w:r>
            <w:r>
              <w:rPr>
                <w:rFonts w:ascii="Times New Roman;sans-serif" w:hAnsi="Times New Roman;sans-serif"/>
                <w:b/>
                <w:i/>
                <w:color w:val="000000"/>
                <w:sz w:val="20"/>
              </w:rPr>
              <w:t>PCAOB</w:t>
            </w:r>
            <w:r>
              <w:rPr>
                <w:color w:val="000000"/>
              </w:rPr>
              <w:t>”</w:t>
            </w:r>
            <w:r>
              <w:rPr>
                <w:rFonts w:ascii="Times New Roman;sans-serif" w:hAnsi="Times New Roman;sans-serif"/>
                <w:b w:val="false"/>
                <w:color w:val="000000"/>
                <w:sz w:val="20"/>
              </w:rPr>
              <w:t>) regarding mandatory audit firm rotation or a supplement to the auditor’s report providing additional information about the audit and the financial statements; and</w:t>
            </w:r>
          </w:p>
          <w:p>
            <w:pPr>
              <w:pStyle w:val="TableContents"/>
              <w:bidi w:val="0"/>
              <w:spacing w:before="0" w:after="0"/>
              <w:jc w:val="left"/>
              <w:rPr/>
            </w:pPr>
            <w:r>
              <w:rPr/>
            </w:r>
          </w:p>
          <w:p>
            <w:pPr>
              <w:pStyle w:val="TableContents"/>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exemptions from the requirements of holding a nonbinding advisory vote on executive compensation and stockholder approval of any golden parachute payments not previously approved.</w:t>
            </w:r>
          </w:p>
          <w:p>
            <w:pPr>
              <w:pStyle w:val="TableContents"/>
              <w:bidi w:val="0"/>
              <w:spacing w:before="0" w:after="0"/>
              <w:jc w:val="both"/>
              <w:rPr/>
            </w:pPr>
            <w:r>
              <w:rPr/>
            </w:r>
          </w:p>
          <w:p>
            <w:pPr>
              <w:pStyle w:val="TableContents"/>
              <w:bidi w:val="0"/>
              <w:spacing w:lineRule="auto" w:line="240" w:before="0" w:after="0"/>
              <w:jc w:val="both"/>
              <w:rPr>
                <w:color w:val="000000"/>
              </w:rPr>
            </w:pPr>
            <w:r>
              <w:rPr>
                <w:color w:val="000000"/>
              </w:rPr>
              <w:t> </w:t>
            </w:r>
            <w:r>
              <w:rPr>
                <w:rFonts w:ascii="Times New Roman;sans-serif" w:hAnsi="Times New Roman;sans-serif"/>
                <w:b w:val="false"/>
                <w:color w:val="000000"/>
                <w:sz w:val="20"/>
              </w:rPr>
              <w:t>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 </w:t>
            </w:r>
          </w:p>
          <w:p>
            <w:pPr>
              <w:pStyle w:val="TableContents"/>
              <w:bidi w:val="0"/>
              <w:spacing w:before="0" w:after="0"/>
              <w:jc w:val="both"/>
              <w:rPr/>
            </w:pPr>
            <w:r>
              <w:rPr/>
            </w:r>
          </w:p>
          <w:p>
            <w:pPr>
              <w:pStyle w:val="TableContents"/>
              <w:bidi w:val="0"/>
              <w:spacing w:before="0" w:after="0"/>
              <w:jc w:val="left"/>
              <w:rPr/>
            </w:pPr>
            <w:r>
              <w:rPr/>
            </w:r>
          </w:p>
        </w:tc>
      </w:tr>
    </w:tbl>
    <w:p>
      <w:pPr>
        <w:pStyle w:val="TextBody"/>
        <w:bidi w:val="0"/>
        <w:spacing w:lineRule="auto" w:line="240"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jc w:val="left"/>
        <w:rPr/>
      </w:pPr>
      <w:r>
        <w:rPr/>
      </w:r>
    </w:p>
    <w:p>
      <w:pPr>
        <w:pStyle w:val="TextBody"/>
        <w:bidi w:val="0"/>
        <w:spacing w:lineRule="auto" w:line="240"/>
        <w:ind w:left="0" w:right="0" w:hanging="48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480"/>
        <w:jc w:val="both"/>
        <w:rPr>
          <w:color w:val="000000"/>
        </w:rPr>
      </w:pPr>
      <w:r>
        <w:rPr>
          <w:color w:val="000000"/>
        </w:rPr>
        <w:t>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ableContents"/>
              <w:bidi w:val="0"/>
              <w:spacing w:lineRule="auto" w:line="240" w:before="0" w:after="0"/>
              <w:ind w:left="0" w:right="0" w:firstLine="360"/>
              <w:jc w:val="both"/>
              <w:rPr>
                <w:color w:val="000000"/>
              </w:rPr>
            </w:pPr>
            <w:r>
              <w:rPr>
                <w:color w:val="000000"/>
              </w:rPr>
              <w:t> </w:t>
            </w:r>
          </w:p>
          <w:p>
            <w:pPr>
              <w:pStyle w:val="TableContents"/>
              <w:bidi w:val="0"/>
              <w:spacing w:lineRule="auto" w:line="240" w:before="0" w:after="0"/>
              <w:ind w:left="0" w:right="0" w:firstLine="360"/>
              <w:jc w:val="both"/>
              <w:rPr/>
            </w:pPr>
            <w:r>
              <w:rPr>
                <w:rFonts w:ascii="Times New Roman;sans-serif" w:hAnsi="Times New Roman;sans-serif"/>
                <w:b w:val="false"/>
                <w:color w:val="000000"/>
                <w:sz w:val="20"/>
              </w:rPr>
              <w:t>For additional information, see the section titled “</w:t>
            </w:r>
            <w:r>
              <w:rPr>
                <w:rFonts w:ascii="Times New Roman;sans-serif" w:hAnsi="Times New Roman;sans-serif"/>
                <w:b w:val="false"/>
                <w:i/>
                <w:color w:val="000000"/>
                <w:sz w:val="20"/>
              </w:rPr>
              <w:t>Risk Factors—Risks Related to the Company—We are an “emerging growth company,” and our election to comply with the reduced disclosure requirements as a public company may make our common stock less attractive to investors</w:t>
            </w:r>
            <w:r>
              <w:rPr>
                <w:rFonts w:ascii="Times New Roman;sans-serif" w:hAnsi="Times New Roman;sans-serif"/>
                <w:b w:val="false"/>
                <w:color w:val="000000"/>
                <w:sz w:val="20"/>
              </w:rPr>
              <w:t>.”</w:t>
            </w:r>
          </w:p>
          <w:p>
            <w:pPr>
              <w:pStyle w:val="TableContents"/>
              <w:bidi w:val="0"/>
              <w:spacing w:before="0" w:after="0"/>
              <w:jc w:val="left"/>
              <w:rPr/>
            </w:pPr>
            <w:r>
              <w:rPr/>
            </w:r>
          </w:p>
          <w:p>
            <w:pPr>
              <w:pStyle w:val="TableContents"/>
              <w:bidi w:val="0"/>
              <w:spacing w:lineRule="auto" w:line="240" w:before="0" w:after="0"/>
              <w:jc w:val="center"/>
              <w:rPr>
                <w:color w:val="000000"/>
              </w:rPr>
            </w:pPr>
            <w:r>
              <w:rPr>
                <w:color w:val="000000"/>
              </w:rPr>
              <w:t> </w:t>
            </w:r>
          </w:p>
          <w:p>
            <w:pPr>
              <w:pStyle w:val="TableContents"/>
              <w:bidi w:val="0"/>
              <w:spacing w:before="0" w:after="0"/>
              <w:jc w:val="center"/>
              <w:rPr/>
            </w:pPr>
            <w:r>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7"/>
        <w:gridCol w:w="470"/>
        <w:gridCol w:w="478"/>
        <w:gridCol w:w="114"/>
        <w:gridCol w:w="114"/>
        <w:gridCol w:w="114"/>
        <w:gridCol w:w="2595"/>
        <w:gridCol w:w="2479"/>
        <w:gridCol w:w="3304"/>
      </w:tblGrid>
      <w:tr>
        <w:trPr/>
        <w:tc>
          <w:tcPr>
            <w:tcW w:w="5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30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Offering</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Inc.</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offered by the Selling Holders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166,318,246 shares of Class A common stock, consisting of:</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10,838,609 shares of Class A common stock issued under the Business Combination Agreement to Ares, Sponsor and certain former directors of ArcLight originally acquired by such parties for an effective purchase price of approximately $0.003 per share;</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144,399,037 shares of Class A common stock issuable upon the conversion of Class C common stock issuable to the Opco Common Equityholders upon the exchange of Opco Common Units and the cancellation of an equal number of shares of Class D common stock originally issued as consideration in connection with the Business Combination at a per share value of $10.00 per share; and</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11,080,600 shares of Class A common stock issued to the PIPE Investors at a purchase price of $10.00 per share.</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shares of Class A common stock by the Selling Holders. We will bear all costs, expenses and fees in connection with the registration of the securities. The Selling Holders will bear all commissions and discounts, if any, attributable to their respective sales of the securities.</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for our shares of common stock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for trading on Nasdaq under the symbol “OPAL”.</w:t>
            </w:r>
          </w:p>
        </w:tc>
      </w:tr>
      <w:tr>
        <w:trPr/>
        <w:tc>
          <w:tcPr>
            <w:tcW w:w="148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Any investment in the securities offered hereby is speculative and involves a high degree of risk. You should carefully consider the information set forth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elsewhere in this prospectus.</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MARKET PRICE, TICKER SYMBOL, AND DIVIDEND INFORMATION</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OPAL’s Class A common stock is listed for trading on Nasdaq under the symbol “OPAL”.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closing price of the Class A common stock on April 28, 2023 was $7.99. Holders of Class A common stock should obtain current market quotations for their securities.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OPAL has not paid any cash dividends on shares of its Class A common stock or Class C common stock to date and has no current plans to pay dividends on its Class A common stock or Class C common stock in the foreseeable future. Holders of OPAL’s Class B common stock and Class D common stock do not have any right to receive dividends. The payment of cash dividends in the future will be dependent upon OPAL’s revenues and earnings, if any, capital requirements and general financial condition. The payment of any dividends will be within the discretion of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addition to the other information contained in this prospectus, the following risks have the potential to impact our business and operations, as well as the market for our securities, including the Class A common stock offered hereby. These risk factors are not exhaustive and all investors are encouraged to perform their own investigation with respect our business, financial condition and prospects. </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Third Party Relationships and Government Regulation of Our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We do not own any of the landfill or livestock waste sites, which we sometimes refer to in this prospectus as “biogas project sites,” from which our Biogas Conversion Projects collect biogas or on which we operate and manage our Biogas Conversion Projects, and therefore we depend on contractual relationships with, and the cooperation of, the biogas conversion project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certain of our Biogas Conversion Projects facilities, which may have an adverse impact on our business, financial condition and results of operations. We obtain biogas rights to utilize the biogas and the biogas project sites on which our projects operate under contractual arrangements, with the associated biogas rights generally being for fixed terms of 20 years (or more) and certain additional renewal options. The gas rights associated with our 30 projects in operation or under construction, 3 of which include Renewable Power projects that are in construction to be converted to RNG, are due to expire at varying points over the next 25 years. See “</w:t>
      </w:r>
      <w:r>
        <w:rPr>
          <w:rFonts w:ascii="Times New Roman;sans-serif" w:hAnsi="Times New Roman;sans-serif"/>
          <w:b w:val="false"/>
          <w:i/>
          <w:color w:val="000000"/>
          <w:sz w:val="20"/>
        </w:rPr>
        <w:t>Business—Our Projects.</w:t>
      </w:r>
      <w:r>
        <w:rPr>
          <w:color w:val="000000"/>
        </w:rPr>
        <w:t xml:space="preserve">” </w:t>
      </w:r>
      <w:r>
        <w:rPr>
          <w:rFonts w:ascii="Times New Roman;sans-serif" w:hAnsi="Times New Roman;sans-serif"/>
          <w:b w:val="false"/>
          <w:color w:val="000000"/>
          <w:sz w:val="20"/>
        </w:rPr>
        <w:t>In addition, the biogas rights are typically specific to the right to produce electricity generated from renewable sources (“</w:t>
      </w:r>
      <w:r>
        <w:rPr>
          <w:rFonts w:ascii="Times New Roman;sans-serif" w:hAnsi="Times New Roman;sans-serif"/>
          <w:b/>
          <w:i/>
          <w:color w:val="000000"/>
          <w:sz w:val="20"/>
        </w:rPr>
        <w:t>Renewable Power</w:t>
      </w:r>
      <w:r>
        <w:rPr>
          <w:color w:val="000000"/>
        </w:rPr>
        <w:t>”</w:t>
      </w:r>
      <w:r>
        <w:rPr>
          <w:rFonts w:ascii="Times New Roman;sans-serif" w:hAnsi="Times New Roman;sans-serif"/>
          <w:b w:val="false"/>
          <w:color w:val="000000"/>
          <w:sz w:val="20"/>
        </w:rPr>
        <w:t>) or RNG; and accordingly,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the additional rights necessary in connection with conversion from production of Renewable Power to RNG on specific projects, we cannot guarantee that this success will continue in the future on commercial terms that are attractive to us or at all, and any failure to do so, or any other disruption in the relationship with any of the biogas conversion project site owners and operators from whose biogas project sites our Biogas Projects obtain biogas or for whom we operate biogas facilities, may have a material adverse effect on our business operations, financial condition and operational results.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ownership interests in the land subject to these licenses, easements, leases and rights-of-way may be subject to mortgages securing loans or other liens (such as tax liens) and other easements, lease rights and rights-of-way of third parties (such as leases of mineral rights). As a result, certain of our Biogas Conversion Projects’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owners and operators of biogas project sites generally make no warranties to us as to the quality or quantity of gas produced.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such as,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at the biogas conversion project site facilities. We cannot guarantee that our production will be free from operational risks, nor can we guarantee the production of a sufficient quantity and quality of biogas from the owners and operators of biogas conversion project sites. However, our facilities are engineered and designed to process varying levels of biogas quantities and varying levels of potential biogas impurities.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From time to time, we face disputes or disagreements with owners and operators of biogas project sites which could materially impact our ability to continue to develop and/or operate an existing Biogas Conversion Project on its current basis, or at all, and could materially delay or eliminate our ability to identify and successfully secure the rights to construct and operate other future Biogas Conversion Projects.</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in part, on maintaining good relationships with biogas conversion project site owners and operators. As a result, our business may be adversely affected if we are unable to maintain these relationships.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economic interests in biogas conversion project sites are not always aligned with the economic interests of the site owners and operators. 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They may or may not consult with us, including in circumstances where they have a contractual obligation to do so, and unilateral decisions made by the biogas conversion project site owners and operators regarding the operations or management of their business could impact our ability to produce RNG or Renewable Power, and generate the associated Environmental Attributes. If we have a favorable relationship with site owners and operators, we may be able to mitigate certain risks if given the opportunity to provide input into the owners’ and operators’ decision-making process.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financial condition of the biogas conversion project sites may be affected in large part by conditions and events that are beyond our control. Significant deteriorations in the financial condition of any biogas conversion project waste site could cause the biogas conversion project site owners and operators to unilaterally decide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good relationships with these site owners and operators, or if they take any actions that disrupt or halt production of RNG or Renewable Power, our business, growth strategy, financial condition and results of operations could be materially and adversely affected.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 powered vehicles and to contract with us for the provision of CNG to said fleets.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Vehicle and engine manufacturers control the development, production, quality assurance, cost and sales and marketing of their products, all of which shape the performance, availability and reputation of such vehicles in the marketplace. We are dependent on these vehicle and engine manufacturers to succeed in our target RNG fuel dispensing markets, and we have no influence or control over their activities.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These vehicle and engine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w:t>
      </w:r>
      <w:r>
        <w:rPr>
          <w:rFonts w:ascii="Times New Roman;sans-serif" w:hAnsi="Times New Roman;sans-serif"/>
          <w:b/>
          <w:i/>
          <w:color w:val="000000"/>
          <w:sz w:val="20"/>
        </w:rPr>
        <w:t>Advanced Clean Trucks Regulation</w:t>
      </w:r>
      <w:r>
        <w:rPr>
          <w:color w:val="000000"/>
        </w:rPr>
        <w:t>”</w:t>
      </w:r>
      <w:r>
        <w:rPr>
          <w:rFonts w:ascii="Times New Roman;sans-serif" w:hAnsi="Times New Roman;sans-serif"/>
          <w:b w:val="false"/>
          <w:color w:val="000000"/>
          <w:sz w:val="20"/>
        </w:rPr>
        <w:t>) and Executive Order N-79-20 issued by the Governor of the State of California in September 2020 (the “</w:t>
      </w:r>
      <w:r>
        <w:rPr>
          <w:rFonts w:ascii="Times New Roman;sans-serif" w:hAnsi="Times New Roman;sans-serif"/>
          <w:b/>
          <w:i/>
          <w:color w:val="000000"/>
          <w:sz w:val="20"/>
        </w:rPr>
        <w:t>September 2020 Executive Order</w:t>
      </w:r>
      <w:r>
        <w:rPr>
          <w:color w:val="000000"/>
        </w:rPr>
        <w:t>”</w:t>
      </w:r>
      <w:r>
        <w:rPr>
          <w:rFonts w:ascii="Times New Roman;sans-serif" w:hAnsi="Times New Roman;sans-serif"/>
          <w:b w:val="false"/>
          <w:color w:val="000000"/>
          <w:sz w:val="20"/>
        </w:rPr>
        <w:t>). The supply of engines or vehicle product lines by these vehicle and engine manufacturers may also be disrupted due to delays, restrictions or other business impacts related to the COVID-19 pandemic and supply chain disruptions or crises.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and components manufactured and supplied by third parties, and on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 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(i) our production and distribution of RNG and Renewable Power, (ii) generation of related Environmental Attributes, (iii) meeting our obligations to dispense RNG at Fueling Stations, and (iv) maintaining current relationships and attracting new relationships, in each case, potentially harming our brand, reputation and growth prospects.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particularly in regards to the operation of our landfill gas electric generating facilities.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federal, state and local EHS laws and regulations, including those relating to (i) the release, emission or discharge of materials into the air, water and ground, (ii) the generation, storage, handling, use, transportation and disposal of hazardous materials and wastes, and (iii) the health and safety of our employees and other persons.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impose numerous obligations applicable to our operations, including (i) the acquisition of permits before construction and operation of our Biogas Conversion Projects and Fueling Stations; (ii) the restriction of types, quantities and concentration of materials that can be released into the environment; (iii) the limitation or prohibition of our activities on certain lands lying within wilderness, wetlands and other protected areas; (iv) the application of specific health and safety criteria addressing worker protection; and (v)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 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that we have that contemplate production from the non-complying facility, (iv) the imposition of liens, fines, refunds and interest, and/or civil or criminal liability, and (vi) delay or prevent new Biogas Conversion Projects and Fueling Stations from being developed.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U.S. Environmental Protection Agency (“</w:t>
      </w:r>
      <w:r>
        <w:rPr>
          <w:rFonts w:ascii="Times New Roman;sans-serif" w:hAnsi="Times New Roman;sans-serif"/>
          <w:b/>
          <w:i/>
          <w:color w:val="000000"/>
          <w:sz w:val="20"/>
        </w:rPr>
        <w:t>EPA</w:t>
      </w:r>
      <w:r>
        <w:rPr>
          <w:color w:val="000000"/>
        </w:rPr>
        <w:t>”</w:t>
      </w:r>
      <w:r>
        <w:rPr>
          <w:rFonts w:ascii="Times New Roman;sans-serif" w:hAnsi="Times New Roman;sans-serif"/>
          <w:b w:val="false"/>
          <w:color w:val="000000"/>
          <w:sz w:val="20"/>
        </w:rPr>
        <w:t>) annually sets proposed and actual renewable volume obligations (“</w:t>
      </w:r>
      <w:r>
        <w:rPr>
          <w:rFonts w:ascii="Times New Roman;sans-serif" w:hAnsi="Times New Roman;sans-serif"/>
          <w:b/>
          <w:i/>
          <w:color w:val="000000"/>
          <w:sz w:val="20"/>
        </w:rPr>
        <w:t>RVOs</w:t>
      </w:r>
      <w:r>
        <w:rPr>
          <w:color w:val="000000"/>
        </w:rPr>
        <w:t>”</w:t>
      </w:r>
      <w:r>
        <w:rPr>
          <w:rFonts w:ascii="Times New Roman;sans-serif" w:hAnsi="Times New Roman;sans-serif"/>
          <w:b w:val="false"/>
          <w:color w:val="000000"/>
          <w:sz w:val="20"/>
        </w:rPr>
        <w:t>) for the Renewable Identification Numbers (“</w:t>
      </w:r>
      <w:r>
        <w:rPr>
          <w:rFonts w:ascii="Times New Roman;sans-serif" w:hAnsi="Times New Roman;sans-serif"/>
          <w:b/>
          <w:i/>
          <w:color w:val="000000"/>
          <w:sz w:val="20"/>
        </w:rPr>
        <w:t>RIN</w:t>
      </w:r>
      <w:r>
        <w:rPr>
          <w:color w:val="000000"/>
        </w:rPr>
        <w:t>”</w:t>
      </w:r>
      <w:r>
        <w:rPr>
          <w:rFonts w:ascii="Times New Roman;sans-serif" w:hAnsi="Times New Roman;sans-serif"/>
          <w:b w:val="false"/>
          <w:color w:val="000000"/>
          <w:sz w:val="20"/>
        </w:rPr>
        <w:t>) market in accordance with the mandates established by the Energy Independence and Security Act of 2007 (the “</w:t>
      </w:r>
      <w:r>
        <w:rPr>
          <w:rFonts w:ascii="Times New Roman;sans-serif" w:hAnsi="Times New Roman;sans-serif"/>
          <w:b/>
          <w:i/>
          <w:color w:val="000000"/>
          <w:sz w:val="20"/>
        </w:rPr>
        <w:t>EISA</w:t>
      </w:r>
      <w:r>
        <w:rPr>
          <w:color w:val="000000"/>
        </w:rPr>
        <w:t>”</w:t>
      </w:r>
      <w:r>
        <w:rPr>
          <w:rFonts w:ascii="Times New Roman;sans-serif" w:hAnsi="Times New Roman;sans-serif"/>
          <w:b w:val="false"/>
          <w:color w:val="000000"/>
          <w:sz w:val="20"/>
        </w:rPr>
        <w:t>). The EPA’s issuance of timely and sufficient annual RVOs to accommodate the RNG industry’s growing production levels may be needed to stabilize the RIN market. There can be no assurance that the EPA will timely set annual RVOs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The current authorization for the EPA’s issuance of RVOs will expire beginning in 2023, and the EPA may issue RVOs under a modified system that has yet to be developed, which creates additional uncertainty as to RIN pricing. Uncertainty as to how the Renewable Fuel Standard (“</w:t>
      </w:r>
      <w:r>
        <w:rPr>
          <w:rFonts w:ascii="Times New Roman;sans-serif" w:hAnsi="Times New Roman;sans-serif"/>
          <w:b/>
          <w:i/>
          <w:color w:val="000000"/>
          <w:sz w:val="20"/>
        </w:rPr>
        <w:t>RFS</w:t>
      </w:r>
      <w:r>
        <w:rPr>
          <w:color w:val="000000"/>
        </w:rPr>
        <w:t>”</w:t>
      </w:r>
      <w:r>
        <w:rPr>
          <w:rFonts w:ascii="Times New Roman;sans-serif" w:hAnsi="Times New Roman;sans-serif"/>
          <w:b w:val="false"/>
          <w:color w:val="000000"/>
          <w:sz w:val="20"/>
        </w:rPr>
        <w:t>)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the state level, the economics of RNG are enhanced by low-carbon fuel initiatives, particularly a well-established Low Carbon Fuel Standard (“</w:t>
      </w:r>
      <w:r>
        <w:rPr>
          <w:rFonts w:ascii="Times New Roman;sans-serif" w:hAnsi="Times New Roman;sans-serif"/>
          <w:b/>
          <w:i/>
          <w:color w:val="000000"/>
          <w:sz w:val="20"/>
        </w:rPr>
        <w:t>LCFS</w:t>
      </w:r>
      <w:r>
        <w:rPr>
          <w:color w:val="000000"/>
        </w:rPr>
        <w:t>”</w:t>
      </w:r>
      <w:r>
        <w:rPr>
          <w:rFonts w:ascii="Times New Roman;sans-serif" w:hAnsi="Times New Roman;sans-serif"/>
          <w:b w:val="false"/>
          <w:color w:val="000000"/>
          <w:sz w:val="20"/>
        </w:rPr>
        <w:t>) program in California and similar developing programs in Oregon and Washington (with several other states also actively considering similar initiatives). In California’s case, in 2009, the California Air Resource Board (“</w:t>
      </w:r>
      <w:r>
        <w:rPr>
          <w:rFonts w:ascii="Times New Roman;sans-serif" w:hAnsi="Times New Roman;sans-serif"/>
          <w:b/>
          <w:i/>
          <w:color w:val="000000"/>
          <w:sz w:val="20"/>
        </w:rPr>
        <w:t>CARB</w:t>
      </w:r>
      <w:r>
        <w:rPr>
          <w:color w:val="000000"/>
        </w:rPr>
        <w:t>”</w:t>
      </w:r>
      <w:r>
        <w:rPr>
          <w:rFonts w:ascii="Times New Roman;sans-serif" w:hAnsi="Times New Roman;sans-serif"/>
          <w:b w:val="false"/>
          <w:color w:val="000000"/>
          <w:sz w:val="20"/>
        </w:rPr>
        <w:t>) adopted LCFS regulations aimed at reducing the Carbon Intensity (“</w:t>
      </w:r>
      <w:r>
        <w:rPr>
          <w:rFonts w:ascii="Times New Roman;sans-serif" w:hAnsi="Times New Roman;sans-serif"/>
          <w:b/>
          <w:i/>
          <w:color w:val="000000"/>
          <w:sz w:val="20"/>
        </w:rPr>
        <w:t>CI</w:t>
      </w:r>
      <w:r>
        <w:rPr>
          <w:color w:val="000000"/>
        </w:rPr>
        <w:t>”</w:t>
      </w:r>
      <w:r>
        <w:rPr>
          <w:rFonts w:ascii="Times New Roman;sans-serif" w:hAnsi="Times New Roman;sans-serif"/>
          <w:b w:val="false"/>
          <w:color w:val="000000"/>
          <w:sz w:val="20"/>
        </w:rPr>
        <w:t>) of transportation fuel sold and purchased in the state. A CI score is calculated as grams of CO</w:t>
      </w:r>
      <w:r>
        <w:rPr>
          <w:color w:val="000000"/>
        </w:rPr>
        <w:t xml:space="preserve">₂ </w:t>
      </w:r>
      <w:r>
        <w:rPr>
          <w:rFonts w:ascii="Times New Roman;sans-serif" w:hAnsi="Times New Roman;sans-serif"/>
          <w:b w:val="false"/>
          <w:color w:val="000000"/>
          <w:sz w:val="20"/>
        </w:rPr>
        <w:t>equivalent per megajoule of energy by the fuel. Under the California and California-type LCFS programs, the CI score is dependent upon a full lifecycle analysis that evaluates the greenhouse gases (“</w:t>
      </w:r>
      <w:r>
        <w:rPr>
          <w:rFonts w:ascii="Times New Roman;sans-serif" w:hAnsi="Times New Roman;sans-serif"/>
          <w:b/>
          <w:i/>
          <w:color w:val="000000"/>
          <w:sz w:val="20"/>
        </w:rPr>
        <w:t>GHG</w:t>
      </w:r>
      <w:r>
        <w:rPr>
          <w:color w:val="000000"/>
        </w:rPr>
        <w:t>”</w:t>
      </w:r>
      <w:r>
        <w:rPr>
          <w:rFonts w:ascii="Times New Roman;sans-serif" w:hAnsi="Times New Roman;sans-serif"/>
          <w:b w:val="false"/>
          <w:color w:val="000000"/>
          <w:sz w:val="20"/>
        </w:rPr>
        <w:t>)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Moreover, the inability to sell LCFS credits could adversely affect our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generate revenue from sales of RINs and LCFS credits depends on our strict compliance with such federal and state programs, which are complex and can involve a significant degree of judgment. If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agencies that administer and enforce these programs disagree with our judgments, otherwise determine that we are not in compliance, 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business is influenced by laws, rules and regulations that require reductions in carbon emissions and/or the use of renewable fuels, such as the programs under which we generate Environmental Credits. These programs and regulations, which have the effect of encouraging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All of our current electric generating facilities are qualifying small power production facilities (“</w:t>
      </w:r>
      <w:r>
        <w:rPr>
          <w:rFonts w:ascii="Times New Roman;sans-serif" w:hAnsi="Times New Roman;sans-serif"/>
          <w:b/>
          <w:i/>
          <w:color w:val="000000"/>
          <w:sz w:val="20"/>
        </w:rPr>
        <w:t>QFs</w:t>
      </w:r>
      <w:r>
        <w:rPr>
          <w:color w:val="000000"/>
        </w:rPr>
        <w:t>”</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obtaining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w:t>
      </w:r>
      <w:r>
        <w:rPr>
          <w:rFonts w:ascii="Times New Roman;sans-serif" w:hAnsi="Times New Roman;sans-serif"/>
          <w:b/>
          <w:i/>
          <w:color w:val="000000"/>
          <w:sz w:val="20"/>
        </w:rPr>
        <w:t>MBR Authority</w:t>
      </w:r>
      <w:r>
        <w:rPr>
          <w:color w:val="000000"/>
        </w:rPr>
        <w:t>”</w:t>
      </w:r>
      <w:r>
        <w:rPr>
          <w:rFonts w:ascii="Times New Roman;sans-serif" w:hAnsi="Times New Roman;sans-serif"/>
          <w:b w:val="false"/>
          <w:color w:val="000000"/>
          <w:sz w:val="20"/>
        </w:rPr>
        <w:t>) or any other approval from the U.S. Federal Energy Regulatory Commission (“</w:t>
      </w:r>
      <w:r>
        <w:rPr>
          <w:rFonts w:ascii="Times New Roman;sans-serif" w:hAnsi="Times New Roman;sans-serif"/>
          <w:b/>
          <w:i/>
          <w:color w:val="000000"/>
          <w:sz w:val="20"/>
        </w:rPr>
        <w:t>FERC</w:t>
      </w:r>
      <w:r>
        <w:rPr>
          <w:color w:val="000000"/>
        </w:rPr>
        <w:t>”</w:t>
      </w:r>
      <w:r>
        <w:rPr>
          <w:rFonts w:ascii="Times New Roman;sans-serif" w:hAnsi="Times New Roman;sans-serif"/>
          <w:b w:val="false"/>
          <w:color w:val="000000"/>
          <w:sz w:val="20"/>
        </w:rPr>
        <w:t>).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FPA and eliminate QF status, in which case we would likely have to obtain MBR Authority and sell competitively in the market. If this were to happen, in all likelihood our QFs would not be competitive in the market place.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intend to develop, construct or operate electric generating facilities that would require us to apply for and receive MBR Authority from FERC. Nevertheless, were we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 Authority were later to lose their MBR Authority, they would be required to obtain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 site owners and operators are also subject to extensive federal, state and local regulations and policies, including permitting requirements, on account of their separate operations. Any failure on their part to comply with any laws, regulations, rules or permits, applicable to them may also adversely affect our business, investments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The permits required to be obtained and maintained by biogas conversion project site owners and operations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by biogas conversion project site owners and operators to comply with extensive federal, state and local regulations and policies, including permitting requirements, may result in the suspension or cessation of waste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w:t>
      </w:r>
      <w:r>
        <w:rPr>
          <w:rFonts w:ascii="Times New Roman;sans-serif" w:hAnsi="Times New Roman;sans-serif"/>
          <w:b/>
          <w:i/>
          <w:color w:val="000000"/>
          <w:sz w:val="20"/>
        </w:rPr>
        <w:t>RPS</w:t>
      </w:r>
      <w:r>
        <w:rPr>
          <w:color w:val="000000"/>
        </w:rPr>
        <w:t>”</w:t>
      </w:r>
      <w:r>
        <w:rPr>
          <w:rFonts w:ascii="Times New Roman;sans-serif" w:hAnsi="Times New Roman;sans-serif"/>
          <w:b w:val="false"/>
          <w:color w:val="000000"/>
          <w:sz w:val="20"/>
        </w:rPr>
        <w:t>)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See </w:t>
      </w:r>
      <w:r>
        <w:rPr>
          <w:color w:val="000000"/>
        </w:rPr>
        <w:t>— “</w:t>
      </w:r>
      <w:r>
        <w:rPr>
          <w:rFonts w:ascii="Times New Roman;sans-serif" w:hAnsi="Times New Roman;sans-serif"/>
          <w:b w:val="false"/>
          <w:i/>
          <w:color w:val="000000"/>
          <w:sz w:val="20"/>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landfill gas rights agreements. Further, such failures, delays or increased costs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third-party utility companies to provide sufficient utilities including sewer, water, gas and electricity, to sustain our operations and operate our Biogas Conversion Projects. Any major or sustained disruptions in the supply of utilities, such as water, gas or electricity or any fire, flood or other natural calamities, may disrupt our operations or damage our production facilities or inventories and could adversely affect our business,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litigation or administrative proceedings that could materially impact our operations, including proceedings in the future related to our projects we subsequently acquire.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 See </w:t>
      </w:r>
      <w:r>
        <w:rPr>
          <w:color w:val="000000"/>
        </w:rPr>
        <w:t>“</w:t>
      </w:r>
      <w:r>
        <w:rPr>
          <w:rFonts w:ascii="Times New Roman;sans-serif" w:hAnsi="Times New Roman;sans-serif"/>
          <w:b w:val="false"/>
          <w:i/>
          <w:color w:val="000000"/>
          <w:sz w:val="20"/>
        </w:rPr>
        <w:t>Business—Legal Proceedings</w:t>
      </w:r>
      <w:r>
        <w:rPr>
          <w:rFonts w:ascii="Times New Roman;sans-serif" w:hAnsi="Times New Roman;sans-serif"/>
          <w:b w:val="false"/>
          <w:color w:val="000000"/>
          <w:sz w:val="20"/>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own, and in the future may acquire, certain assets in which we have limited control over management decisions, including through joint ventures, and our interests in such assets may be subject to transfer or other related restrictions.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changes in natural gas price indices, project productivity or other metrics and involve complex calculations. 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Risks Related to Our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A reduction in the prices we can obtain for the Environmental Attributes generated from RNG, which include RINs, LCFS credits, and other incentives, could have a material adverse effect on our business prospects, financial condition and results of operations</w:t>
      </w:r>
      <w:r>
        <w:rPr>
          <w:rFonts w:ascii="Times New Roman;sans-serif" w:hAnsi="Times New Roman;sans-serif"/>
          <w:b/>
          <w:color w:val="000000"/>
          <w:sz w:val="20"/>
        </w:rPr>
        <w: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revenues comes from the sale of RINs and LCFS credits, which exist because of legal and governmental regulatory requirements. A change in law or in governmental policies concerning renewable fuels, landfill or animal waste site biogas or the sale of RINs and LCFS could be expected to affect the market for, and the pricing of, the RINs and LCFS credits that we can generate through production at our Biogas Conversion Projects. A reduction in the prices we receive for RINs and LCFS credits, or a reduction in demand for RINs or LCFS credits, whether through market forces generally, through the actions of market participants generally, or through the consolidation or elimination of participants competing in the market for the purchase and retirement of RINs or LCFS credits, could have a material adverse effect on our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volatility in the price of oil, gasoline, diesel, natural gas, RNG, or Environmental Attribute prices could adversely affect our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Specifically, prices for crude oil, which is the commodity used to make gasoline and diesel, have been lower in recent years, due in part to over-production and increased supply without a corresponding increase in demand, and oil prices decreased further in 2020, hitting an all-time low due to the COVID-19 pandemic. More recently, that trend has reversed with oil prices rebounding substantially. Nevertheless, if the prices of crude oil, gasoline and diesel decline again,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face declining market prices for LCFS credits specifically within California as well as significant upward pressure on the costs associated with dispensing RNG specifically within California to generate the LCFS credits.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prices for LCFS credits specifically within California have declined over the past twelve months,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pPr>
      <w:r>
        <w:rPr>
          <w:rFonts w:ascii="Times New Roman;sans-serif" w:hAnsi="Times New Roman;sans-serif"/>
          <w:b/>
          <w:i/>
          <w:color w:val="000000"/>
          <w:sz w:val="20"/>
        </w:rPr>
        <w:t>A prolonged environment of low prices or reduced demand for Renewable Power could have a material adverse effect on our business prospects, financial condition and results of operations</w:t>
      </w:r>
      <w:r>
        <w:rPr>
          <w:rFonts w:ascii="Times New Roman;sans-serif" w:hAnsi="Times New Roman;sans-serif"/>
          <w:b/>
          <w:color w:val="000000"/>
          <w:sz w:val="20"/>
        </w:rPr>
        <w: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 development of new fuels or new technologies for the production of power; (vii) federal and state regulations; and (viii) actions of the Independent System Operators (“</w:t>
      </w:r>
      <w:r>
        <w:rPr>
          <w:rFonts w:ascii="Times New Roman;sans-serif" w:hAnsi="Times New Roman;sans-serif"/>
          <w:b/>
          <w:i/>
          <w:color w:val="000000"/>
          <w:sz w:val="20"/>
        </w:rPr>
        <w:t>ISOs</w:t>
      </w:r>
      <w:r>
        <w:rPr>
          <w:color w:val="000000"/>
        </w:rPr>
        <w:t>”</w:t>
      </w:r>
      <w:r>
        <w:rPr>
          <w:rFonts w:ascii="Times New Roman;sans-serif" w:hAnsi="Times New Roman;sans-serif"/>
          <w:b w:val="false"/>
          <w:color w:val="000000"/>
          <w:sz w:val="20"/>
        </w:rPr>
        <w:t>) and Regional Transmission Organizations (“</w:t>
      </w:r>
      <w:r>
        <w:rPr>
          <w:rFonts w:ascii="Times New Roman;sans-serif" w:hAnsi="Times New Roman;sans-serif"/>
          <w:b/>
          <w:i/>
          <w:color w:val="000000"/>
          <w:sz w:val="20"/>
        </w:rPr>
        <w:t>RTOs</w:t>
      </w:r>
      <w:r>
        <w:rPr>
          <w:color w:val="000000"/>
        </w:rPr>
        <w:t>”</w:t>
      </w:r>
      <w:r>
        <w:rPr>
          <w:rFonts w:ascii="Times New Roman;sans-serif" w:hAnsi="Times New Roman;sans-serif"/>
          <w:b w:val="false"/>
          <w:color w:val="000000"/>
          <w:sz w:val="20"/>
        </w:rPr>
        <w:t>) that control and administer regional power markets.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volume and composition of landfill gas (“</w:t>
      </w:r>
      <w:r>
        <w:rPr>
          <w:rFonts w:ascii="Times New Roman;sans-serif" w:hAnsi="Times New Roman;sans-serif"/>
          <w:b/>
          <w:i/>
          <w:color w:val="000000"/>
          <w:sz w:val="20"/>
        </w:rPr>
        <w:t>LFG</w:t>
      </w:r>
      <w:r>
        <w:rPr>
          <w:color w:val="000000"/>
        </w:rPr>
        <w:t>”</w:t>
      </w:r>
      <w:r>
        <w:rPr>
          <w:rFonts w:ascii="Times New Roman;sans-serif" w:hAnsi="Times New Roman;sans-serif"/>
          <w:b w:val="false"/>
          <w:color w:val="000000"/>
          <w:sz w:val="20"/>
        </w:rPr>
        <w:t>)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landfill gas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this deployment of capital may lead to advances which could adversely affect our sources of landfill gas or provide new or alternative methods of waste disposal or energy generation that become more accepted, or more attractive, than landfills.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use, and may continue in the future to use, forward-sale and hedging arrangements, to mitigate certain risks, but the use of such arrangements could have a material adverse effect on our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 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Risks Related to Our Business and Industry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Biogas Capture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acquire, convert, develop and operate Biogas Conversion Projects, as well as expand production at current Biogas Conversion Projects, is subject to many risks.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includes (i) the conversion of LFG projects from Renewable Power to RNG production where we already controls biogas gas rights, (ii) growth through the procurement of landfill gas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acquire, convert, develop and operate Biogas Conversion Projects, as well as expand production at current Biogas Conversion Projects, is subject to several additional risks, including:</w: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energy commodity prices, such as natural gas and wholesale electricity prices, which could have a significant effect on our revenues and expenses;</w:t>
            </w:r>
          </w:p>
        </w:tc>
      </w:tr>
    </w:tbl>
    <w:p>
      <w:pPr>
        <w:pStyle w:val="TextBody"/>
        <w:bidi w:val="0"/>
        <w:spacing w:lineRule="auto" w:line="240"/>
        <w:ind w:left="0" w:right="0" w:hanging="48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pipeline gas quality standards or other regulatory changes that may limit our ability to transport RNG on pipelines for delivery to third parties or increase the costs of processing RNG to allow for such deliveries;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broader waste collection industry, including changes affecting the waste collection and biogas potential of the landfill industry, which could limit the LFG resource that we currently target for our Biogas Conversion Projects;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risks and the effect of disruptions on our business, including the effects of global health crises, such as the COVID-19 pandemic, weather conditions, catastrophic events, such as fires, explosions, earthquakes, droughts and acts of terrorism, and other force majeure events that impact us, our counterparties, suppliers, distributors and subcontractors;</w:t>
            </w:r>
          </w:p>
        </w:tc>
      </w:tr>
    </w:tbl>
    <w:p>
      <w:pPr>
        <w:pStyle w:val="TextBody"/>
        <w:bidi w:val="0"/>
        <w:spacing w:lineRule="auto" w:line="240" w:before="0" w:after="0"/>
        <w:ind w:left="0" w:right="0" w:hanging="480"/>
        <w:jc w:val="both"/>
        <w:rPr>
          <w:color w:val="000000"/>
        </w:rPr>
      </w:pPr>
      <w:r>
        <w:rPr>
          <w:color w:val="000000"/>
        </w:rPr>
        <w:t> </w:t>
      </w:r>
    </w:p>
    <w:tbl>
      <w:tblPr>
        <w:tblW w:w="51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16"/>
        <w:gridCol w:w="1316"/>
        <w:gridCol w:w="1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entering into markets where we have less experience, such as our Biogas Conversion Projects for biogas recovery at livestock farms;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failures or delays in obtaining desired or necessary land rights, including ownership, leases, easements, zoning rights and building permits;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keeping in good standing permits, authorizations and consents from local city, county, state and US federal government agencies and organizations;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penalties, including potential termination, under short-term and long-term contracts for failing to produce or deliver a sufficient quantity and acceptable quality of RNG in accordance with our contractual obligations;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unknown regulatory changes related to the transportation of RNG, which may increase the transportation cost for delivering under our contracts then in effect;</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consent and authorization of local utilities or other energy development off-takers to ensure successful interconnection to energy grids to enable power and gas sales; and</w:t>
            </w:r>
          </w:p>
        </w:tc>
      </w:tr>
    </w:tbl>
    <w:p>
      <w:pPr>
        <w:pStyle w:val="TextBody"/>
        <w:bidi w:val="0"/>
        <w:spacing w:lineRule="auto" w:line="240" w:before="0" w:after="0"/>
        <w:ind w:left="0" w:right="0" w:hanging="480"/>
        <w:jc w:val="both"/>
        <w:rPr>
          <w:color w:val="000000"/>
        </w:rPr>
      </w:pPr>
      <w:r>
        <w:rPr>
          <w:color w:val="000000"/>
        </w:rPr>
        <w:t> </w:t>
      </w:r>
    </w:p>
    <w:tbl>
      <w:tblPr>
        <w:tblW w:w="90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61"/>
        <w:gridCol w:w="2461"/>
        <w:gridCol w:w="34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Biogas Conversion Projects.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prevent us from acquiring, developing, converting, operating or expanding our Biogas Conversion Projects, or otherwise adversely affect our business, growth potential, financial condition and results of operations.</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Acquiring Biogas Conversion Projects involves numerous risks, including potential exposure to pre-existing liabilities, unanticipated costs in acquiring and implementing the project, and lack of or limited experience in new geographic markets.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of existing Biogas Conversion Projects involves numerous risks, many of which may be indiscoverable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risks related to acquiring existing projects, include:</w: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we pay could significantly deplete our cash reserves or result in dilution to our existing stockholders;</w:t>
            </w:r>
          </w:p>
        </w:tc>
      </w:tr>
    </w:tbl>
    <w:p>
      <w:pPr>
        <w:pStyle w:val="TextBody"/>
        <w:bidi w:val="0"/>
        <w:spacing w:lineRule="auto" w:line="240" w:before="0" w:after="0"/>
        <w:ind w:left="0" w:right="0" w:hanging="480"/>
        <w:jc w:val="both"/>
        <w:rPr>
          <w:color w:val="000000"/>
        </w:rPr>
      </w:pPr>
      <w:r>
        <w:rPr>
          <w:color w:val="000000"/>
        </w:rPr>
        <w:t> </w:t>
      </w:r>
    </w:p>
    <w:tbl>
      <w:tblPr>
        <w:tblW w:w="92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2"/>
        <w:gridCol w:w="2512"/>
        <w:gridCol w:w="3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acquired companies or assets may not improve our customer offerings or market position as planned;</w:t>
            </w:r>
          </w:p>
        </w:tc>
      </w:tr>
    </w:tbl>
    <w:p>
      <w:pPr>
        <w:pStyle w:val="TextBody"/>
        <w:bidi w:val="0"/>
        <w:spacing w:lineRule="auto" w:line="240" w:before="0" w:after="0"/>
        <w:ind w:left="0" w:right="0" w:hanging="480"/>
        <w:jc w:val="both"/>
        <w:rPr>
          <w:color w:val="000000"/>
        </w:rPr>
      </w:pPr>
      <w:r>
        <w:rPr>
          <w:color w:val="000000"/>
        </w:rPr>
        <w:t> </w:t>
      </w:r>
    </w:p>
    <w:tbl>
      <w:tblPr>
        <w:tblW w:w="82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12"/>
        <w:gridCol w:w="2212"/>
        <w:gridCol w:w="31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have difficulty integrating the operations and personnel of the acquired companies;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 personnel and counterparties of the acquired companies may terminate their relationships with the acquired companies as a result of or following the acquisition;</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additional financial and accounting challenges and complexities in certain areas, such as tax planning and financial reporting;</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additional costs and expenses related to complying with additional laws, rules or regulations in new jurisdictions;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assume or be held liable for risks and liabilities (including for environmental-related costs) as a result of our acquisitions, some of which we may not discover during our due diligence or adequately adjust for in our acquisition arrangements;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ongoing business and management’s attention may be disrupted or diverted by transition or integration issues and the complexity of managing geographically diverse enterprises;</w:t>
            </w:r>
          </w:p>
        </w:tc>
      </w:tr>
    </w:tbl>
    <w:p>
      <w:pPr>
        <w:pStyle w:val="TextBody"/>
        <w:bidi w:val="0"/>
        <w:spacing w:lineRule="auto" w:line="240" w:before="0" w:after="0"/>
        <w:ind w:left="0" w:right="0" w:hanging="480"/>
        <w:jc w:val="both"/>
        <w:rPr>
          <w:color w:val="000000"/>
        </w:rPr>
      </w:pPr>
      <w:r>
        <w:rPr>
          <w:color w:val="000000"/>
        </w:rPr>
        <w:t> </w:t>
      </w:r>
    </w:p>
    <w:tbl>
      <w:tblPr>
        <w:tblW w:w="82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23"/>
        <w:gridCol w:w="2223"/>
        <w:gridCol w:w="31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one-time write-offs or restructuring charges in connection with an acquisition;</w:t>
            </w:r>
          </w:p>
        </w:tc>
      </w:tr>
    </w:tbl>
    <w:p>
      <w:pPr>
        <w:pStyle w:val="TextBody"/>
        <w:bidi w:val="0"/>
        <w:spacing w:before="0" w:after="0"/>
        <w:ind w:left="0" w:right="0" w:hanging="48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goodwill and other intangible assets that are subject to amortization or impairment tests, which could result in future charges to earnings; and</w:t>
            </w:r>
          </w:p>
        </w:tc>
      </w:tr>
    </w:tbl>
    <w:p>
      <w:pPr>
        <w:pStyle w:val="TextBody"/>
        <w:bidi w:val="0"/>
        <w:spacing w:lineRule="auto" w:line="240" w:before="0" w:after="0"/>
        <w:ind w:left="0" w:right="0" w:hanging="480"/>
        <w:jc w:val="both"/>
        <w:rPr>
          <w:color w:val="000000"/>
        </w:rPr>
      </w:pPr>
      <w:r>
        <w:rPr>
          <w:color w:val="000000"/>
        </w:rPr>
        <w:t> </w:t>
      </w:r>
    </w:p>
    <w:tbl>
      <w:tblPr>
        <w:tblW w:w="79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19"/>
        <w:gridCol w:w="2119"/>
        <w:gridCol w:w="3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cost savings or other financial benefits we anticipated.</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ongoing operation of our Biogas Conversion Projects involves risks that include the breakdown or failure of equipment or processes or performance below expected levels of output or efficiency due to wear and tear of our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including the ongoing COVID-19 pandemic,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development and operation of our Biogas Conversion Projects involves significant risks and hazards.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some of our facilities are located in areas prone to extreme weather conditions, most notably extreme cold such as has recently occurred in Texas, Oklahoma, Michigan and Minnesota.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 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w:t>
      </w:r>
      <w:r>
        <w:rPr>
          <w:rFonts w:ascii="Times New Roman;sans-serif" w:hAnsi="Times New Roman;sans-serif"/>
          <w:b/>
          <w:i/>
          <w:color w:val="000000"/>
          <w:sz w:val="20"/>
        </w:rPr>
        <w:t>Shortfall Amount</w:t>
      </w:r>
      <w:r>
        <w:rPr>
          <w:color w:val="000000"/>
        </w:rPr>
        <w:t>”</w:t>
      </w:r>
      <w:r>
        <w:rPr>
          <w:rFonts w:ascii="Times New Roman;sans-serif" w:hAnsi="Times New Roman;sans-serif"/>
          <w:b w:val="false"/>
          <w:color w:val="000000"/>
          <w:sz w:val="20"/>
        </w:rPr>
        <w: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prospectus and we were not to deliver any further Environmental Attribute volume to NextEra under the agreement, the maximum potential payment to NextEra under these provisions would be approximately $10.6 million based on current market prices for such Environmental Attributes.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Maintenance, expansion and refurbishment of our Biogas Conversion Projects involve the risk of unplanned outages or reduced output, resulting from among other things periodic upgrading and improvement, unplanned breakdowns in equipment, and forced outages.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 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order to maximize collection of landfill gas, we may need to take various measures, such as drilling additional gas wells in the landfill sites to increase landfill gas collection, balancing the pressure on the gas field based on the data collected by the landfill site operator from the gas wells to ensure optimum landfill gas utilization and ensuring that we match availability of engines and related equipment to availability of landfill gas. There can be no guarantee that we will be able to take all necessary measures to maximize collection. In addition, the landfill gas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Sequestering carbon dioxide is subject to numerous laws and regulations with uncertain permitting timelines and costs. We also intend to explore the production of renewable hydrogen sourced from a number of our projects’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RNG, and we may enter into long-term fixed price off-take contracts for green hydrogen that we may produce at our projects. 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 open-access to our transmission asset, should we acquire one. Such acquisitions could have a material adverse effect on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gas and manure rights agreements for Biogas Conversion Projects are subject to certain conditions. A failure to satisfy such conditions could result in the loss of such rights.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Dispensing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 significant share of the market or the market subsequently declines, our business, growth potential, financial condition, and operating results would be harmed.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factors that may influence the adoption of natural gas vehicle fuels, many of which are beyond our control, include, among others:</w:t>
      </w:r>
    </w:p>
    <w:p>
      <w:pPr>
        <w:pStyle w:val="TextBody"/>
        <w:bidi w:val="0"/>
        <w:spacing w:lineRule="auto" w:line="240" w:before="0" w:after="0"/>
        <w:ind w:left="0" w:right="0" w:hanging="480"/>
        <w:jc w:val="both"/>
        <w:rPr>
          <w:color w:val="000000"/>
        </w:rPr>
      </w:pPr>
      <w:r>
        <w:rPr>
          <w:color w:val="000000"/>
        </w:rPr>
        <w:t> </w:t>
      </w:r>
    </w:p>
    <w:tbl>
      <w:tblPr>
        <w:tblW w:w="99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04"/>
        <w:gridCol w:w="2704"/>
        <w:gridCol w:w="38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Lack of demand for trucks that use natural gas vehicle fuels due to business disruptions and depressed oil prices;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Perceptions about the benefits of natural gas vehicle fuels relative to gasoline, diesel and other alternative vehicle fuels, including with respect to factors such as supply, cost savings, environmental benefits and safety;</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volatility in the supply, demand, use and prices of crude oil, gasoline, diesel, RNG, natural gas and other vehicle fuels, such as electricity, hydrogen, renewable diesel, biodiesel and ethanol;</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production, cost, availability, performance, sales and marketing and reputation of engines that are well-suited for the vehicles used in our key customer markets, including heavy and medium-duty trucks and other fleets;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 competition in the market for vehicle fuels generally, and the nature and effect of competitive developments in such market, including improvements in or perceived advantages of other vehicle fuels and engines powered by such fuels;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tc>
      </w:tr>
    </w:tbl>
    <w:p>
      <w:pPr>
        <w:pStyle w:val="TextBody"/>
        <w:bidi w:val="0"/>
        <w:spacing w:lineRule="auto" w:line="240" w:before="0" w:after="0"/>
        <w:ind w:left="0" w:right="0" w:hanging="480"/>
        <w:jc w:val="both"/>
        <w:rPr>
          <w:color w:val="000000"/>
        </w:rPr>
      </w:pPr>
      <w:r>
        <w:rPr>
          <w:color w:val="000000"/>
        </w:rPr>
        <w:t> </w:t>
      </w:r>
    </w:p>
    <w:tbl>
      <w:tblPr>
        <w:tblW w:w="101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61"/>
        <w:gridCol w:w="2761"/>
        <w:gridCol w:w="39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Emissions and other environmental regulations and pressures on producing, transporting, and dispensing our fuels.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CARB adopted the Advanced Clean Trucks regulation, which requires manufacturers to sell a gradually increasing proportion of zero-emission electric trucks, vans and pickup trucks from 2024 onwards.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year 2045, the Advanced Clean Trucks regulation seeks to have every new commercial vehicle sold in California be zero-emissions. Further, in September 2020, the Governor of the State of California issued the September 2020 Executive Order providing that it shall be the goal of California that (i) 100% of in-state sales of new passenger cars and trucks will be zero-emission by 2035, (ii) 100% of medium- and heavy-duty vehicles in California will be zero-emission by 2045 for all operations, where feasible, and by 2035 for drayage trucks, and (iii) the state will transition to 100% zero-emission off-road vehicles and equipment by 2035 where feasible. The September 2020 Executive Order also directed CARB to develop and propose regulations and strategies aimed at achieving the foregoing goals. Among other things, we believe the intent of the Advanced Clean Trucks regulation and the September 2020 Executive Order is to limit and ultimately discontinue the production and use of internal combustion engines because such engines have “tailpipe” emissions. If either the Advanced Clean Trucks regulation or any additional regulations adopted by CARB, including because of the September 2020 Executive Order, is permitted to take effect, it may slow, delay or prevent the adoption by fleets and other commercial consumers of our vehicle fuels, particularly in California. Moreover, because of the adoption of the Advanced Clean Trucks regulation and the issuance of the September 2020 Executive Order, other states have taken steps to enact similar regulations, which actions may accelerate if either regulation is permitted to take effect, thereby slowing, delaying or preventing the adoption of our vehicle fuels in those states as well.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financing, construction, and development of Fueling Station projects by us or our partners that own projects may not commence on anticipated timelines or at all.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financing, construction and development of projects involves numerous risks, including:</w:t>
      </w:r>
    </w:p>
    <w:p>
      <w:pPr>
        <w:pStyle w:val="TextBody"/>
        <w:bidi w:val="0"/>
        <w:spacing w:lineRule="auto" w:line="240" w:before="0" w:after="0"/>
        <w:ind w:left="0" w:right="0" w:hanging="480"/>
        <w:jc w:val="both"/>
        <w:rPr>
          <w:color w:val="000000"/>
        </w:rPr>
      </w:pPr>
      <w:r>
        <w:rPr>
          <w:color w:val="000000"/>
        </w:rPr>
        <w:t> </w:t>
      </w:r>
    </w:p>
    <w:tbl>
      <w:tblPr>
        <w:tblW w:w="75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09"/>
        <w:gridCol w:w="2009"/>
        <w:gridCol w:w="28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difficulties in identifying, obtaining, and permitting suitable sites for new projects;</w:t>
            </w:r>
          </w:p>
        </w:tc>
      </w:tr>
    </w:tbl>
    <w:p>
      <w:pPr>
        <w:pStyle w:val="TextBody"/>
        <w:bidi w:val="0"/>
        <w:spacing w:lineRule="auto" w:line="240" w:before="0" w:after="0"/>
        <w:ind w:left="0" w:right="0" w:hanging="480"/>
        <w:jc w:val="both"/>
        <w:rPr>
          <w:color w:val="000000"/>
        </w:rPr>
      </w:pPr>
      <w:r>
        <w:rPr>
          <w:color w:val="000000"/>
        </w:rPr>
        <w:t> </w:t>
      </w:r>
    </w:p>
    <w:tbl>
      <w:tblPr>
        <w:tblW w:w="56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42"/>
        <w:gridCol w:w="1442"/>
        <w:gridCol w:w="2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all necessary rights to land access and use;</w:t>
            </w:r>
          </w:p>
        </w:tc>
      </w:tr>
    </w:tbl>
    <w:p>
      <w:pPr>
        <w:pStyle w:val="TextBody"/>
        <w:bidi w:val="0"/>
        <w:spacing w:lineRule="auto" w:line="240" w:before="0" w:after="0"/>
        <w:ind w:left="0" w:right="0" w:hanging="480"/>
        <w:jc w:val="both"/>
        <w:rPr>
          <w:color w:val="000000"/>
        </w:rPr>
      </w:pPr>
      <w:r>
        <w:rPr>
          <w:color w:val="000000"/>
        </w:rPr>
        <w:t> </w:t>
      </w:r>
    </w:p>
    <w:tbl>
      <w:tblPr>
        <w:tblW w:w="83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49"/>
        <w:gridCol w:w="2249"/>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cost and schedule for completing construction;</w:t>
            </w:r>
          </w:p>
        </w:tc>
      </w:tr>
    </w:tbl>
    <w:p>
      <w:pPr>
        <w:pStyle w:val="TextBody"/>
        <w:bidi w:val="0"/>
        <w:spacing w:lineRule="auto" w:line="240" w:before="0" w:after="0"/>
        <w:ind w:left="0" w:right="0" w:hanging="480"/>
        <w:jc w:val="both"/>
        <w:rPr>
          <w:color w:val="000000"/>
        </w:rPr>
      </w:pPr>
      <w:r>
        <w:rPr>
          <w:color w:val="000000"/>
        </w:rPr>
        <w:t> </w:t>
      </w:r>
    </w:p>
    <w:tbl>
      <w:tblPr>
        <w:tblW w:w="92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17"/>
        <w:gridCol w:w="2517"/>
        <w:gridCol w:w="3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inaccuracy of assumptions with respect to the biogas potential, including quality, volume, and asset life;</w:t>
            </w:r>
          </w:p>
        </w:tc>
      </w:tr>
    </w:tbl>
    <w:p>
      <w:pPr>
        <w:pStyle w:val="TextBody"/>
        <w:bidi w:val="0"/>
        <w:spacing w:lineRule="auto" w:line="240" w:before="0" w:after="0"/>
        <w:ind w:left="0" w:right="0" w:hanging="480"/>
        <w:jc w:val="both"/>
        <w:rPr>
          <w:color w:val="000000"/>
        </w:rPr>
      </w:pPr>
      <w:r>
        <w:rPr>
          <w:color w:val="000000"/>
        </w:rPr>
        <w:t> </w:t>
      </w:r>
    </w:p>
    <w:tbl>
      <w:tblPr>
        <w:tblW w:w="66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3"/>
        <w:gridCol w:w="1753"/>
        <w:gridCol w:w="24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to obtain financing for a project on acceptable terms or at all;</w:t>
            </w:r>
          </w:p>
        </w:tc>
      </w:tr>
    </w:tbl>
    <w:p>
      <w:pPr>
        <w:pStyle w:val="TextBody"/>
        <w:bidi w:val="0"/>
        <w:spacing w:lineRule="auto" w:line="240" w:before="0" w:after="0"/>
        <w:ind w:left="0" w:right="0" w:hanging="480"/>
        <w:jc w:val="both"/>
        <w:rPr>
          <w:color w:val="000000"/>
        </w:rPr>
      </w:pPr>
      <w:r>
        <w:rPr>
          <w:color w:val="000000"/>
        </w:rPr>
        <w:t> </w:t>
      </w:r>
    </w:p>
    <w:tbl>
      <w:tblPr>
        <w:tblW w:w="69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49"/>
        <w:gridCol w:w="1849"/>
        <w:gridCol w:w="2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delays in deliveries or increases in the price of equipment or other materials;</w:t>
            </w:r>
          </w:p>
        </w:tc>
      </w:tr>
    </w:tbl>
    <w:p>
      <w:pPr>
        <w:pStyle w:val="TextBody"/>
        <w:bidi w:val="0"/>
        <w:spacing w:lineRule="auto" w:line="240" w:before="0" w:after="0"/>
        <w:ind w:left="0" w:right="0" w:hanging="480"/>
        <w:jc w:val="both"/>
        <w:rPr>
          <w:color w:val="000000"/>
        </w:rPr>
      </w:pPr>
      <w:r>
        <w:rPr>
          <w:color w:val="000000"/>
        </w:rPr>
        <w:t> </w:t>
      </w:r>
    </w:p>
    <w:tbl>
      <w:tblPr>
        <w:tblW w:w="83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40"/>
        <w:gridCol w:w="2240"/>
        <w:gridCol w:w="3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permitting and other regulatory issues, license revocation and changes in legal requirements;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in the cost of labor, labor disputes and work stoppages or the inability to find an adequate supply of workers;</w:t>
            </w:r>
          </w:p>
        </w:tc>
      </w:tr>
    </w:tbl>
    <w:p>
      <w:pPr>
        <w:pStyle w:val="TextBody"/>
        <w:bidi w:val="0"/>
        <w:spacing w:lineRule="auto" w:line="240" w:before="0" w:after="0"/>
        <w:ind w:left="0" w:right="0" w:hanging="480"/>
        <w:jc w:val="both"/>
        <w:rPr>
          <w:color w:val="000000"/>
        </w:rPr>
      </w:pPr>
      <w:r>
        <w:rPr>
          <w:color w:val="000000"/>
        </w:rPr>
        <w:t> </w:t>
      </w:r>
    </w:p>
    <w:tbl>
      <w:tblPr>
        <w:tblW w:w="66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2"/>
        <w:gridCol w:w="1752"/>
        <w:gridCol w:w="2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receive quality and timely performance of third-party services;</w:t>
            </w:r>
          </w:p>
        </w:tc>
      </w:tr>
    </w:tbl>
    <w:p>
      <w:pPr>
        <w:pStyle w:val="TextBody"/>
        <w:bidi w:val="0"/>
        <w:spacing w:lineRule="auto" w:line="240" w:before="0" w:after="0"/>
        <w:ind w:left="0" w:right="0" w:hanging="480"/>
        <w:jc w:val="both"/>
        <w:rPr>
          <w:color w:val="000000"/>
        </w:rPr>
      </w:pPr>
      <w:r>
        <w:rPr>
          <w:color w:val="000000"/>
        </w:rPr>
        <w:t> </w:t>
      </w:r>
    </w:p>
    <w:tbl>
      <w:tblPr>
        <w:tblW w:w="51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12"/>
        <w:gridCol w:w="1312"/>
        <w:gridCol w:w="1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unforeseen engineering and environmental problems;</w:t>
            </w:r>
          </w:p>
        </w:tc>
      </w:tr>
    </w:tbl>
    <w:p>
      <w:pPr>
        <w:pStyle w:val="TextBody"/>
        <w:bidi w:val="0"/>
        <w:spacing w:lineRule="auto" w:line="240" w:before="0" w:after="0"/>
        <w:ind w:left="0" w:right="0" w:hanging="480"/>
        <w:jc w:val="both"/>
        <w:rPr>
          <w:color w:val="000000"/>
        </w:rPr>
      </w:pPr>
      <w:r>
        <w:rPr>
          <w:color w:val="000000"/>
        </w:rPr>
        <w:t> </w:t>
      </w:r>
    </w:p>
    <w:tbl>
      <w:tblPr>
        <w:tblW w:w="42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40"/>
        <w:gridCol w:w="1040"/>
        <w:gridCol w:w="1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overruns or supply chain disruptions;</w:t>
            </w:r>
          </w:p>
        </w:tc>
      </w:tr>
    </w:tbl>
    <w:p>
      <w:pPr>
        <w:pStyle w:val="TextBody"/>
        <w:bidi w:val="0"/>
        <w:spacing w:lineRule="auto" w:line="240" w:before="0" w:after="0"/>
        <w:ind w:left="0" w:right="0" w:hanging="480"/>
        <w:jc w:val="both"/>
        <w:rPr>
          <w:color w:val="000000"/>
        </w:rPr>
      </w:pPr>
      <w:r>
        <w:rPr>
          <w:color w:val="000000"/>
        </w:rPr>
        <w:t> </w:t>
      </w:r>
    </w:p>
    <w:tbl>
      <w:tblPr>
        <w:tblW w:w="5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98"/>
        <w:gridCol w:w="1298"/>
        <w:gridCol w:w="1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accidents involving personal injury or the loss of life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weather conditions, health crises, pandemics, catastrophic events, including fires, explosions, earthquakes, droughts and acts of terrorism, and other force majeure events; and</w:t>
            </w:r>
          </w:p>
        </w:tc>
      </w:tr>
    </w:tbl>
    <w:p>
      <w:pPr>
        <w:pStyle w:val="TextBody"/>
        <w:bidi w:val="0"/>
        <w:spacing w:lineRule="auto" w:line="240" w:before="0" w:after="0"/>
        <w:ind w:left="0" w:right="0" w:hanging="480"/>
        <w:jc w:val="both"/>
        <w:rPr>
          <w:color w:val="000000"/>
        </w:rPr>
      </w:pPr>
      <w:r>
        <w:rPr>
          <w:color w:val="000000"/>
        </w:rPr>
        <w:t> </w:t>
      </w:r>
    </w:p>
    <w:tbl>
      <w:tblPr>
        <w:tblW w:w="39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57"/>
        <w:gridCol w:w="957"/>
        <w:gridCol w:w="13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and access to utilities.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new projects have no operating history. A new project may be unable to fund principal and interest payments under its debt service obligations or may operate at a loss.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due to the COVID-19 pandemic or otherwise, and cost overruns.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 reduced operations of permitting agencies because of the ongoing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Additional Risk Factors Relating to Our Business in General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Biogas Conversion Projects and Fueling Stations are newly constructed or are under construction and may not perform as we expect.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or future operating history.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pStyle w:val="TextBody"/>
        <w:bidi w:val="0"/>
        <w:spacing w:lineRule="auto" w:line="240" w:before="0" w:after="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 xml:space="preserve">Our contracts with government entities may be subject to unique risks, including possible termination of or reduction in the governmental programs under which we operate, instances in which our contract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allow the government entity to terminate, amend or change terms at their convenience, and competitive bidding processes for the award of contracts.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level of indebtedness and preferred stock redemption obligations could adversely affect our ability to raise additional capital to fund our operations and acquisitions. It could also expose us to the risk of increased interest rates and limit our ability to react to changes in the economy or our industry. We may be unable to obtain additional financing to fund our operations or growth.</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total indebtedness was $170 million, excluding deferred financing costs. Additionally, on November 29, 2021, we entered into an Exchange Agreement with Hillman pursuant to which OPAL Fuels issued to Hillman Series A-1 Preferred Units of OPAL Fuels, which are redeemable after four years at the option of Hillman for an aggregate redemption price of $30.0 million plus accrued and unpaid dividends thereon. In addition, we have drawn down the NextEra $100.0 million subscription commitment and issued to NextEra 1,000,000 Series A Preferred Units of OPAL Fuels, which are redeemable after four years at the option of NextEra for an aggregate redemption price of $100.0 million plus accrued and unpaid dividends thereon.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indebtedness and preferred units redemption obligations could have important consequences, including, for example:</w: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being required to accept then-prevailing market terms in connection with any required refinancing of such indebtedness or redemption obligations, which may be less favorable than existing terms;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refinance, or to comply with the covenants in the agreements governing, these obligations could result in an event of default under those agreements, which could be difficult to cure or result in our bankruptcy;</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tc>
      </w:tr>
    </w:tbl>
    <w:p>
      <w:pPr>
        <w:pStyle w:val="TextBody"/>
        <w:bidi w:val="0"/>
        <w:spacing w:lineRule="auto" w:line="240" w:before="0" w:after="0"/>
        <w:ind w:left="0" w:right="0" w:hanging="480"/>
        <w:jc w:val="both"/>
        <w:rPr>
          <w:color w:val="000000"/>
        </w:rPr>
      </w:pPr>
      <w:r>
        <w:rPr>
          <w:color w:val="000000"/>
        </w:rPr>
        <w:t> </w:t>
      </w:r>
    </w:p>
    <w:tbl>
      <w:tblPr>
        <w:tblW w:w="97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9"/>
        <w:gridCol w:w="2659"/>
        <w:gridCol w:w="37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limited financial flexibility could reduce our ability to plan for and react to unexpected opportunities; and</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mandatorily redeemable preferred units.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 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cash could be adversely affected if the financial institutions in which we hold our cash fail.</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accounting losses and may incur additional losses in the future.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Opco and its predecessor companies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including but not limited to the unpredictability of the COVID-19 pandemic,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prospectus.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Loss of our key management could adversely affect our business performance. Our management team has limited experience in operating a public company such as us.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COVID-19 pandemic and measures intended to reduce its spread have, and may continue to, adversely affect our business, results of operations and financial condition.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late 2019, a novel strain of coronavirus (COVID-19) spread throughout the world, including the United States, ultimately being declared a pandemic. Global health concerns and increased efforts to reduce the spread of the COVID-19 pandemic prompted federal, state and local governments to restrict normal daily activities, which resulted in lockdowns, travel bans, quarantines, “shelter-in-place” orders requiring individuals to remain in their homes other than to conduct essential services or activities, business limitations and shutdowns (subject to exceptions for certain essential operations and businesses, including our business). Some of these governmental restrictions have since been scaled back or lifted, although an increase in the prevalence of COVID-19 cases and the spread of new variants may result in the re-imposition of certain restrictions and may lead to other restrictions being implemented in response to efforts to reduce the spread of COVID-19. Given the dynamic nature of these circumstances and the related adverse impact these restrictions have had, and may continue to have, on the economy generally, our business and financial results may continue to be adversely affected by the COVID-19 pandemic.</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been designated “essential critical infrastructure work” in the energy sector by the U.S. Department of Homeland Security, meaning that we have been able to continue full operations. Despite our essential designation and our continued operations, however, we are subject to various risk and uncertainties because of the COVID-19 pandemic that could materially adversely affect our business, results of operations and financial condition, including the following:</w:t>
      </w:r>
    </w:p>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further delay in the adoption of natural gas vehicle fuels by heavy-duty trucks and/or a delay in increasing the use of our vehicle fuels;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continued or further decrease in the volume of truck and fleet operations, including shuttle busses at airports, and lower-than-normal levels of public transportation generally, which have resulted in, and may continue to result in, decreased demand for our vehicle fuels;</w:t>
            </w:r>
          </w:p>
        </w:tc>
      </w:tr>
    </w:tbl>
    <w:p>
      <w:pPr>
        <w:pStyle w:val="TextBody"/>
        <w:bidi w:val="0"/>
        <w:spacing w:lineRule="auto" w:line="240" w:before="0" w:after="0"/>
        <w:ind w:left="0" w:right="0" w:hanging="48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business disruptions on the production of vehicles and engines that use our fuels, which has resulted in, and may continue to result in, plant closures, decreased manufacturing capacity, and delays in deliveries; and</w:t>
            </w:r>
          </w:p>
        </w:tc>
      </w:tr>
    </w:tbl>
    <w:p>
      <w:pPr>
        <w:pStyle w:val="TextBody"/>
        <w:bidi w:val="0"/>
        <w:spacing w:lineRule="auto" w:line="240"/>
        <w:ind w:left="0" w:right="0" w:hanging="48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depressed oil and diesel prices, especially relative to natural gas prices and for a prolonged period, which may decrease the price-related incentive for operators to adopt trucks that use our vehicle fuels.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duration and extent of the impact of the COVID-19 pandemic on our business and financial results will depend on future developments, including the duration, severity and spread of the COVID-19 pandemic, actions taken to contain its spread, any further resurgence of COVID-19, the severity and transmission rates of new variants of COVID-19, the availability, distribution and efficacy of vaccines and therapeutics for COVID-19 and how quickly and to what extent normal economic and operating conditions can (and will) resume within the markets in which we operate, each of which are highly uncertain at this time and are outside of our control. Even after the COVID-19 pandemic subsides, we may continue to experience adverse effects to our business and financial results because of its global economic impact, including any economic downturn or recession that has occurred or may occur. The adverse effect of the COVID-19 pandemic on our business, results of operations and financial condition could be material.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We have identified material weaknesses in our internal controls over financial reporting. If we are unable to remediate these material weaknesses, or if we identify additional material weaknesses in the future or otherwise fails to maintain an effective system of internal controls, we may not be able to accurately or timely report its financial condition or results of operations, which may adversely affect our business and stock price.</w:t>
      </w:r>
      <w:r>
        <w:rPr>
          <w:color w:val="000000"/>
        </w:rPr>
        <w: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consolidated financial statements for each of the years ended December 31, 2022, 2021 and 2020, we identified material weaknesses in our internal controls over financial reporting.</w:t>
      </w:r>
    </w:p>
    <w:p>
      <w:pPr>
        <w:pStyle w:val="TextBody"/>
        <w:bidi w:val="0"/>
        <w:spacing w:before="0" w:after="0"/>
        <w:jc w:val="both"/>
        <w:rPr/>
      </w:pPr>
      <w:r>
        <w:rPr/>
      </w:r>
    </w:p>
    <w:p>
      <w:pPr>
        <w:pStyle w:val="TextBody"/>
        <w:bidi w:val="0"/>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w:t>
      </w:r>
    </w:p>
    <w:p>
      <w:pPr>
        <w:pStyle w:val="TextBody"/>
        <w:bidi w:val="0"/>
        <w:spacing w:before="0" w:after="0"/>
        <w:ind w:left="0" w:right="0" w:firstLine="48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identified were as follows:</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A lack of an adequate control environment, including internal communications, to allow for timeliness of reviews for the accounting and disclosures of significant and unusual transactions and contracts;</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We did not have timely and effective reviews over standard account reconciliations and related accounting analysis which resulted in various audit adjustments that we corrected; and</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color w:val="000000"/>
        </w:rPr>
      </w:pPr>
      <w:r>
        <w:rPr>
          <w:color w:val="000000"/>
        </w:rPr>
        <w:t xml:space="preserve">• </w:t>
      </w:r>
      <w:r>
        <w:rPr>
          <w:rFonts w:ascii="Times New Roman;sans-serif" w:hAnsi="Times New Roman;sans-serif"/>
          <w:b w:val="false"/>
          <w:color w:val="000000"/>
          <w:sz w:val="20"/>
        </w:rPr>
        <w:t>Our review controls over application of Accounting Standards Codification ('ASC")-606 were not designed and implemented appropriately during the current year.</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a misstatement of substantially all of our accounts or disclosures that would result in a material misstatement to our annual or interim financial statements that would not be prevented or detected.</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begun executing on a plan to remediate these material weaknesses. Our remediation plans include measures such as: designing and implementing formal processes, policies and procedures supporting our financial close process, creating standard balance sheet reconciliation templates and journal entry controls; and designing and implementing controls to formalize roles and review responsibilities to align with our team’s skills.</w:t>
      </w:r>
    </w:p>
    <w:p>
      <w:pPr>
        <w:pStyle w:val="TextBody"/>
        <w:bidi w:val="0"/>
        <w:spacing w:before="0" w:after="0"/>
        <w:ind w:left="0" w:right="0" w:firstLine="480"/>
        <w:jc w:val="both"/>
        <w:rPr/>
      </w:pPr>
      <w:r>
        <w:rPr/>
      </w:r>
    </w:p>
    <w:p>
      <w:pPr>
        <w:pStyle w:val="TextBody"/>
        <w:bidi w:val="0"/>
        <w:spacing w:lineRule="auto" w:line="240"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these efforts are likely to remediate the material weaknesses identified, we may not be able to complete our evaluation, testing or any required remediation in a timely fashion, or at all.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identified, our ability to record, process and report financial information accurately, and to prepare financial statements within the time periods specified by the forms of the SEC, could be adversely affected which, in turn, may adversely affect our reputation and business and the market price of our securities, including the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jc w:val="both"/>
        <w:rPr/>
      </w:pPr>
      <w:r>
        <w:rPr/>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not subject to Section 404 of the Sarbanes-Oxley Act. However, we are required to provide management’s attestation on internal controls commencing with our annual report for the year ending December 31, 2022 in accordance with applicable SEC guidance. The standards required for a public company under Section 404(a) of the Sarbanes-Oxley Act are significantly more stringent than those required of OPAL Fuels historically as a privately-held company or by ArcLight prior to the Closing. Our management team may not be able to effectively and timely implement controls and procedures that adequately respond to the increased regulatory compliance and reporting requirements as a result of the Business Combination. If we are not able to implement the additional requirements of Section 404(a) of the Sarbanes-Oxley Act in a timely manner or with adequate compliance, we may not be able to assess whether its internal controls over financial reporting are effective, which may subject it to adverse regulatory consequences and could harm investor confidence and the market price of our securities.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the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and issuances of our Class A common stock could result in additional dilution of the percentage ownership of our shareholders and could cause our share price to fall.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a substantial number of shares of our Class A common stock, or the perception in the market that the holders of a large number of shares of Class A common stock intend to sell shares, could reduce the market</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price of our Class A common stock.</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Approximately 155,237,646 of these shares of Class A common stock were subject to restrictions on transfer under a 180-day lock-up agreement entered into between us and the holders of those shares. These restrictions expired on January 17, 2023, resulting in these shares becoming eligible for public sale on January 18, 2023. Sales of such shares may be made under the registration statement filed under the Securities Act, or in reliance upon an exemption from registration under the Securities Act. 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Until such time that such registration statement is no longer effective, the registration statement registering such securities will permit the resale of these shares. 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certain holders of our Class A common stock sell a significant portion of their securities, it may negatively impact the market price of the shares of our Class A common stock and such holders still may receive significant proceeds.</w:t>
      </w:r>
    </w:p>
    <w:p>
      <w:pPr>
        <w:pStyle w:val="TextBody"/>
        <w:bidi w:val="0"/>
        <w:spacing w:lineRule="auto" w:line="240" w:before="0" w:after="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the market price of our Class A common stock is below $10.00 per share, which was the price per unit sold in the initial public offering of our predecessor, ArcLight, the per-share price of the 11,080,600 shares of our Class A common stock sold to the PIPE Investors and also the per share value of the consideration issued to OPAL Fuels Common equity holders upon consummation of our Business Combination. However, certain of our shareholders who hold shares of our Class A common stock that were originally purchased by Arclight’s Sponsor in a private placement prior to Arclight’s initial public offering (the “Founder Shares”), may nonetheless be inclined to sell such Founder Shares as they were originally purchased at an effective price significantly less than $10.00 per share. The currently outstanding Founder Shares were purchased at an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of $0.003 per share. Accordingly, holders of the Founder Shares could sell their securities at a per-share price that is less than $10.00 and still realize a significant profit from the sale of those securities that could not be realized by our other shareholders.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Litigation or legal proceedings could expose us to significant liabilities and have a negative impact on our reputations or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Under the terms of ArcLight’s placement agent agreements with BofA Securities, Inc. (“</w:t>
      </w:r>
      <w:r>
        <w:rPr>
          <w:rFonts w:ascii="Times New Roman;sans-serif" w:hAnsi="Times New Roman;sans-serif"/>
          <w:b/>
          <w:i/>
          <w:color w:val="000000"/>
          <w:sz w:val="20"/>
        </w:rPr>
        <w:t>BofA</w:t>
      </w:r>
      <w:r>
        <w:rPr>
          <w:color w:val="000000"/>
        </w:rPr>
        <w:t>”</w:t>
      </w:r>
      <w:r>
        <w:rPr>
          <w:rFonts w:ascii="Times New Roman;sans-serif" w:hAnsi="Times New Roman;sans-serif"/>
          <w:b w:val="false"/>
          <w:color w:val="000000"/>
          <w:sz w:val="20"/>
        </w:rPr>
        <w:t>), Credit Suisse Securities (USA) LLC (“</w:t>
      </w:r>
      <w:r>
        <w:rPr>
          <w:rFonts w:ascii="Times New Roman;sans-serif" w:hAnsi="Times New Roman;sans-serif"/>
          <w:b/>
          <w:i/>
          <w:color w:val="000000"/>
          <w:sz w:val="20"/>
        </w:rPr>
        <w:t>CS</w:t>
      </w:r>
      <w:r>
        <w:rPr>
          <w:color w:val="000000"/>
        </w:rPr>
        <w:t>”</w:t>
      </w:r>
      <w:r>
        <w:rPr>
          <w:rFonts w:ascii="Times New Roman;sans-serif" w:hAnsi="Times New Roman;sans-serif"/>
          <w:b w:val="false"/>
          <w:color w:val="000000"/>
          <w:sz w:val="20"/>
        </w:rPr>
        <w:t>), Barclays Capital Inc. (“</w:t>
      </w:r>
      <w:r>
        <w:rPr>
          <w:rFonts w:ascii="Times New Roman;sans-serif" w:hAnsi="Times New Roman;sans-serif"/>
          <w:b/>
          <w:i/>
          <w:color w:val="000000"/>
          <w:sz w:val="20"/>
        </w:rPr>
        <w:t>Barclays</w:t>
      </w:r>
      <w:r>
        <w:rPr>
          <w:color w:val="000000"/>
        </w:rPr>
        <w:t>”</w:t>
      </w:r>
      <w:r>
        <w:rPr>
          <w:rFonts w:ascii="Times New Roman;sans-serif" w:hAnsi="Times New Roman;sans-serif"/>
          <w:b w:val="false"/>
          <w:color w:val="000000"/>
          <w:sz w:val="20"/>
        </w:rPr>
        <w:t>) and Citigroup Global Markets Inc. (“</w:t>
      </w:r>
      <w:r>
        <w:rPr>
          <w:rFonts w:ascii="Times New Roman;sans-serif" w:hAnsi="Times New Roman;sans-serif"/>
          <w:b/>
          <w:i/>
          <w:color w:val="000000"/>
          <w:sz w:val="20"/>
        </w:rPr>
        <w:t>Citi</w:t>
      </w:r>
      <w:r>
        <w:rPr>
          <w:color w:val="000000"/>
        </w:rPr>
        <w:t xml:space="preserve">” </w:t>
      </w:r>
      <w:r>
        <w:rPr>
          <w:rFonts w:ascii="Times New Roman;sans-serif" w:hAnsi="Times New Roman;sans-serif"/>
          <w:b w:val="false"/>
          <w:color w:val="000000"/>
          <w:sz w:val="20"/>
        </w:rPr>
        <w:t>and together with BofA, CS and Barclays, the “</w:t>
      </w:r>
      <w:r>
        <w:rPr>
          <w:rFonts w:ascii="Times New Roman;sans-serif" w:hAnsi="Times New Roman;sans-serif"/>
          <w:b/>
          <w:i/>
          <w:color w:val="000000"/>
          <w:sz w:val="20"/>
        </w:rPr>
        <w:t>Advisors</w:t>
      </w:r>
      <w:r>
        <w:rPr>
          <w:color w:val="000000"/>
        </w:rPr>
        <w:t>”</w:t>
      </w:r>
      <w:r>
        <w:rPr>
          <w:rFonts w:ascii="Times New Roman;sans-serif" w:hAnsi="Times New Roman;sans-serif"/>
          <w:b w:val="false"/>
          <w:color w:val="000000"/>
          <w:sz w:val="20"/>
        </w:rPr>
        <w:t>) entered into in connection with the PIPE Investment, its financial advisory agreement with Citi entered into in connection with the Business Combination, and its Underwriting Agreement with Citi and Barclays entered in connection with ArcLight’s IPO, ArcLight agreed to indemnify and hold harmless each of the respective Advisors, their affiliates and each of their respective directors, officers, agents and employees from and against any losses and claims arising in any manner out of or in connection with the services provided to ArcLight thereunder. Under the terms of OPAL Fuels’s financial advisory agreements with BofA and CS, OPAL Fuels agreed to indemnify and hold harmless each of BofA and CS, their affiliates and each of their respective directors, officers, employees and agents from and against any losses and claims arising in any manner out of or in connection with the services provided to OPAL Fuels thereunder. Accordingly, if any claims, litigation, disputes or other legal proceedings are brought by third parties against any of the Advisors in relation to the services it provided to ArcLight or OPAL Fuels under any of these agreements, then we may be liable to pay for or reimburse such Advisor or Advisors for the losses and costs it incurs unless the losses and costs are finally judicially determined to have resulted from the gross negligence, bad faith or willful misconduct of such Advisor or Advisors or their respective directors, officers, employees and agents. Additionally, each of the agreements described above contains a contribution provision in the event that such indemnification is unavailable or otherwise prohibited by law, however, the contribution obligations of each Advisor are limited to the amount of compensation or fees actually paid to such party in respect of the engagement. As a result, the contribution obligations of Barclays and Citi under the Underwriting Agreement are limited to the initial underwriting commission paid at the time of ArcLight’s IPO and the Advisors otherwise have no further contribution liability under the other agreements (including the Underwriting Agreement) because they waived their rights to any fees or deferred underwriting commissions in connection with their resignations. Therefore, as a result of the Advisors’ resignations, and in contrast to other transactions where the underwriters and financial advisors did not resign and waive rights to fees or deferred underwriting commissions, as the case may be, our potential financial liability with respect to an indemnified loss where such indemnification is otherwise unavailable to the indemnified party may be higher under the respective agreements than it would have been had such underwriters and financial advisors not resigned and waived their rights to any fees or deferred underwriting commissions.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changing law and regulations regarding regulatory matters, corporate governance and public disclosure that will increase both our costs and the risk of noncompliance.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has resulted in increased general and administrative expenses.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r>
        <w:rPr>
          <w:color w:val="000000"/>
        </w:rPr>
        <w: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our election to comply with the reduced disclosure requirements as a public company may make our Class A common stock less attractive to investors.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lose our emerging growth company status and become subject to the SEC’s internal control over financial reporting management and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pStyle w:val="TextBody"/>
        <w:bidi w:val="0"/>
        <w:spacing w:lineRule="auto" w:line="240" w:before="0" w:after="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Our current majority stockholder has control over all stockholder decisions of us because it controls a substantial majority of our voting power through “high vote” voting stock. Such majority stockholder, and the persons controlling such majority stockholder, including Fortistar and Mr. Mark Comora, our Chairman of the Board of,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145,279,637 shares of OPAL, comprising 84.4% of our outstanding common stock as of April 28, 2023. All of these shares (with the exception of 880,600 shares of Class A common stock purchased by Fortistar in the PIPE Investment) are Class D common stock, which have no economic rights but are entitled to five votes per share, giving Mr. Mark Comora control over 96.4% of our voting power. OPAL Holdco and Hillman are controlled, indirectly, by Mr. Mark Comora through entities affiliated with Mr. Mark Comora, including Fortistar and certain of its other affiliates. Mr. Mark Comora is the Chairman of our board of directors.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 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only material assets are our direct interests in OPAL Fuels, and we are accordingly dependent upon distributions from OPAL Fuels to pay dividends and taxes and other expenses.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needs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deemed an “investment company” under the Investment Company Act as a result of our ownership of Opco, applicable restrictions could make it impractical for us to continue our business as contemplated and could have a material adverse effect on its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Opco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and thus not subject to all of the corporate governance rules of Nasdaq. You will not have the same protections afforded to stockholders of companies that are subject to such requirements.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 dual-class structure of our common stock may adversely affect the trading market for the shares of Class A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There can be no assurance that we will be able to comply with the continued listing standards of Nasdaq.</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pStyle w:val="TextBody"/>
        <w:bidi w:val="0"/>
        <w:spacing w:before="0" w:after="0"/>
        <w:jc w:val="both"/>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limited availability of market quotations for our securities;</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determination that the Class A common stock is a “penny stock” which will require brokers trading in the Class A common stock to adhere to more stringent rules;</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possible reduction in the level of trading activity in the secondary trading market for shares of the Class A common stock;</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limited amount of analyst coverage; and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Because there are no current plans to pay cash dividends on shares of common stock for the foreseeable future, you may not receive any return on investment unless you sell your shares of common stock for a price greater than that which you paid for it.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Anti-takeover provisions are contained in the Organizational Documents that could delay or prevent a change of control.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among other things:</w:t>
      </w:r>
    </w:p>
    <w:p>
      <w:pPr>
        <w:pStyle w:val="TextBody"/>
        <w:bidi w:val="0"/>
        <w:spacing w:before="0" w:after="0"/>
        <w:jc w:val="both"/>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eliminate the ability of stockholders to call special meetings of stockholders;</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eliminate the ability of stockholders to fill vacancies on our board;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40"/>
        <w:ind w:left="0" w:right="0" w:hanging="360"/>
        <w:jc w:val="left"/>
        <w:rPr/>
      </w:pPr>
      <w:r>
        <w:rPr>
          <w:color w:val="000000"/>
        </w:rPr>
        <w:t>•</w:t>
      </w:r>
      <w:r>
        <w:rPr>
          <w:rFonts w:ascii="Times New Roman;sans-serif" w:hAnsi="Times New Roman;sans-serif"/>
          <w:b w:val="false"/>
          <w:color w:val="000000"/>
          <w:sz w:val="20"/>
        </w:rPr>
        <w:t>permit our board to establish the number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provide that our board is expressly authorized to make, alter or repeal the Bylaws; and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limit the jurisdictions in which certain stockholder litigation may be brought.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 certain cases, payments under the Tax Receivable Agreement may be accelerated and/or significantly exceed the actual benefits that we realize in respect of the tax attributes subject to the Tax Receivable Agreement.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$192.0 million depending on OPAL Fuels’s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Cybersecurity and Information Technology Risks</w:t>
      </w:r>
    </w:p>
    <w:p>
      <w:pPr>
        <w:pStyle w:val="TextBody"/>
        <w:bidi w:val="0"/>
        <w:spacing w:before="0" w:after="0"/>
        <w:jc w:val="both"/>
        <w:rPr/>
      </w:pPr>
      <w:r>
        <w:rPr/>
      </w:r>
    </w:p>
    <w:p>
      <w:pPr>
        <w:pStyle w:val="TextBody"/>
        <w:bidi w:val="0"/>
        <w:spacing w:lineRule="auto" w:line="240"/>
        <w:jc w:val="both"/>
        <w:rPr>
          <w:color w:val="000000"/>
        </w:rPr>
      </w:pPr>
      <w:r>
        <w:rPr>
          <w:color w:val="000000"/>
        </w:rPr>
        <w:t>    </w:t>
      </w:r>
      <w:r>
        <w:rPr>
          <w:rFonts w:ascii="Times New Roman;sans-serif" w:hAnsi="Times New Roman;sans-serif"/>
          <w:b w:val="false"/>
          <w:color w:val="000000"/>
          <w:sz w:val="20"/>
        </w:rPr>
        <w:t xml:space="preserve">A failure of our IT and data security infrastructure could have a material adverse effect on our business and operations. We rely upon the expertise, reliability and security of our outsourced IT provider and their services to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9"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 repairs to infrastructure or capabilities essential to our operations, responding to litigation or regulatory investigations, and those related to a material and adverse impact on our reputation, financial position, results of operations, or cash flows.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may be impacted by macroeconomic conditions, including fears concerning the financial services industry, inflation, rising interest rates and volatile market conditions, and other uncertainties beyond our control.</w:t>
      </w:r>
    </w:p>
    <w:p>
      <w:pPr>
        <w:pStyle w:val="TextBody"/>
        <w:bidi w:val="0"/>
        <w:spacing w:before="0" w:after="0"/>
        <w:jc w:val="both"/>
        <w:rPr/>
      </w:pPr>
      <w:r>
        <w:rPr/>
      </w:r>
    </w:p>
    <w:p>
      <w:pPr>
        <w:pStyle w:val="TextBody"/>
        <w:bidi w:val="0"/>
        <w:spacing w:lineRule="auto" w:line="240"/>
        <w:jc w:val="both"/>
        <w:rPr>
          <w:color w:val="000000"/>
        </w:rPr>
      </w:pPr>
      <w:r>
        <w:rPr>
          <w:color w:val="000000"/>
        </w:rPr>
        <w:t>    </w:t>
      </w: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0"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shares of Class A common stock offered by the Selling Holders pursuant to this prospectus will be sold by the Selling Holders for their respective accounts. We will not receive any of the proceeds from these sales.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the costs, fees and expenses incurred in effecting the registration of the securities covered by this prospectus, including all registration and filing fees, and fees and expenses of our counsel and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240"/>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Opco and its consolidated subsidiaries. The following discussion and analysis should be read in conjunction with Opco’s audited consolidated financial statements as of and for the years ended December 31, 2022 and 2021, the related notes, and other information included elsewhere in this prospectus. In addition to historical information, this discussion and analysis includes certain forward-looking statements which reflect our current expectations. Our actual results may materially differ from these forward-looking statements.</w:t>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renewable energy company specializing in the capture and conversion of biogas for the (i) production of RNG for use as a vehicle fuel for heavy and medium-duty trucking fleets, (ii) generation of electricity generated from renewable sources ("Renewable Power") for sale to utilities, (iii) generation and sale of Environmental Attributes (as defined below) associated with RNG and Renewable Power, and (iv) sales of RNG as pipeline quality natural gas. We also design, develop, construct, operate and service Fueling Stations for trucking fleets across the country that use natural gas to displace diesel as their transportation fuel. The Biogas Conversion Projects currently use LFG and dairy manure as the source of the biogas. In addition, we have recently begun implementing design, development, and construction services for hydrogen Fueling Stations, and we are pursuing opportunities to diversify our sources of biogas to other waste streams. The term “Environmental Attributes” refers to federal, state and local government incentives in the United States, provided in the form of renewable identification numbers (“RINs,”) RECs, low carbon fuel standard (“LCFS”) credits, rebates, tax credits and other incentives to end users, distributors, system integrators and manufacturers of renewable energy projects, that promote the use of renewable energy. We separately design, develop, construct, operate and service Fueling Stations for vehicle fleets across the country that dispense RNG and/or CNG to displace diesel as a fleet transportation fuel. </w:t>
      </w:r>
    </w:p>
    <w:p>
      <w:pPr>
        <w:pStyle w:val="TextBody"/>
        <w:bidi w:val="0"/>
        <w:spacing w:before="0" w:after="0"/>
        <w:ind w:left="0" w:right="0" w:firstLine="360"/>
        <w:jc w:val="both"/>
        <w:rPr/>
      </w:pPr>
      <w:r>
        <w:rPr/>
      </w:r>
    </w:p>
    <w:p>
      <w:pPr>
        <w:pStyle w:val="TextBody"/>
        <w:bidi w:val="0"/>
        <w:spacing w:lineRule="auto" w:line="240" w:before="0" w:after="0"/>
        <w:ind w:left="0" w:right="0" w:firstLine="97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bidi w:val="0"/>
        <w:spacing w:before="0" w:after="0"/>
        <w:ind w:left="0" w:right="0" w:firstLine="972"/>
        <w:jc w:val="both"/>
        <w:rPr/>
      </w:pPr>
      <w:r>
        <w:rPr/>
      </w:r>
    </w:p>
    <w:p>
      <w:pPr>
        <w:pStyle w:val="TextBody"/>
        <w:bidi w:val="0"/>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formerly known as Arclight Clean Transition Corp II ("Arclight"), which was a blank check company incorporated in Cayman Islands on January 13, 2021. Arclight was formed for the purpose of effecting a merger, share exchange, asset acquisition, reorganization or similar business combination with one or more businesses. OPAL Fuels LLC was formed in December 2020 as a wholly owned subsidiary of OPAL HoldCo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1"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laws of the State of Delaware. On December 31, 2020, Fortistar LLC and certain of its affiliated entities contributed their respective ownership interests in the following legal entities to OPAL Fuels in a common-control reorganization: TruStar Energy Holdings LLC, Fortistar RNG LLC, Fortistar Methane 3 Holdings LLC, Fortistar Methane 3 LLC, Fortistar Contracting LLC, and Fortistar Methane 4 LLC. On December 2, 2021, the Company, OPAL Holdco and OPAL Fuels entered into the Business Combination Agreement.</w:t>
      </w:r>
    </w:p>
    <w:p>
      <w:pPr>
        <w:pStyle w:val="TextBody"/>
        <w:bidi w:val="0"/>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bidi w:val="0"/>
        <w:spacing w:lineRule="auto" w:line="240" w:before="160" w:after="283"/>
        <w:jc w:val="both"/>
        <w:rPr>
          <w:color w:val="000000"/>
        </w:rPr>
      </w:pPr>
      <w:r>
        <w:rPr>
          <w:color w:val="000000"/>
        </w:rPr>
        <w:t>    </w:t>
      </w:r>
      <w:r>
        <w:rPr>
          <w:rFonts w:ascii="Times New Roman;sans-serif" w:hAnsi="Times New Roman;sans-serif"/>
          <w:b w:val="false"/>
          <w:color w:val="000000"/>
          <w:sz w:val="20"/>
        </w:rPr>
        <w:t>On July 21, 2022, we completed the Business Combination. After giving effect to the Business Combination, the redemption of public shares as described below, the consummation of the related PIPE investment, and the separation of the former ArcLight units, there were (i) 25,671,390 shares of our Class A common stock issued and outstanding, (ii) 144,399,037 shares of our Class D common stock issued and outstanding, (iii) no shares of Class B common stock, par value $0.0001 per share (“Class B common stock”) issued and outstanding (shares of Class B common stock do not have any economic value but entitle the holder thereof to one vote per share) and (iv) no shares of our Class C common stock, par value $0.0001 per share, (“Class C common stock”) issued and outstanding (shares of Class C common stock entitle the holder thereof to five votes per share). The Class A common stock and warrants commenced trading on the Nasdaq Capital Market under the symbols “OPAL” and “OPALW,” respectively, on July 22, 2022.</w:t>
      </w:r>
    </w:p>
    <w:p>
      <w:pPr>
        <w:pStyle w:val="TextBody"/>
        <w:bidi w:val="0"/>
        <w:spacing w:before="0" w:after="0"/>
        <w:ind w:left="0" w:right="0" w:firstLine="720"/>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to permit the Company to require that each Warrant that was outstanding upon the closing of the Offer be exchanged for 0.225 shares of Class A common stock, which was a ratio 10% less than the exchange ratio applicable to the Offer (such amendment, the “Warrant Amendment”).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effected the Post-Offer Exchange and issued 497,080 shares of Class A common stock. As a result of the completion of the Offer and the Post-Offer Exchange, there are no outstanding Warrants. Accordingly, the Public Warrants were suspended from trading on the Nasdaq and delisted. </w:t>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19, 2022, FM3, an indirect subsidiary of the Company, which is the borrower under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Upon consummation of the FM3 Amendment, Opal Fuels holds approximately $45,000 of the outstanding loans under the FM3 Credit Agreement as an affiliate lender. On March 20, 2023, the Company repaid in full the remaining outstanding loan of $22,750.</w:t>
      </w:r>
    </w:p>
    <w:p>
      <w:pPr>
        <w:pStyle w:val="TextBody"/>
        <w:bidi w:val="0"/>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bidi w:val="0"/>
        <w:spacing w:lineRule="auto" w:line="240"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2022, OPAL Fuels Intermediate Holdco 2, an indirect wholly-owned subsidiary the Company, entered into the OPAL Term Loan II with a syndicate of lenders. The indebtedness is guaranteed by certain of the direct and indirect subsidiaries of OPAL Intermediate Holdco 2. The OPAL Term Loan II provides for an approximately two year DDTL Facility of up to a maximum aggregate principal amount of $100,000 and the DSR Facility of up to a maximum aggregate principal amount of $5,000. The proceeds of the DDTL Facility are to be used to fund a portion of the construction of the RNG projects owned, either in full or through a joint venture with a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40"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w:t>
      </w:r>
    </w:p>
    <w:p>
      <w:pPr>
        <w:pStyle w:val="TextBody"/>
        <w:bidi w:val="0"/>
        <w:spacing w:lineRule="auto" w:line="240" w:before="14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bidi w:val="0"/>
        <w:spacing w:before="0" w:after="0"/>
        <w:ind w:left="0" w:right="0" w:firstLine="360"/>
        <w:jc w:val="both"/>
        <w:rPr/>
      </w:pPr>
      <w:r>
        <w:rPr/>
      </w:r>
    </w:p>
    <w:p>
      <w:pPr>
        <w:pStyle w:val="TextBody"/>
        <w:bidi w:val="0"/>
        <w:spacing w:lineRule="auto" w:line="240" w:before="240" w:after="283"/>
        <w:jc w:val="left"/>
        <w:rPr>
          <w:color w:val="000000"/>
        </w:rPr>
      </w:pPr>
      <w:r>
        <w:rPr>
          <w:color w:val="000000"/>
        </w:rPr>
        <w:t> </w:t>
      </w:r>
      <w:r>
        <w:rPr>
          <w:rFonts w:ascii="Times New Roman;sans-serif" w:hAnsi="Times New Roman;sans-serif"/>
          <w:b/>
          <w:color w:val="000000"/>
          <w:sz w:val="20"/>
        </w:rPr>
        <w:t>Key Factors and Trends Influencing our Results of Operations</w:t>
      </w:r>
    </w:p>
    <w:p>
      <w:pPr>
        <w:pStyle w:val="TextBody"/>
        <w:bidi w:val="0"/>
        <w:spacing w:lineRule="auto" w:line="240" w:before="16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prospectus.</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40"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The Environmental Protection Agency's issuance of timely and sufficient annual RVOs to accommodate the RNG industry's growing production levels is necessary to stabilize the RIN market. The EPA is required to set RVOs for 2023 and beyond and the EPA introduced proposed Set rule in December 2022 with rule finalization expected in June 2023. Until the rules and RVOs are finalized, this may create additional uncertainty as to RIN pricing. On the state level, the economics of RNG are enhanced by low-carbon fuel initiatives, particularly well-established programs in California and Oregon (with several other states also actively considering LCFS initiatives similar to those in California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transportation, including heavy-duty trucking, generates approximately 30% emissions of overall CO₂ and other climate-harming GHGs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40"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generate revenues from sales of RECs and Renewable Power generated by our biogas-to-Renewable Power projects. RECs exist because of legal and governmental regulatory requirements, and a change in law or in governmental policies concerning Renewable Power, landfill gas ("LFG"), or the sale of RECs could affect the market for, and the pricing of, the RECs that we generate through production at our Biogas Conversion Projects. We periodically evaluate opportunities to convert existing biogas-to-Renewable Power projects to RNG production. This strategy has been an increasingly attractive avenue for growth when RNG from landfills become eligible for D3 RINs. We have been negotiating with several of our Renewable Power off-takers to enter arrangements that would free up the LFG resource to produce RNG. Changes in the price we receive for RECs and Renewable Power, together with the revenue opportunities and conversion costs associated with converting our LFG sites to RNG production, could have a significant impact on our future profitability.</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bidi w:val="0"/>
        <w:spacing w:lineRule="auto" w:line="240" w:before="160" w:after="283"/>
        <w:ind w:left="0" w:right="0" w:firstLine="360"/>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40"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pStyle w:val="TextBody"/>
        <w:bidi w:val="0"/>
        <w:spacing w:lineRule="auto" w:line="240"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pandemic, we instituted a safety committee that oversees our compliance with federal, state, and local government mandates, and ensures that the Company adheres to Centers for Disease Control guidelines to maintain safe working conditions for our employees. Some of the protocols we implemented include limiting in-person work to essential personnel and performing temperature checks. Since March 2020, where practicable, our employees have worked remotely and minimized travel and other non-essential contact. Additionally, we are providing our employees with COVID-19 testing at no cost and personal protective equipment for their safety and well-being.</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prospectus, the COVID-19 pandemic has had a relatively minimal economic impact on our results of operations.</w:t>
      </w:r>
    </w:p>
    <w:p>
      <w:pPr>
        <w:pStyle w:val="TextBody"/>
        <w:bidi w:val="0"/>
        <w:spacing w:before="0" w:after="0"/>
        <w:ind w:left="0" w:right="0" w:firstLine="36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duration and future economic severity of the COVID-19 remains uncertain, and our results of operations and financial condition could potentially face material adverse effect(s) in the future due to COVID-19.</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and from the construction, fuel supply, and servicing of Fueling Stations for commercial transportation vehicles. These revenue sources are presented in our statement of operations under the following captions:</w:t>
      </w:r>
    </w:p>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RNG Fuel. The </w:t>
            </w:r>
            <w:r>
              <w:rPr>
                <w:rFonts w:ascii="Times New Roman;sans-serif" w:hAnsi="Times New Roman;sans-serif"/>
                <w:b w:val="false"/>
                <w:color w:val="000000"/>
                <w:sz w:val="20"/>
              </w:rPr>
              <w:t>RNG Fuel. The RNG Fuel segment includes RNG supply and dispensing activities as well as the associated generation and sale of commodity natural gas and environmental credits, and consists 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Included here are the Company's interests in both operating and construction projects.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RNG and CNG Fuel Dispensing Stations - This includes both the dispensing (or sale) of RNG, commodity natural gas, and environmental credit generation and monetization. The Company operates Fueling Stations that dispense both CNG and RNG fuel for vehicles.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 the Company provides construction and maintenance services to third-party owners of Fueling Stations. This segment includes: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Service and maintenance contracts for RNG/CNG Fueling Stations.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combustion of biogas from landfills and digester gas collection systems which is then sold to public utilities throughout the United States. The Renewable Power portfolio operates primarily in Southern California.</w:t>
            </w:r>
          </w:p>
        </w:tc>
      </w:tr>
    </w:tbl>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TextBody"/>
        <w:bidi w:val="0"/>
        <w:spacing w:lineRule="auto" w:line="240" w:before="0" w:after="0"/>
        <w:ind w:left="0" w:right="0" w:firstLine="3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 equipment supplier costs; service provider costs; and salaries and other indirect expenses.</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cost of services provided to us by an affiliate, and marketing costs.</w:t>
      </w:r>
    </w:p>
    <w:p>
      <w:pPr>
        <w:pStyle w:val="TextBody"/>
        <w:bidi w:val="0"/>
        <w:spacing w:lineRule="auto" w:line="240" w:before="120" w:after="240"/>
        <w:jc w:val="left"/>
        <w:rPr>
          <w:color w:val="000000"/>
        </w:rPr>
      </w:pPr>
      <w:r>
        <w:rPr>
          <w:color w:val="000000"/>
        </w:rPr>
        <w:t>     </w:t>
      </w:r>
      <w:r>
        <w:rPr>
          <w:rFonts w:ascii="Times New Roman;sans-serif" w:hAnsi="Times New Roman;sans-serif"/>
          <w:b w:val="false"/>
          <w:color w:val="000000"/>
          <w:sz w:val="20"/>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pStyle w:val="TextBody"/>
        <w:bidi w:val="0"/>
        <w:spacing w:lineRule="auto" w:line="240" w:before="120" w:after="240"/>
        <w:jc w:val="left"/>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December 31, 2022 and 2021. No other single customer accounted for 10% or greater of our consolidated accounts receivable, net as of December 31, 2022 and 2021.</w:t>
      </w:r>
    </w:p>
    <w:p>
      <w:pPr>
        <w:pStyle w:val="TextBody"/>
        <w:bidi w:val="0"/>
        <w:spacing w:before="0" w:after="0"/>
        <w:ind w:left="0" w:right="0" w:firstLine="360"/>
        <w:jc w:val="both"/>
        <w:rPr/>
      </w:pPr>
      <w:r>
        <w:rPr/>
      </w:r>
    </w:p>
    <w:tbl>
      <w:tblPr>
        <w:tblW w:w="522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574"/>
        <w:gridCol w:w="574"/>
        <w:gridCol w:w="576"/>
        <w:gridCol w:w="109"/>
        <w:gridCol w:w="109"/>
        <w:gridCol w:w="109"/>
        <w:gridCol w:w="517"/>
        <w:gridCol w:w="517"/>
        <w:gridCol w:w="73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r>
    </w:tbl>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color w:val="000000"/>
        </w:rPr>
      </w:pPr>
      <w:r>
        <w:rPr>
          <w:color w:val="000000"/>
        </w:rPr>
        <w:t> </w:t>
      </w: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p>
      <w:pPr>
        <w:pStyle w:val="TextBody"/>
        <w:bidi w:val="0"/>
        <w:spacing w:before="0" w:after="0"/>
        <w:ind w:left="0" w:right="0" w:firstLine="360"/>
        <w:jc w:val="both"/>
        <w:rPr/>
      </w:pPr>
      <w:r>
        <w:rPr/>
      </w:r>
    </w:p>
    <w:tbl>
      <w:tblPr>
        <w:tblW w:w="462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342"/>
        <w:gridCol w:w="342"/>
        <w:gridCol w:w="342"/>
        <w:gridCol w:w="342"/>
        <w:gridCol w:w="342"/>
        <w:gridCol w:w="342"/>
        <w:gridCol w:w="342"/>
        <w:gridCol w:w="342"/>
        <w:gridCol w:w="48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r>
    </w:tbl>
    <w:p>
      <w:pPr>
        <w:pStyle w:val="TextBody"/>
        <w:bidi w:val="0"/>
        <w:spacing w:before="0" w:after="0"/>
        <w:ind w:left="0" w:right="0" w:firstLine="360"/>
        <w:jc w:val="both"/>
        <w:rPr/>
      </w:pPr>
      <w:r>
        <w:rPr/>
      </w:r>
    </w:p>
    <w:p>
      <w:pPr>
        <w:pStyle w:val="TextBody"/>
        <w:bidi w:val="0"/>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years ended December 31, 2022 and 2021:</w:t>
      </w:r>
    </w:p>
    <w:p>
      <w:pPr>
        <w:pStyle w:val="TextBody"/>
        <w:bidi w:val="0"/>
        <w:spacing w:lineRule="auto" w:line="333"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years ended December 31, 2022 and 2021:</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ind w:left="0" w:right="0" w:firstLine="360"/>
        <w:jc w:val="both"/>
        <w:rPr/>
      </w:pPr>
      <w:r>
        <w:rPr/>
      </w:r>
    </w:p>
    <w:tbl>
      <w:tblPr>
        <w:tblW w:w="7521" w:type="dxa"/>
        <w:jc w:val="left"/>
        <w:tblInd w:w="0" w:type="dxa"/>
        <w:tblLayout w:type="fixed"/>
        <w:tblCellMar>
          <w:top w:w="28" w:type="dxa"/>
          <w:left w:w="28" w:type="dxa"/>
          <w:bottom w:w="28" w:type="dxa"/>
          <w:right w:w="28" w:type="dxa"/>
        </w:tblCellMar>
      </w:tblPr>
      <w:tblGrid>
        <w:gridCol w:w="1440"/>
        <w:gridCol w:w="1265"/>
        <w:gridCol w:w="1269"/>
        <w:gridCol w:w="109"/>
        <w:gridCol w:w="109"/>
        <w:gridCol w:w="109"/>
        <w:gridCol w:w="342"/>
        <w:gridCol w:w="342"/>
        <w:gridCol w:w="342"/>
        <w:gridCol w:w="342"/>
        <w:gridCol w:w="342"/>
        <w:gridCol w:w="342"/>
        <w:gridCol w:w="342"/>
        <w:gridCol w:w="342"/>
        <w:gridCol w:w="48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w:t>
            </w:r>
          </w:p>
        </w:tc>
      </w:tr>
    </w:tbl>
    <w:p>
      <w:pPr>
        <w:pStyle w:val="TextBody"/>
        <w:bidi w:val="0"/>
        <w:spacing w:lineRule="auto" w:line="333" w:before="240" w:after="283"/>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w:t>
      </w:r>
    </w:p>
    <w:p>
      <w:pPr>
        <w:pStyle w:val="TextBody"/>
        <w:bidi w:val="0"/>
        <w:spacing w:before="0" w:after="0"/>
        <w:ind w:left="0" w:right="0" w:firstLine="360"/>
        <w:jc w:val="both"/>
        <w:rPr/>
      </w:pPr>
      <w:r>
        <w:rPr/>
      </w:r>
    </w:p>
    <w:tbl>
      <w:tblPr>
        <w:tblW w:w="10197" w:type="dxa"/>
        <w:jc w:val="left"/>
        <w:tblInd w:w="0" w:type="dxa"/>
        <w:tblLayout w:type="fixed"/>
        <w:tblCellMar>
          <w:top w:w="28" w:type="dxa"/>
          <w:left w:w="28" w:type="dxa"/>
          <w:bottom w:w="28" w:type="dxa"/>
          <w:right w:w="28" w:type="dxa"/>
        </w:tblCellMar>
      </w:tblPr>
      <w:tblGrid>
        <w:gridCol w:w="949"/>
        <w:gridCol w:w="834"/>
        <w:gridCol w:w="841"/>
        <w:gridCol w:w="1583"/>
        <w:gridCol w:w="1583"/>
        <w:gridCol w:w="1588"/>
        <w:gridCol w:w="514"/>
        <w:gridCol w:w="514"/>
        <w:gridCol w:w="516"/>
        <w:gridCol w:w="373"/>
        <w:gridCol w:w="373"/>
        <w:gridCol w:w="52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OPAL's Share of 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Renewable Power Projects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66"/>
        <w:gridCol w:w="573"/>
        <w:gridCol w:w="1060"/>
        <w:gridCol w:w="1060"/>
        <w:gridCol w:w="1063"/>
        <w:gridCol w:w="763"/>
        <w:gridCol w:w="763"/>
        <w:gridCol w:w="765"/>
        <w:gridCol w:w="866"/>
        <w:gridCol w:w="857"/>
        <w:gridCol w:w="1225"/>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Nameplate capacity (MW per hour) </w:t>
            </w:r>
            <w:r>
              <w:rPr>
                <w:rFonts w:ascii="Times New Roman;sans-serif" w:hAnsi="Times New Roman;sans-serif"/>
                <w:b/>
                <w:color w:val="000000"/>
                <w:sz w:val="13"/>
              </w:rPr>
              <w:t>(1)</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conversion candidate</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Stage of RNG conversion</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1</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3</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4</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5</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6</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7</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 8</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Massachusetts 2</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Michigan 1E</w:t>
            </w:r>
            <w:r>
              <w:rPr>
                <w:rFonts w:ascii="Times New Roman;sans-serif" w:hAnsi="Times New Roman;sans-serif"/>
                <w:b w:val="false"/>
                <w:color w:val="000000"/>
                <w:sz w:val="13"/>
              </w:rPr>
              <w:t>(2)</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 3</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Carolina 1</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Prince William 1E </w:t>
            </w:r>
            <w:r>
              <w:rPr>
                <w:rFonts w:ascii="Times New Roman;sans-serif" w:hAnsi="Times New Roman;sans-serif"/>
                <w:b w:val="false"/>
                <w:color w:val="000000"/>
                <w:sz w:val="13"/>
              </w:rPr>
              <w:t>(3)</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Prince William 2E </w:t>
            </w:r>
            <w:r>
              <w:rPr>
                <w:rFonts w:ascii="Times New Roman;sans-serif" w:hAnsi="Times New Roman;sans-serif"/>
                <w:b w:val="false"/>
                <w:color w:val="000000"/>
                <w:sz w:val="13"/>
              </w:rPr>
              <w:t>(4)</w:t>
            </w:r>
          </w:p>
        </w:tc>
        <w:tc>
          <w:tcPr>
            <w:tcW w:w="3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Construction</w:t>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 Richmond</w:t>
            </w:r>
          </w:p>
        </w:tc>
        <w:tc>
          <w:tcPr>
            <w:tcW w:w="3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Advanced Development Pipeline</w:t>
            </w:r>
          </w:p>
        </w:tc>
      </w:tr>
      <w:tr>
        <w:trPr/>
        <w:tc>
          <w:tcPr>
            <w:tcW w:w="17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1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2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969"/>
        <w:gridCol w:w="285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Nameplate capacity is the maximum permitted output for each facility and may not reflect actual MW production from the projects, which depends on many variables including, but not limited to, quantity and quality of the biogas, operational up-time of the facility, and actual productivity of the facility.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“Michigan 1” under “RNG Projects In Construction.” It is currently contemplated that the Michigan 1E renewable power plant will continue limited operations on a stand-by, emergency basis through March of 2031.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RNG Projects Table above, reference “Prince William” under “RNG Projects In Construction.”</w:t>
            </w:r>
          </w:p>
        </w:tc>
      </w:tr>
    </w:tbl>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2022, and 2021</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consolidated statements of operations for the twelve months ended months ended December 31, 2022 and 2021.</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01"/>
        <w:gridCol w:w="1400"/>
        <w:gridCol w:w="1404"/>
        <w:gridCol w:w="109"/>
        <w:gridCol w:w="109"/>
        <w:gridCol w:w="109"/>
        <w:gridCol w:w="567"/>
        <w:gridCol w:w="319"/>
        <w:gridCol w:w="319"/>
        <w:gridCol w:w="310"/>
        <w:gridCol w:w="310"/>
        <w:gridCol w:w="310"/>
        <w:gridCol w:w="325"/>
        <w:gridCol w:w="325"/>
        <w:gridCol w:w="317"/>
        <w:gridCol w:w="109"/>
        <w:gridCol w:w="109"/>
        <w:gridCol w:w="109"/>
        <w:gridCol w:w="289"/>
        <w:gridCol w:w="289"/>
        <w:gridCol w:w="293"/>
        <w:gridCol w:w="109"/>
        <w:gridCol w:w="109"/>
        <w:gridCol w:w="109"/>
        <w:gridCol w:w="245"/>
        <w:gridCol w:w="245"/>
        <w:gridCol w:w="356"/>
      </w:tblGrid>
      <w:tr>
        <w:trPr/>
        <w:tc>
          <w:tcPr>
            <w:tcW w:w="160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w:t>
            </w:r>
          </w:p>
          <w:p>
            <w:pPr>
              <w:pStyle w:val="TableContents"/>
              <w:bidi w:val="0"/>
              <w:spacing w:lineRule="auto" w:line="333" w:before="0" w:after="30"/>
              <w:jc w:val="center"/>
              <w:rPr>
                <w:color w:val="000000"/>
              </w:rPr>
            </w:pPr>
            <w:r>
              <w:rPr>
                <w:color w:val="000000"/>
              </w:rPr>
              <w:t> </w:t>
            </w:r>
            <w:r>
              <w:rPr>
                <w:rFonts w:ascii="Times New Roman;sans-serif" w:hAnsi="Times New Roman;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333" w:before="75"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p>
            <w:pPr>
              <w:pStyle w:val="TableContents"/>
              <w:bidi w:val="0"/>
              <w:spacing w:lineRule="auto" w:line="333" w:before="0" w:after="30"/>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126,830</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70,360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    56,470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69,240</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39,461</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3677    %</w:t>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$56.5 million, or 80%, for the year ended December 31, 2022 compared to the year ended December 31, 2021. $18.0 million of this increase was attributable primarily to the impact of full year of Beacon revenues in 2022 versus only eight months in 2021. Additionally, revenues increased by $3.1 million from methanol pathway credits, $9.0 million increase from brown gas sales and $25.6 million increase from sale of environmental credits.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$18.8 million, or 37%, for the year ended December 31, 2022 compared to the year ended December 31, 2021. This was primarily attributable to an increase of $16.3 million from fuel station construction projects which were completed into 2022, coupled with an incremental $1.6 million from increase in volumes at existing and new service sites and $1.7 million from sale of portable fueling stations.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$5.9 million, or 13%, for the year ended December 31, 2022 compared to the year ended December 31, 2021. This change was attributable primarily to a decrease of $5.1 million due to conversion of one of our electricity generation facilities into an RNG facility and a decrease of $0.8 million due to the closure of one of our electricity generation facilities as our gas rights agreement concluded.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Fuel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RNG Fuel increased by $37.9 million, or 92%, for the year ended December 31, 2022 compared to the year ended December 31, 2021. This change was attributable primarily to the inclusion of full year of Beacon’s cost of sales upon consolidation in May 2021 resulting in an increase of $9.2 million, a $3.2 million increase in development costs for building new RNG facilities, $10.3 million increase from new RNG facilities such as Sunoma and New River, $14.7 million increase relating to increased dispensing fees from an increased volume of environmental credits generated and $0.7 million write down charges relating to our brown gas inventory to its net realizable value due to decrease in prices. Additionally, there were savings of $1.2 million from deconsolidation of Pine Bend and Noble Road as of December 31, 2021.</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Fuel Station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Fuel Station Services increased by $18.7 million, or 44%, for the year ended December 31, 2022 compared to the year ended December 31, 2021. This change was attributable primarily to an increase in costs of $17.1 million for third-party construction projects completed in 2022 and an increase of $1.2 million in service from higher volumes dispensed.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marginally increased by $0.4 million, or 1%, for the year ended December 31, 2022 compared to the year ended December 31, 2021.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a total of $19.2 million, or 65%, for the year ended December 31, 2022 compared to the year ended December 31, 2021. This change was attributable primarily to higher insurance expense of $5.1 million relating to the insurance policies for Arclight’s former directors and the Company’s current management, higher employee headcount and related compensation and benefit expenses of $6.9 million to support our organic growth year-over-year, a $5.0 million increase in professional fees related to audit, tax, legal and consulting fees, a $2.5 million increase in IT-related expenses, $0.8 million stock-based compensation expense and $0.4 million related to corporate governance expenses for a public company. These costs are related to setting up the administrative, compliance, and governance structure required for operating a public company which do not qualify for capitalization. The noted increases were partially offset by a gain of $1.5 million recorded as a reduction of Selling, general and administrative expenses relating to a legal settlement.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$2.5 million, or 23%, for the year ended December 31, 2022 compared to the year ended December 31, 2021. This change was primarily due to $2.0 million increase from two new RNG facilities coming online - Sunoma and New River, $0.4 million increase from amortization of right-of-use assets for finance leases from adoption of ASC 842, $0.6 million increase from downstream dispensing sites becoming operational offset by decrease in depreciation for Renewable Power business by $0.3 million.</w:t>
      </w:r>
    </w:p>
    <w:p>
      <w:pPr>
        <w:pStyle w:val="TextBody"/>
        <w:bidi w:val="0"/>
        <w:spacing w:before="0" w:after="0"/>
        <w:ind w:left="0" w:right="0" w:firstLine="45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expenses, net decreased by $0.8 million, or 11%, for the year ended December 31, 2022 compared to the year ended December 31, 2021. The decrease is primarily attributable to $2.9 million decrease in the Convertible Note Payable as a result of a decrease of $2.9 million in change in fair market value as well as an increase in interest income of $2.0 million from the Note receivable and short term investments and $3.7 million was capitalized as part of Property, plant and equipment. These savings were offset by $1.0 million higher expense on the Senior Secured Credit Facility, $0.2 million higher interest expense on the OPAL Term Loan, $0.9 million increase in amortization of deferred financing costs, $1.8 million increase in Sunoma Loan as interest on Sunoma Loan was capitalized in 2021.</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$33.0 million, or 333%, for the year ended December 31, 2022 compared to the year ended December 31, 2021. This change was attributable primarily to gain of $37.1 million on our earnout liabilities offset by change in fair value on derivative instruments including warrant liabilities, contingent payment to a non-controlling interest of one our VIEs, put option on a forward purchase agreement and interest rate swaps. These liabilities were recorded in the consolidated balance sheet upon completion of the Business Combination.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Other income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by $1.9 million, or 100%, for the year ended December 31, 2022 compared to the year ended December 31, 2021. This change is primarily related to a gain recognized on redemption of Note receivable.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Loss on warrant exchange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w:t>
      </w:r>
      <w:r>
        <w:rPr>
          <w:color w:val="000000"/>
        </w:rPr>
        <w:t xml:space="preserve">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$3.5 million, or 155%, for the year ended December 31, 2022 compared to the year ended December 31, 2021. This change was attributable primarily to the increase in net income from Pine Bend, Noble Road and GREP that exceeded income from Beacon during comparable period in 2021. Upon the step acquisition of the 56% of controlling interest in Beacon in May 2021, the results of Beacon were consolidated in the financial statements. Pine Bend and Noble Road were deconsolidated as of December 31, 2021.</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acquisition of equity method investment</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acquisition of equity method investment decreased by $19.8 million for the year ended December 31, 2022 compared to the year ended December 31, 2021. This change was attributable primarily to the fair value adjustment resulting from our step acquisition of the remaining interest in Beacon in May 2021.</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Gain on deconsolidation of VIEs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gain on deconsolidation of VIEs decreased by $15.0 million, or 100% for the year ended December 31, 2022. This is primarily due to deconsolidation of Pine Bend and Noble Road as of December 31, 2021, which was not a recurring item in 2022.</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redeemable non-controlling interests for the year ended December 31, 2022 and 2021 is $22.4 million and $41.4 million, respectively. The net income for the year ended December 31, 2022 reflects the net income belonging to OPAL Fuels equity holders prior to Business Combination for the period January 1, 2022 through July 21, 2022 and portion of net income belonging to OPAL Fuels equity holders from July 21, 2022 through December 31, 2022 based on pro-rata ownership.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Net loss attributable to non-redeemable non-controlling interests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 for the year ended December 31, 2022 increased by $0.3 million or 43%, compared to the year ended December 31, 2021. This reflects the joint venture partners' loss in those entities we sold a portion of our membership interests in certain RNG facilities which are consolidated in our financial statements. These entities for the year ended December 31, 2022, were Sunoma, Emerald, Sapphire and Central Valley. The entities accounted for as non-redeemable non-controlling interests for the year ended December 31, 2021 were Sunoma and Central Valley.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Paid-in-kind preferred dividends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 2022 for total proceeds of $100.0 million. Upon completion of the Business Combination, these were converted to redeemable preferred non-controlling interests.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non-controlling interests carry an interest of 8% dividend payable quarterly either in cash or paid-in-kind for the first eight quarters at the option of the Company. The Company recorded the dividend payable of $7.9 million and $0.2 million for the years ended December 31, 2022 and 2021, respectively as paid-in-kind dividends.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our liquidity consisted of cash and cash equivalents including restricted cash of $77.2 million and $65.0 million of short term investments. Additionally, we entered into the OPAL Term Loan II where we have undrawn availability of $105.0 million. We also drew down on the remaining $10.0 million available under OPAL Term Loan I in March 2023.</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prospectus. If we were to experience any significant further reduction in levels of gas collection, delays in commencement or completion of construction of our projects, adverse regulatory or price changes that affect the value of our environmental credits, or unplanned outages at our production facilities, it would result in lower cash flows from operations which could impact our ability to make investments or require changes to our growth plan. See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Cautionary Statement Regarding Forward-Looking Statements</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needed, we could be required to delay, scale back or abandon some or all of our development programs and other operations, which could materially harm our business, prospects, financial condition, and operating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total indebtedness excluding deferred financing costs of $170.4 million which primarily consists of $22.8 million under the Senior Secured Credit Facility, $28.5 million under the Convertible Note Payable, $96.1 million under the OPAL Term Loan, $0.1 million under the Municipality loan and $23.0 million under Sunoma Loan.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operations we have arrangements for office space for our corporate headquarters under the Administrative Services Agreement as well as operating leases for office space, warehouse space, and our vehicle fleet.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See Note 8</w:t>
      </w:r>
      <w:r>
        <w:rPr>
          <w:rFonts w:ascii="Times New Roman;sans-serif" w:hAnsi="Times New Roman;sans-serif"/>
          <w:b w:val="false"/>
          <w:i/>
          <w:color w:val="000000"/>
          <w:sz w:val="20"/>
        </w:rPr>
        <w:t>. Borrowings</w:t>
      </w:r>
      <w:r>
        <w:rPr>
          <w:rFonts w:ascii="Times New Roman;sans-serif" w:hAnsi="Times New Roman;sans-serif"/>
          <w:b w:val="false"/>
          <w:color w:val="000000"/>
          <w:sz w:val="20"/>
        </w:rPr>
        <w:t>, to our consolidated financial statements.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years ended December 31, 2022 and 2021:</w:t>
      </w:r>
    </w:p>
    <w:p>
      <w:pPr>
        <w:pStyle w:val="TextBody"/>
        <w:bidi w:val="0"/>
        <w:spacing w:before="0" w:after="0"/>
        <w:ind w:left="0" w:right="0" w:firstLine="360"/>
        <w:jc w:val="both"/>
        <w:rPr/>
      </w:pPr>
      <w:r>
        <w:rPr/>
      </w:r>
    </w:p>
    <w:tbl>
      <w:tblPr>
        <w:tblW w:w="8302" w:type="dxa"/>
        <w:jc w:val="left"/>
        <w:tblInd w:w="0" w:type="dxa"/>
        <w:tblLayout w:type="fixed"/>
        <w:tblCellMar>
          <w:top w:w="28" w:type="dxa"/>
          <w:left w:w="28" w:type="dxa"/>
          <w:bottom w:w="28" w:type="dxa"/>
          <w:right w:w="28" w:type="dxa"/>
        </w:tblCellMar>
      </w:tblPr>
      <w:tblGrid>
        <w:gridCol w:w="1721"/>
        <w:gridCol w:w="1515"/>
        <w:gridCol w:w="1519"/>
        <w:gridCol w:w="109"/>
        <w:gridCol w:w="109"/>
        <w:gridCol w:w="109"/>
        <w:gridCol w:w="342"/>
        <w:gridCol w:w="342"/>
        <w:gridCol w:w="342"/>
        <w:gridCol w:w="342"/>
        <w:gridCol w:w="342"/>
        <w:gridCol w:w="342"/>
        <w:gridCol w:w="342"/>
        <w:gridCol w:w="342"/>
        <w:gridCol w:w="48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(1,355)</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18,856</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(184,028)</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(117,204)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316" w:before="7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220,550</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125,014</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316" w:before="55" w:after="3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35,167</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26,666</w:t>
            </w:r>
          </w:p>
        </w:tc>
      </w:tr>
    </w:tbl>
    <w:p>
      <w:pPr>
        <w:pStyle w:val="TextBody"/>
        <w:bidi w:val="0"/>
        <w:spacing w:before="0" w:after="0"/>
        <w:ind w:left="0" w:right="0" w:firstLine="360"/>
        <w:jc w:val="both"/>
        <w:rPr/>
      </w:pPr>
      <w:r>
        <w:rPr/>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Net Cash Provided by Operating Activities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year ended December 31, 2022 was $1.4 million, a decrease of $20.2 million compared to net cash provided of $18.9 million for the year ended December 31, 2021. The decrease in cash provided by operating activities was primarily attributable to lower margins reducing our operating income year-over-year and higher transaction costs that were not capitalized associated with becoming a public company and negative working capital changes primarily related to accounts receivable.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2022 was $184.0 million, an increase of $66.8 million compared to the $117.2 million used in investing activities for the year ended December 31, 2021. This was primarily driven by cash invested in short term investments of $65.0 million, payments made for the construction of various RNG generation and dispensing facilities of $131.4 million as compared to $89.6 million in the prior year. These amounts were partially offset by proceeds from repayment of Note receivable of $10.9 million and lower distribution from equity method investment of $1.6 million.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from financing activities for the year ended December 31, 2022 was $220.6 million, an increase of $95.5 million compared to the $125.0 million provided from financing activities for the year ended December 31, 2021. The current year activity is primarily driven by proceeds received from the consummation of Business Combination of $138.9 million, issuance of redeemable preferred non-controlling interests for total proceeds of $100.0 million, proceeds from the OPAL Term Loan of $40.0 million, proceeds from the Sunoma Loan of $4.6 million and a capital contribution from a related party of $23.2 million related to a joint venture. This was offset by debt repayments of $58.6 million and $18.9 million on the Senior Secured Credit Facility and the OPAL Term Loan, respectively, and $8.3 million in financing costs.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As of December 31, 2022, we have budgeted for $231.0 million in capital expenditures for the next 12 months, of which $184.7 million is committed under existing contracts. These expenditures represent net capital expenditures to be incurred by the Company after expected contributions from our joint venture and non-controlling interest partners. They primarily relate to our development of new RNG facilities and the purchase of equipment used in our Fueling Station services and Renewable Power operations. </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8.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9.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consolidated financial statements for additional information.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fund these expenditures primarily through cash on hand, cash generated from operations and availability under existing debt facilities.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and analysis of our financial condition and results of operations is based upon our interim unaudited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Significant Accounting Policies</w:t>
      </w:r>
      <w:r>
        <w:rPr>
          <w:rFonts w:ascii="Times New Roman;sans-serif" w:hAnsi="Times New Roman;sans-serif"/>
          <w:b w:val="false"/>
          <w:color w:val="000000"/>
          <w:sz w:val="20"/>
        </w:rPr>
        <w:t>, to our consolidated financial statements included herein.</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Renewable Power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sell Renewable Power produced from LFG 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condensed consolidated statement of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Gas — Fuel Purchase Agreements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own Fueling Stations for use by customers under fuel sale agreements. We bill these customers at an agreed upon price for each gallon sold and recognizes revenue based on the amounts invoiced in according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Interstate Gas Pipeline Delivery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Environmental Attributes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RECs, RINs, and LCFS credits. These Environmental Attributes are sold to third parties that utilize these credits in order to comply with federal and state requirements. Revenue is recognized at the point in time when the credits are transferred to and accepted by the third party buyer.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Operation and Maintenance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We have operating and maintenance (“</w:t>
      </w:r>
      <w:r>
        <w:rPr>
          <w:rFonts w:ascii="Times New Roman;sans-serif" w:hAnsi="Times New Roman;sans-serif"/>
          <w:b/>
          <w:i/>
          <w:color w:val="000000"/>
          <w:sz w:val="20"/>
        </w:rPr>
        <w:t>O&amp;M</w:t>
      </w:r>
      <w:r>
        <w:rPr>
          <w:color w:val="000000"/>
        </w:rPr>
        <w:t>”</w:t>
      </w:r>
      <w:r>
        <w:rPr>
          <w:rFonts w:ascii="Times New Roman;sans-serif" w:hAnsi="Times New Roman;sans-serif"/>
          <w:b w:val="false"/>
          <w:color w:val="000000"/>
          <w:sz w:val="20"/>
        </w:rPr>
        <w:t>) agreements in which we are contracted to operate, maintain, and repair landfill site gas collection systems. Revenue is based on the volume of per million British thermal units (“</w:t>
      </w:r>
      <w:r>
        <w:rPr>
          <w:rFonts w:ascii="Times New Roman;sans-serif" w:hAnsi="Times New Roman;sans-serif"/>
          <w:b/>
          <w:i/>
          <w:color w:val="000000"/>
          <w:sz w:val="20"/>
        </w:rPr>
        <w:t>MMBtu</w:t>
      </w:r>
      <w:r>
        <w:rPr>
          <w:color w:val="000000"/>
        </w:rPr>
        <w:t>”</w:t>
      </w:r>
      <w:r>
        <w:rPr>
          <w:rFonts w:ascii="Times New Roman;sans-serif" w:hAnsi="Times New Roman;sans-serif"/>
          <w:b w:val="false"/>
          <w:color w:val="000000"/>
          <w:sz w:val="20"/>
        </w:rPr>
        <w:t>) of landfill gas collected and the MWhs produced at that site. This revenue is recognized as Renewable Power revenue when landfill gas is collected and Renewable Power is delivered. In addition, we have O&amp;M agreements in which we are contracted to maintain and repair Fueling Stations. Revenue is based on the volumes of GGEs of gas dispensed at the site. This revenue is recognized as Fuel Station Services revenue when the site dispenses volumes.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Construction Type Contracts — Third Party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Impairment of Goodwill and Long-Lived Assets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Goodwill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a business is acquired, goodwill is recognized to reflect any future economic benefits that are not separately recognized, such as synergies. For purposes of impairment testing, GAAP requires goodwill to be allocated to reporting unit(s) at the acquisition date and to be tested for impairment at least annually, and in between annual tests whenever events or changes in circumstances indicate that the respective reporting unit’s fair value is less than its 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quantitative assessment, we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pStyle w:val="TextBody"/>
        <w:bidi w:val="0"/>
        <w:spacing w:lineRule="auto" w:line="240" w:before="0" w:after="0"/>
        <w:ind w:left="0" w:right="0" w:firstLine="36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Impairment of Long-Lived Assets</w:t>
      </w:r>
    </w:p>
    <w:p>
      <w:pPr>
        <w:pStyle w:val="TextBody"/>
        <w:bidi w:val="0"/>
        <w:spacing w:lineRule="auto" w:line="240" w:before="0" w:after="0"/>
        <w:jc w:val="left"/>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assessment for the six months ended June 30, 2022, there is no impairment recorded on our Plant, Property and Equipment.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 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Refer to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to our condensed consolidated financial statements, for details on our assets and liabilities regularly recorded at fair value and the respective placements in the fair value hierarchy.</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Refer to Note 16. </w:t>
      </w:r>
      <w:r>
        <w:rPr>
          <w:rFonts w:ascii="Times New Roman;sans-serif" w:hAnsi="Times New Roman;sans-serif"/>
          <w:b w:val="false"/>
          <w:i/>
          <w:color w:val="000000"/>
          <w:sz w:val="20"/>
        </w:rPr>
        <w:t>Income taxes</w:t>
      </w:r>
      <w:r>
        <w:rPr>
          <w:rFonts w:ascii="Times New Roman;sans-serif" w:hAnsi="Times New Roman;sans-serif"/>
          <w:b w:val="false"/>
          <w:color w:val="000000"/>
          <w:sz w:val="20"/>
        </w:rPr>
        <w:t>, to our consolidated financial statements, for additional information.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before="0" w:after="0"/>
        <w:ind w:left="0" w:right="0" w:firstLine="36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earnout liabilities, put option on a forward purchase agreement, interest rate swaps and commodity swap contracts. Actual results could differ from those estimates.</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color w:val="000000"/>
        </w:rPr>
        <w:t>    </w:t>
      </w:r>
      <w:r>
        <w:rPr>
          <w:rFonts w:ascii="Times New Roman;sans-serif" w:hAnsi="Times New Roman;sans-serif"/>
          <w:b w:val="false"/>
          <w:color w:val="000000"/>
          <w:sz w:val="20"/>
        </w:rPr>
        <w:t xml:space="preserve">We employ various strategies to economically hedge these market risks, including derivative transactions relating to commodity pricing and interest rates. Any realized or unrealized gains or losses from our derivative transactions are reported within corporate revenue and other income/expense in our consolidated financial statements. For information about our gains or losses with respect to our derivative transactions and the fair value of such financial instruments, see Note 10. </w:t>
      </w:r>
      <w:r>
        <w:rPr>
          <w:rFonts w:ascii="Times New Roman;sans-serif" w:hAnsi="Times New Roman;sans-serif"/>
          <w:b w:val="false"/>
          <w:i/>
          <w:color w:val="000000"/>
          <w:sz w:val="20"/>
        </w:rPr>
        <w:t>Derivative Financial Instruments and Fair Value Measurements</w:t>
      </w:r>
      <w:r>
        <w:rPr>
          <w:rFonts w:ascii="Times New Roman;sans-serif" w:hAnsi="Times New Roman;sans-serif"/>
          <w:b w:val="false"/>
          <w:color w:val="000000"/>
          <w:sz w:val="20"/>
        </w:rPr>
        <w:t>, to our consolidated financial statements.</w:t>
      </w:r>
    </w:p>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renewable energy company specializing in the capture and conversion of biogas for the production of RNG for use as a vehicle fuel for heavy and medium-duty trucking fleets, generation of Renewable Power for sale to utilities, generation and sale of Environmental Attributes associated with RNG and Renewable Power, and sales of RNG as pipeline quality natural gas. We are an established biogas-to-energy producer in the United States, having participated in the landfill gas to energy industry for over 20 years. We have established our operating portfolio through self-development, partnerships, and acquisitions.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Renewable Power.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landfill gas, which is produced by the decomposition of organic waste at landfills and dairy manure, which is processed through anaerobic digesters to produce the biogas.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12 years and have established an expanding network of Fueling Stations for dispensing RNG. In addition, we have recently begun implementing design, development, and construction services for hydrogen fueling stations, and we are pursuing opportunities to diversify its sources of biogas to other waste streams.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 </w:t>
      </w:r>
    </w:p>
    <w:p>
      <w:pPr>
        <w:pStyle w:val="TextBody"/>
        <w:bidi w:val="0"/>
        <w:spacing w:before="0" w:after="0"/>
        <w:ind w:left="0" w:right="0" w:firstLine="288"/>
        <w:jc w:val="both"/>
        <w:rPr/>
      </w:pPr>
      <w:r>
        <w:rPr/>
      </w:r>
    </w:p>
    <w:p>
      <w:pPr>
        <w:pStyle w:val="TextBody"/>
        <w:bidi w:val="0"/>
        <w:spacing w:lineRule="auto" w:line="240" w:before="0" w:after="0"/>
        <w:ind w:left="0" w:right="0" w:firstLine="288"/>
        <w:jc w:val="both"/>
        <w:rPr>
          <w:color w:val="000000"/>
        </w:rPr>
      </w:pPr>
      <w:r>
        <w:rPr>
          <w:color w:val="000000"/>
        </w:rPr>
        <w:t>    </w:t>
      </w:r>
      <w:r>
        <w:rPr>
          <w:rFonts w:ascii="Times New Roman;sans-serif" w:hAnsi="Times New Roman;sans-serif"/>
          <w:b w:val="false"/>
          <w:color w:val="000000"/>
          <w:sz w:val="20"/>
        </w:rPr>
        <w:t xml:space="preserve">On December 2, 2021, the Company (formerly known as ArcLight Clean Transition Corp. II, "Arclight"), OPAL HoldCo LLC ("OPAL Holdco") and OPAL Fuels LLC, a Delaware limited liability company ("OPAL Fuels" or "Opco"), entered into a business combination agreement (as it may be amended, supplemented or otherwise modified from time to time, the “Business Combination Agreement”). On July 21, 2022, we closed the Business Combination Agreement and consummated the transactions contemplated thereby (the “Business Combination”).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to the consolidated financial statements for additional information.</w:t>
      </w:r>
    </w:p>
    <w:p>
      <w:pPr>
        <w:pStyle w:val="TextBody"/>
        <w:bidi w:val="0"/>
        <w:spacing w:before="0" w:after="0"/>
        <w:ind w:left="0" w:right="0" w:firstLine="360"/>
        <w:jc w:val="both"/>
        <w:rPr/>
      </w:pPr>
      <w:r>
        <w:rPr/>
      </w:r>
    </w:p>
    <w:p>
      <w:pPr>
        <w:pStyle w:val="TextBody"/>
        <w:bidi w:val="0"/>
        <w:spacing w:lineRule="auto" w:line="240"/>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Public Warrants and (ii) Private Placement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was outstanding upon the closing of the Offer be exchanged for 0.225 shares of Class A common stock, which was a ratio 10% less than the exchange ratio applicable to the Offer (the “Warrant Amendment”).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UPS Agreement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entered into a long-term agreement with UPS (the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dispensed at each station.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Credit Facility </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rPr>
        <w:t xml:space="preserve">On December 19, 2022, Fortistar Methane 3 LLC (“FM3”), an indirect subsidiary of the Company, and the borrower under the senior secured credit facility (the "Senior Secured Credit Facility"), dated as of September 21, 2015, provided by a lender group led by MUFG Union Bank Ltd, as administrative agent, and guaranteed by certain direct subsidiaries of FM3, and Opal Fuels, a direct subsidiary of the Company, and the other parties to the Senior Secured Credit Facility entered into an Omnibus and Consent Agreement (the “FM3 Amendment”). The FM3 Amendment amended the Senior Secured Credit Facility,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Senior Secured Credit Facility. As of December 31, 2022, Opal Fuels holds approximately $45.0 million of the outstanding loans under the FM3 Credit Agreement as an affiliate lender. On March 20, 2023, the Company repaid in full the remaining outstanding balance under this loan facility.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40" w:before="24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OPAL Term Loan II</w:t>
      </w:r>
    </w:p>
    <w:p>
      <w:pPr>
        <w:pStyle w:val="TextBody"/>
        <w:bidi w:val="0"/>
        <w:spacing w:before="0" w:after="0"/>
        <w:ind w:left="0" w:right="0" w:firstLine="72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of the Company, entered into a new senior secured credit facility (the "OPAL Term Loan II") with a syndicate of lenders. The indebtedness is guaranteed by certain of the direct and indirect subsidiaries of OPAL Intermediate Holdco 2. OPAL Term Loan II provides for an approximately two year delayed term loan facility (the "DDTL Facility") of up to a maximum aggregate principal amount of $100.0 million and debt service reserve facility (the "DSR Facility") of up to a maximum aggregate principal amount of $5.0 million.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 million as financing fees to the lenders and incurred $1.4 million of expenses.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pStyle w:val="TextBody"/>
        <w:bidi w:val="0"/>
        <w:spacing w:before="0" w:after="0"/>
        <w:ind w:left="0" w:right="0" w:firstLine="360"/>
        <w:jc w:val="both"/>
        <w:rPr/>
      </w:pPr>
      <w:r>
        <w:rPr/>
      </w:r>
    </w:p>
    <w:p>
      <w:pPr>
        <w:pStyle w:val="TextBody"/>
        <w:bidi w:val="0"/>
        <w:spacing w:lineRule="auto" w:line="240"/>
        <w:ind w:left="0" w:right="0" w:hanging="360"/>
        <w:jc w:val="both"/>
        <w:rPr/>
      </w:pPr>
      <w:r>
        <w:rPr>
          <w:color w:val="000000"/>
        </w:rPr>
        <w:t>•</w:t>
      </w:r>
      <w:r>
        <w:rPr>
          <w:rFonts w:ascii="Times New Roman;sans-serif" w:hAnsi="Times New Roman;sans-serif"/>
          <w:b/>
          <w:i/>
          <w:color w:val="000000"/>
          <w:sz w:val="20"/>
        </w:rPr>
        <w:t xml:space="preserve">Promoting the reduction of methane and GHG emissions and expanding the use of renewable fuels to displace fossil-based fuels: </w:t>
      </w:r>
      <w:r>
        <w:rPr>
          <w:rFonts w:ascii="Times New Roman;sans-serif" w:hAnsi="Times New Roman;sans-serif"/>
          <w:b w:val="false"/>
          <w:color w:val="000000"/>
          <w:sz w:val="20"/>
        </w:rPr>
        <w:t>We share the renewable fuel industry’s commitment to</w:t>
      </w:r>
      <w:r>
        <w:rPr>
          <w:color w:val="000000"/>
        </w:rPr>
        <w:t xml:space="preserve"> </w:t>
      </w:r>
      <w:r>
        <w:rPr>
          <w:rFonts w:ascii="Times New Roman;sans-serif" w:hAnsi="Times New Roman;sans-serif"/>
          <w:b w:val="false"/>
          <w:color w:val="000000"/>
          <w:sz w:val="20"/>
        </w:rPr>
        <w:t xml:space="preserve">providing sustainable renewable energy solutions and offering products with high economic and ecological value. By simultaneously replacing fossil-based fuels and reducing overall methane emissions, our projects have a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industry position as a full-service partner for development opportunities, including through strategic transactions: </w:t>
      </w:r>
      <w:r>
        <w:rPr>
          <w:rFonts w:ascii="Times New Roman;sans-serif" w:hAnsi="Times New Roman;sans-serif"/>
          <w:b w:val="false"/>
          <w:color w:val="000000"/>
          <w:sz w:val="20"/>
        </w:rPr>
        <w:t>Throughout our over 20 years of biogas conversion</w:t>
      </w:r>
      <w:r>
        <w:rPr>
          <w:color w:val="000000"/>
        </w:rPr>
        <w:t xml:space="preserve"> </w:t>
      </w:r>
      <w:r>
        <w:rPr>
          <w:rFonts w:ascii="Times New Roman;sans-serif" w:hAnsi="Times New Roman;sans-serif"/>
          <w:b w:val="false"/>
          <w:color w:val="000000"/>
          <w:sz w:val="20"/>
        </w:rPr>
        <w:t>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Expanding our capabilities to new feedstock sources and technologies: </w:t>
      </w:r>
      <w:r>
        <w:rPr>
          <w:rFonts w:ascii="Times New Roman;sans-serif" w:hAnsi="Times New Roman;sans-serif"/>
          <w:b w:val="false"/>
          <w:color w:val="000000"/>
          <w:sz w:val="20"/>
        </w:rPr>
        <w:t>We believe we will be</w:t>
      </w:r>
      <w:r>
        <w:rPr>
          <w:color w:val="000000"/>
        </w:rPr>
        <w:t xml:space="preserve"> </w:t>
      </w:r>
      <w:r>
        <w:rPr>
          <w:rFonts w:ascii="Times New Roman;sans-serif" w:hAnsi="Times New Roman;sans-serif"/>
          <w:b w:val="false"/>
          <w:color w:val="000000"/>
          <w:sz w:val="20"/>
        </w:rPr>
        <w:t>able to enter new markets for our products, such as providing fuel for the production of renewable energy sources. With our experience and industry expertise, we believe we are well-positioned to take advantage of opportunities to meet the clean energy needs of other industries looking to use renewable energy in their operations. We are actively reviewing opportunities beyond our core LFG and dairy RNG business. Specifically, we intend to diversify our project portfolio beyond landfill biogas through the expansion into additional methane producing assets.</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 xml:space="preserve">Empowering our customers to achieve their sustainability and carbon reduction objectives: </w:t>
      </w:r>
      <w:r>
        <w:rPr>
          <w:rFonts w:ascii="Times New Roman;sans-serif" w:hAnsi="Times New Roman;sans-serif"/>
          <w:b w:val="false"/>
          <w:color w:val="000000"/>
          <w:sz w:val="20"/>
        </w:rPr>
        <w:t>We are well positioned to empower our customers to achieve their sustainability and</w:t>
      </w:r>
      <w:r>
        <w:rPr>
          <w:color w:val="000000"/>
        </w:rPr>
        <w:t xml:space="preserve"> </w:t>
      </w:r>
      <w:r>
        <w:rPr>
          <w:rFonts w:ascii="Times New Roman;sans-serif" w:hAnsi="Times New Roman;sans-serif"/>
          <w:b w:val="false"/>
          <w:color w:val="000000"/>
          <w:sz w:val="20"/>
        </w:rPr>
        <w:t>carbon reduction goals, including significantly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pStyle w:val="TextBody"/>
        <w:bidi w:val="0"/>
        <w:spacing w:before="0" w:after="0"/>
        <w:jc w:val="both"/>
        <w:rPr/>
      </w:pPr>
      <w:r>
        <w:rPr/>
      </w:r>
    </w:p>
    <w:p>
      <w:pPr>
        <w:pStyle w:val="TextBody"/>
        <w:bidi w:val="0"/>
        <w:spacing w:lineRule="auto" w:line="240" w:before="0" w:after="0"/>
        <w:jc w:val="left"/>
        <w:rPr/>
      </w:pPr>
      <w:r>
        <w:rPr>
          <w:color w:val="000000"/>
        </w:rPr>
        <w:t> </w:t>
      </w:r>
      <w:r>
        <w:rPr>
          <w:rFonts w:ascii="Times New Roman;sans-serif" w:hAnsi="Times New Roman;sans-serif"/>
          <w:b w:val="false"/>
          <w:i/>
          <w:color w:val="000000"/>
          <w:sz w:val="20"/>
        </w:rPr>
        <w:t>Vertical Integration of Business</w:t>
      </w:r>
    </w:p>
    <w:p>
      <w:pPr>
        <w:pStyle w:val="TextBody"/>
        <w:bidi w:val="0"/>
        <w:spacing w:before="0" w:after="0"/>
        <w:jc w:val="left"/>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combination of Biogas Conversion Projects and Fueling Stations, together with the dispensing, generation, and monetization of the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increasing number of transportation customers. The increasing adoption of RNG as a fuel for transportation use amongst our customers subsequently gives us more opportunities to secure additional gas rights for Biogas Conversion Projects.</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 and Project Expertise</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has decades of combined experience in the design, development, construction, maintenance, and operation of Biogas Conversion Projects and Fueling Stations that dispense RNG, as well as the monetization of the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its day-to-day activities.</w:t>
      </w:r>
    </w:p>
    <w:p>
      <w:pPr>
        <w:pStyle w:val="TextBody"/>
        <w:bidi w:val="0"/>
        <w:spacing w:before="0" w:after="0"/>
        <w:ind w:left="0" w:right="0" w:firstLine="892"/>
        <w:jc w:val="both"/>
        <w:rPr/>
      </w:pPr>
      <w:r>
        <w:rPr/>
      </w:r>
    </w:p>
    <w:p>
      <w:pPr>
        <w:pStyle w:val="TextBody"/>
        <w:bidi w:val="0"/>
        <w:spacing w:lineRule="auto" w:line="24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network of experienced and creditworthy EPC contractors to perform design, development, procurement and construction services under supervision by us.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pStyle w:val="TextBody"/>
        <w:bidi w:val="0"/>
        <w:spacing w:before="0" w:after="0"/>
        <w:ind w:left="0" w:right="0" w:firstLine="892"/>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Access to Development Opportunities</w:t>
      </w:r>
    </w:p>
    <w:p>
      <w:pPr>
        <w:pStyle w:val="TextBody"/>
        <w:bidi w:val="0"/>
        <w:spacing w:before="0" w:after="0"/>
        <w:jc w:val="left"/>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relationships throughout the industry supply chain from technology and equipment providers to feedstock owners to RNG off-takers. We believe the strong reputation we have attained in combination with its understanding 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pStyle w:val="TextBody"/>
        <w:bidi w:val="0"/>
        <w:spacing w:before="0" w:after="0"/>
        <w:jc w:val="left"/>
        <w:rPr/>
      </w:pPr>
      <w:r>
        <w:rPr/>
      </w:r>
    </w:p>
    <w:p>
      <w:pPr>
        <w:pStyle w:val="TextBody"/>
        <w:bidi w:val="0"/>
        <w:spacing w:lineRule="auto" w:line="240" w:before="0" w:after="0"/>
        <w:ind w:left="0" w:right="0" w:firstLine="892"/>
        <w:jc w:val="both"/>
        <w:rPr/>
      </w:pPr>
      <w:r>
        <w:rPr>
          <w:rFonts w:ascii="Times New Roman;sans-serif" w:hAnsi="Times New Roman;sans-serif"/>
          <w:b w:val="false"/>
          <w:color w:val="000000"/>
          <w:sz w:val="20"/>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or referrals from existing partners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actively seek to extend the term of our contracts at project sites and views our positive relationships with the owners and managers of its host landfills and dairy farms as a contributing factor to our ability to extend contract terms as they come due.</w:t>
      </w:r>
    </w:p>
    <w:p>
      <w:pPr>
        <w:pStyle w:val="TextBody"/>
        <w:bidi w:val="0"/>
        <w:spacing w:before="0" w:after="0"/>
        <w:ind w:left="0" w:right="0" w:firstLine="892"/>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Large and Diverse Project Portfolio</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one of the largest and most technologically optimized Biogas Conversion Project portfolios in the RNG industry. Our ability to solve unique project development challenges and integrate such solutions across our entire project portfolio has supported the long-term successful partnerships we have with its Biogas Conversion Project hosts. Because we are able to meet the varying needs of its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pStyle w:val="TextBody"/>
        <w:bidi w:val="0"/>
        <w:spacing w:before="0" w:after="0"/>
        <w:ind w:left="0" w:right="0" w:firstLine="892"/>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EHS and Compliance</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its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Nature of Business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Capture and Conversion Business</w:t>
      </w:r>
    </w:p>
    <w:p>
      <w:pPr>
        <w:pStyle w:val="TextBody"/>
        <w:bidi w:val="0"/>
        <w:spacing w:before="0" w:after="0"/>
        <w:jc w:val="left"/>
        <w:rPr/>
      </w:pPr>
      <w:r>
        <w:rPr/>
      </w:r>
    </w:p>
    <w:p>
      <w:pPr>
        <w:pStyle w:val="TextBody"/>
        <w:bidi w:val="0"/>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long-term power purchase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differentiate ourself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Dispensing and Monetization Business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 During 2022, we dispensed 29.3 million gasoline gallon equivalent ("GGEs") of RNG to the transportation market, generating corresponding Environmental Attributes, utilizing our current network of 242 Fueling Stations in 40 states in the United States, including more than 35 stations in California.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Hydrogen Fuel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In the coming years, we believe we will be able to provide hydrogen fuel to vehicle fleets by constructing and servicing hydrogen fueling stations as well as providing RNG for hydrogen production. As fleet operators deploy more hydrogen powered vehicles, we anticipate constructing and servicing stations that use hydrogen derived from RNG to deliver low carbon hydrogen fuel to customers. We are currently in the design, engineering phase and construction of the first several of these hydrogen fueling stations.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We Generate Revenue</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i/>
          <w:color w:val="000000"/>
          <w:sz w:val="20"/>
        </w:rPr>
        <w:t>Overview.</w:t>
      </w:r>
      <w:r>
        <w:rPr>
          <w:color w:val="000000"/>
        </w:rPr>
        <w:t xml:space="preserve"> </w:t>
      </w:r>
      <w:r>
        <w:rPr>
          <w:rFonts w:ascii="Times New Roman;sans-serif" w:hAnsi="Times New Roman;sans-serif"/>
          <w:b w:val="false"/>
          <w:color w:val="000000"/>
          <w:sz w:val="20"/>
        </w:rPr>
        <w:t>Our revenues are driven principally from the sale of Environmental Attributes that are generated from dispensing RNG as transportation fuel for heavy and medium-duty trucking fleets at Fueling Stations. In addition, we generate revenue from the sale of (i) Renewable Power, (ii) design, development, construction and service of Fueling Stations, and (iii) from sales of RNG produced by OPAL as pipeline quality natural gas.</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i/>
          <w:color w:val="000000"/>
          <w:sz w:val="20"/>
        </w:rPr>
        <w:t>Environmental Attributes.</w:t>
      </w:r>
      <w:r>
        <w:rPr>
          <w:color w:val="000000"/>
        </w:rPr>
        <w:t xml:space="preserve"> </w:t>
      </w:r>
      <w:r>
        <w:rPr>
          <w:rFonts w:ascii="Times New Roman;sans-serif" w:hAnsi="Times New Roman;sans-serif"/>
          <w:b w:val="false"/>
          <w:color w:val="000000"/>
          <w:sz w:val="20"/>
        </w:rPr>
        <w:t>Currently, our Environmental Attributes revenue stream is primarily comprised of RINs, LCFS credits, and renewable energy credits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 LCFS credit may be generated as well. Lastly, LFG-to-Renewable Power projects can create Environmental Attributes, in the form of a REC, in certain states and can be bundled with electricity off-take or monetized separately. See "Biogas RNG Market Opportunity".</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i/>
          <w:color w:val="000000"/>
          <w:sz w:val="20"/>
        </w:rPr>
        <w:t>Power Purchase Agreements.</w:t>
      </w:r>
      <w:r>
        <w:rPr>
          <w:color w:val="000000"/>
        </w:rPr>
        <w:t xml:space="preserve"> </w:t>
      </w:r>
      <w:r>
        <w:rPr>
          <w:rFonts w:ascii="Times New Roman;sans-serif" w:hAnsi="Times New Roman;sans-serif"/>
          <w:b w:val="false"/>
          <w:color w:val="000000"/>
          <w:sz w:val="20"/>
        </w:rPr>
        <w:t>Our Renewable Power projects generally have associated long-term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pStyle w:val="TextBody"/>
        <w:bidi w:val="0"/>
        <w:spacing w:before="0" w:after="0"/>
        <w:jc w:val="both"/>
        <w:rPr/>
      </w:pPr>
      <w:r>
        <w:rPr/>
      </w:r>
    </w:p>
    <w:p>
      <w:pPr>
        <w:pStyle w:val="TextBody"/>
        <w:bidi w:val="0"/>
        <w:spacing w:lineRule="auto" w:line="240"/>
        <w:jc w:val="both"/>
        <w:rPr/>
      </w:pPr>
      <w:r>
        <w:rPr>
          <w:color w:val="000000"/>
        </w:rPr>
        <w:t>    </w:t>
      </w:r>
      <w:r>
        <w:rPr>
          <w:rFonts w:ascii="Times New Roman;sans-serif" w:hAnsi="Times New Roman;sans-serif"/>
          <w:b/>
          <w:i/>
          <w:color w:val="000000"/>
          <w:sz w:val="20"/>
        </w:rPr>
        <w:t>Fueling Station Construction and Services.</w:t>
      </w:r>
      <w:r>
        <w:rPr>
          <w:color w:val="000000"/>
        </w:rPr>
        <w:t xml:space="preserve"> </w:t>
      </w:r>
      <w:r>
        <w:rPr>
          <w:rFonts w:ascii="Times New Roman;sans-serif" w:hAnsi="Times New Roman;sans-serif"/>
          <w:b w:val="false"/>
          <w:color w:val="000000"/>
          <w:sz w:val="20"/>
        </w:rPr>
        <w:t xml:space="preserve">We have significant experience in the engineering, design, construction and operation of Fueling Stations that dispense RNG. Since 2009, TruStar Energy Holdings LLC ("OPAL Fuel Station Services"), one of our subsidiaries, together with its predecessors, has served as the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contractor or supervised qualified third-party contractors and completed over 350 Fueling Station projects. We use a combination of custom designed and off-the-shelf equipment to build these stations. We also perform in-house manufacturing and modularized portable CNG compressor packages for smaller dispensing stations, utilizing its patented technology that allows faster and easier station installations. These portable packages can include defueling panels that allow smaller fleet owners to avoid expensive maintenance shop upgrades. In addition, we also generate revenues by providing O&amp;M services for customer stations; and by helping our customers obtain federal, state and local tax credits, grants and incentives.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Biogas Conversion Projects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Typically, a Biogas Conversion Project includes two phases: (i) biogas collection and (ii) processing and purifying biogas.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since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separation of the CO2 from the methane molecules. Further treatment of the biogas is often required to remove residual nitrogen and/or oxygen to meet pipeline specifications.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If a biogas capture and conversion project is not within close proximity to a pipeline, the RNG is transported by road using tube trailers to a gas injection point. This is referred to as a virtual pipeline.</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Biogas RNG Market Opportunity</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OPAL’s current primary sources of biogas are landfills and dairy farms.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 of Landfill Gas Sources</w:t>
      </w:r>
    </w:p>
    <w:p>
      <w:pPr>
        <w:pStyle w:val="TextBody"/>
        <w:bidi w:val="0"/>
        <w:spacing w:before="0" w:after="0"/>
        <w:ind w:left="0" w:right="0" w:firstLine="892"/>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pStyle w:val="TextBody"/>
        <w:bidi w:val="0"/>
        <w:ind w:left="0" w:right="0" w:firstLine="892"/>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To capitalize on this feedstock opportunity, and to help landfill owners meet growing regulatory requirements for curbing GHG emissions, we enter into long-term gas rights and site lease agreements with landfill owners. The agreement terms are typically at least 20 years. In most cases, the agreements contain renewal provisions. With respect to all of our existing or proposed LFG-to-RNG Biogas Conversion Projects currently in operation or under construction (a total of 12 projects), all but one relates to landfills that are currently open and accepting more waste, which we believe provides a high degree of visibility into the long-term volumes of RNG capable of being generated as each of these projects.</w:t>
      </w:r>
    </w:p>
    <w:p>
      <w:pPr>
        <w:pStyle w:val="TextBody"/>
        <w:bidi w:val="0"/>
        <w:spacing w:before="0" w:after="0"/>
        <w:ind w:left="0" w:right="0" w:firstLine="892"/>
        <w:jc w:val="both"/>
        <w:rPr/>
      </w:pPr>
      <w:r>
        <w:rPr/>
      </w:r>
    </w:p>
    <w:p>
      <w:pPr>
        <w:pStyle w:val="TextBody"/>
        <w:bidi w:val="0"/>
        <w:spacing w:lineRule="auto" w:line="240" w:before="0" w:after="0"/>
        <w:ind w:left="0" w:right="0" w:firstLine="900"/>
        <w:jc w:val="both"/>
        <w:rPr/>
      </w:pPr>
      <w:r>
        <w:rPr>
          <w:rFonts w:ascii="Times New Roman;sans-serif" w:hAnsi="Times New Roman;sans-serif"/>
          <w:b w:val="false"/>
          <w:color w:val="000000"/>
          <w:sz w:val="20"/>
        </w:rPr>
        <w:t>Using proven gas purification technology, biogas can be processed onsite to remove impurities, and used at around 50% methane to generate Renewable Power. Biogas can be further processed and upgraded to remove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 of Livestock Sources</w:t>
      </w:r>
    </w:p>
    <w:p>
      <w:pPr>
        <w:pStyle w:val="TextBody"/>
        <w:bidi w:val="0"/>
        <w:spacing w:before="0" w:after="0"/>
        <w:jc w:val="left"/>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Livestock are the top agricultural source of GHG worldwide, according to the EPA. Livestock waste, particularly from dairies, produces biomethane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view dairy farms as a significant opportunity for us to expand our RNG business. Processing biogas from dairy farms requires similar expertise and capabilities as processing biogas from landfills.</w:t>
      </w:r>
    </w:p>
    <w:p>
      <w:pPr>
        <w:pStyle w:val="TextBody"/>
        <w:bidi w:val="0"/>
        <w:spacing w:before="0" w:after="0"/>
        <w:ind w:left="0" w:right="0" w:firstLine="892"/>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presence of our digester benefits dairy farmers in a number of ways, creating a mutually beneficial relationship. We assist in managing the waste for the dairy farmer, which they would otherwise have to manage. Additionally, processing this waste in a digester is significantly more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Highly Fragmented Market</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LFG market is heavily fragmented, which we believe represents an opportunity for companies like us to find project opportunities. According to the EPA, the top ten players account for approximately 54% of installed LFG capacity as of December 31, 2022, and over 90% of developers own five or fewer projects. This market dynamic creates the opportunity for consolidation by well capitalized, experienced market participants such as OPAL.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While LFG has accounted for most of the growth in Biogas Conversion Projects to date, we believe additional economically viable LFG project opportunities exist. According to the EPA LMOP project database, as of August 2022, there were 538 LFG projects in operation in the United States, including 366 operating LFG-to-electricity projects that may be converted to produce RNG as well as 470 additional candidate landfills. Based on EPA data, these 470 candidate landfills have the potential to collect a combined 326.7 million standard cubic feet of LFG per day. Based on our industry experience, technical knowledge and analysis, we believe many of these sites are potentially economically viable for RNG project acquisitions.</w:t>
      </w:r>
    </w:p>
    <w:p>
      <w:pPr>
        <w:pStyle w:val="TextBody"/>
        <w:bidi w:val="0"/>
        <w:spacing w:before="0" w:after="0"/>
        <w:jc w:val="both"/>
        <w:rPr/>
      </w:pPr>
      <w:r>
        <w:rPr/>
      </w:r>
    </w:p>
    <w:p>
      <w:pPr>
        <w:pStyle w:val="TextBody"/>
        <w:bidi w:val="0"/>
        <w:spacing w:lineRule="auto" w:line="240"/>
        <w:jc w:val="both"/>
        <w:rPr>
          <w:color w:val="000000"/>
        </w:rPr>
      </w:pPr>
      <w:r>
        <w:rPr>
          <w:color w:val="000000"/>
        </w:rPr>
        <w:t>    </w:t>
      </w:r>
      <w:r>
        <w:rPr>
          <w:rFonts w:ascii="Times New Roman;sans-serif" w:hAnsi="Times New Roman;sans-serif"/>
          <w:b w:val="false"/>
          <w:color w:val="000000"/>
          <w:sz w:val="20"/>
        </w:rPr>
        <w:t xml:space="preserve">Biogas from livestock farm waste also represents a significant opportunity for RNG production that remains largely untapped. According to the US Department of Agriculture, as of June 2018, biogas recovery systems are feasible at 2,704 incremental dairy farms and 5,409 incremental swine farms in the United States. These farms have the potential to produce roughly 172.0 million MMBtu of RNG annually, or the equivalent of the CO2 emissions from over 1.3 billion gallons of gasoline. Although many of the EPA identified project sites are not currently economically viable because of distance from pipelines and contaminants in the biogas, among other reasons as described above, we believe there is potential for sustained growth in biogas conversion from livestock waste sources given our experience in evaluating sites and assessing their viability, evolving consumer preferences, regulatory conditions, ongoing waste industry trends, and project economics. Additionally, all-in prices paid for RNG from livestock farms can be significantly higher than prices for RNG from landfills due to state-level LCFS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incentives for these projects. Given our understanding of biogas processing and our market leadership in RNG, including access to a broad network of Fueling Stations for dispensing, we believe we are well-positioned to take advantage of opportunities in this emerging market. Our first dairy development project, Sunoma, is located at Paloma Dairy and came online in November 2021.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Well-Established Regulatory Framework</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RINs are credits used by Obligated Parties for regulatory compliance as part of the RFS program. The RFS program is a federal law introduced in 2005 and updated in 2007 to incorporate renewable content into various transportation fuels. Through this RFS program, RINs can be sold to counterparties in order for them to meet their renewable standard requirements. RNG from landfills and livestock waste, among other sources, qualifies as a cellulosic biofuel with a 60% GHG reduction requirement (“D3”) RIN, which is currently the highest priced RIN and commands a premium compared to non-cellulosic renewable fuels such as ethanol and renewable diesel.</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generate RINs when RNG is dispensed into vehicles as transportation fuel, and the RINs can then be sold to, and traded with, market participants who can either retire them or trade them again. By using the RINs, Obligated Parties retire the RINs for compliance purposes. Market participants in the RIN program typically include Obligated Parties and registered RIN market participants. Participants include both domestic and foreign companies.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will begin in 2023.</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LCFS programs are attractive because the LCFS credits can be additive to RINs. In California, the most established program, the LCFS program is administered by the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OPAL is poised to take advantage of the LCFS programs given that RNG from dairies has very low or negative CI, and therefore generates valuable credits in states with LCFS programs. Although not included in OPAL’s base case model, landfill RNG projects can attract LCFS credits as well but are not as valuable as the lower CI dairy RNG credits.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Currently, it is estimated that RNG production in the United States can only cover about 1% of the US heavy and medium-duty vehicles fuel market. RNG production is projected to triple by 2027, increasing the RNG industry share to as much as 2.5%. Although it is likely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Economic Benefits Incentivize Switching to RNG</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Our Projects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prospectus, we owned and operated 24 projects, seven of which are RNG projects and 17 of which are Renewable Power Projects. As of that date, our RNG projects in operation had a design capacity of 3.9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four of our current Renewable Power Projects being considered candidates for conversion to RNG projects in the foreseeable future. </w:t>
      </w:r>
    </w:p>
    <w:p>
      <w:pPr>
        <w:pStyle w:val="TextBody"/>
        <w:bidi w:val="0"/>
        <w:spacing w:before="0" w:after="0"/>
        <w:ind w:left="0" w:right="0" w:firstLine="972"/>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Below is a table setting forth the RNG projects in operation and construction in our portfolio: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tbl>
      <w:tblPr>
        <w:tblW w:w="8728" w:type="dxa"/>
        <w:jc w:val="left"/>
        <w:tblInd w:w="0" w:type="dxa"/>
        <w:tblLayout w:type="fixed"/>
        <w:tblCellMar>
          <w:top w:w="28" w:type="dxa"/>
          <w:left w:w="28" w:type="dxa"/>
          <w:bottom w:w="28" w:type="dxa"/>
          <w:right w:w="28" w:type="dxa"/>
        </w:tblCellMar>
      </w:tblPr>
      <w:tblGrid>
        <w:gridCol w:w="949"/>
        <w:gridCol w:w="834"/>
        <w:gridCol w:w="841"/>
        <w:gridCol w:w="1094"/>
        <w:gridCol w:w="1094"/>
        <w:gridCol w:w="1097"/>
        <w:gridCol w:w="514"/>
        <w:gridCol w:w="514"/>
        <w:gridCol w:w="516"/>
        <w:gridCol w:w="373"/>
        <w:gridCol w:w="373"/>
        <w:gridCol w:w="52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Design capacity (MMbtus per year) </w:t>
            </w:r>
            <w:r>
              <w:rPr>
                <w:rFonts w:ascii="Times New Roman;sans-serif" w:hAnsi="Times New Roman;sans-serif"/>
                <w:b/>
                <w:color w:val="000000"/>
                <w:sz w:val="13"/>
              </w:rPr>
              <w:t>(1)</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Source of bio gas</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Ownership </w:t>
            </w:r>
            <w:r>
              <w:rPr>
                <w:rFonts w:ascii="Times New Roman;sans-serif" w:hAnsi="Times New Roman;sans-serif"/>
                <w:b/>
                <w:color w:val="000000"/>
                <w:sz w:val="13"/>
              </w:rPr>
              <w:t>(2)</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operation:</w:t>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Greentree</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Imperial</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1,061,712</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River</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663,570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Noble Road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464,499</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Biotown </w:t>
            </w:r>
            <w:r>
              <w:rPr>
                <w:rFonts w:ascii="Times New Roman;sans-serif" w:hAnsi="Times New Roman;sans-serif"/>
                <w:b w:val="false"/>
                <w:color w:val="000000"/>
                <w:sz w:val="13"/>
              </w:rPr>
              <w:t>(3)</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48,573</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Pine Bend </w:t>
            </w:r>
            <w:r>
              <w:rPr>
                <w:rFonts w:ascii="Times New Roman;sans-serif" w:hAnsi="Times New Roman;sans-serif"/>
                <w:b w:val="false"/>
                <w:color w:val="000000"/>
                <w:sz w:val="13"/>
              </w:rPr>
              <w:t>(3)</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424,685</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Sunoma</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192,350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3,917,101</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projects in construction:</w:t>
            </w:r>
          </w:p>
        </w:tc>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Prince William</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1,725,282</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Hilltop</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Vander Schaaf</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Dairy</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Emerald</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1,327,140</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Sapphire</w:t>
            </w:r>
          </w:p>
        </w:tc>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796,284</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England</w:t>
            </w:r>
          </w:p>
        </w:tc>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318,514</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LFG</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 total</w:t>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4,678,220</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8,595,321</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8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Design capacity represents the Company's proportional ownership in the project. Design capacity may not reflect actual production of RNG from the projects, which will depend on many variables including, but not limited to, quantity and quality of the biogas, operational up-time of the facility, and actual productivity of the facility.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projects have provisions that will adjust, or “flip,” the percentage of distributions to be made to us over time, typically triggered by achievement of hurdle rates that are calculated as internal rates of return on capital invested in the project.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ownership interests in these projects as equity method investments in our consolidated financial statements.</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 (v) our relationships with dairy farms in the country, we are well-positioned to continue to operate and grow its portfolio and respond to competitive pressures. We have demonstrated a track record of strategic flexibility across our over 20-year history which has allowed us to pivot towards projects and markets that we believe deliver optimal returns and shareholder value in response to changes in market, regulatory and competitive pressures.</w:t>
      </w:r>
    </w:p>
    <w:p>
      <w:pPr>
        <w:pStyle w:val="TextBody"/>
        <w:bidi w:val="0"/>
        <w:spacing w:before="0" w:after="0"/>
        <w:jc w:val="both"/>
        <w:rPr/>
      </w:pPr>
      <w:r>
        <w:rPr/>
      </w:r>
    </w:p>
    <w:p>
      <w:pPr>
        <w:pStyle w:val="TextBody"/>
        <w:bidi w:val="0"/>
        <w:spacing w:lineRule="auto" w:line="240"/>
        <w:jc w:val="both"/>
        <w:rPr>
          <w:color w:val="000000"/>
        </w:rPr>
      </w:pPr>
      <w:r>
        <w:rPr>
          <w:color w:val="000000"/>
        </w:rPr>
        <w:t>    </w:t>
      </w:r>
      <w:r>
        <w:rPr>
          <w:rFonts w:ascii="Times New Roman;sans-serif" w:hAnsi="Times New Roman;sans-serif"/>
          <w:b w:val="false"/>
          <w:color w:val="000000"/>
          <w:sz w:val="20"/>
        </w:rPr>
        <w:t xml:space="preserve">The biogas market is heavily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Governmental Regulation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RNG projects are subject to federal RFS program regulations, including the Energy Policy Act of 2005 (the “</w:t>
      </w:r>
      <w:r>
        <w:rPr>
          <w:rFonts w:ascii="Times New Roman;sans-serif" w:hAnsi="Times New Roman;sans-serif"/>
          <w:b/>
          <w:i/>
          <w:color w:val="000000"/>
          <w:sz w:val="20"/>
        </w:rPr>
        <w:t>EPACT 2005</w:t>
      </w:r>
      <w:r>
        <w:rPr>
          <w:color w:val="000000"/>
        </w:rPr>
        <w:t>”</w:t>
      </w:r>
      <w:r>
        <w:rPr>
          <w:rFonts w:ascii="Times New Roman;sans-serif" w:hAnsi="Times New Roman;sans-serif"/>
          <w:b w:val="false"/>
          <w:color w:val="000000"/>
          <w:sz w:val="20"/>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RNG projects are also subject to state renewable fuel standard regulations. By way of example, the LCFS program in California requires producers of petroleum-based fuels to reduce the CI of their products by at least 10% by 2020 and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EPA under the Clean Air Act (the “</w:t>
      </w:r>
      <w:r>
        <w:rPr>
          <w:rFonts w:ascii="Times New Roman;sans-serif" w:hAnsi="Times New Roman;sans-serif"/>
          <w:b/>
          <w:i/>
          <w:color w:val="000000"/>
          <w:sz w:val="20"/>
        </w:rPr>
        <w:t>CAA</w:t>
      </w:r>
      <w:r>
        <w:rPr>
          <w:color w:val="000000"/>
        </w:rPr>
        <w:t>”</w:t>
      </w:r>
      <w:r>
        <w:rPr>
          <w:rFonts w:ascii="Times New Roman;sans-serif" w:hAnsi="Times New Roman;sans-serif"/>
          <w:b w:val="false"/>
          <w:color w:val="000000"/>
          <w:sz w:val="20"/>
        </w:rPr>
        <w:t>) regulates emissions of pollutants to protect the environment and public health and contains provisions for New Source Review (the “</w:t>
      </w:r>
      <w:r>
        <w:rPr>
          <w:rFonts w:ascii="Times New Roman;sans-serif" w:hAnsi="Times New Roman;sans-serif"/>
          <w:b/>
          <w:i/>
          <w:color w:val="000000"/>
          <w:sz w:val="20"/>
        </w:rPr>
        <w:t>NSR</w:t>
      </w:r>
      <w:r>
        <w:rPr>
          <w:color w:val="000000"/>
        </w:rPr>
        <w:t>”</w:t>
      </w:r>
      <w:r>
        <w:rPr>
          <w:rFonts w:ascii="Times New Roman;sans-serif" w:hAnsi="Times New Roman;sans-serif"/>
          <w:b w:val="false"/>
          <w:color w:val="000000"/>
          <w:sz w:val="20"/>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 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Before an RNG project can be developed, all the Resource Conservation and Recovery (the “</w:t>
      </w:r>
      <w:r>
        <w:rPr>
          <w:rFonts w:ascii="Times New Roman;sans-serif" w:hAnsi="Times New Roman;sans-serif"/>
          <w:b/>
          <w:i/>
          <w:color w:val="000000"/>
          <w:sz w:val="20"/>
        </w:rPr>
        <w:t>RCRA”)</w:t>
      </w:r>
      <w:r>
        <w:rPr>
          <w:color w:val="000000"/>
        </w:rPr>
        <w:t> </w:t>
      </w:r>
      <w:r>
        <w:rPr>
          <w:rFonts w:ascii="Times New Roman;sans-serif" w:hAnsi="Times New Roman;sans-serif"/>
          <w:b w:val="false"/>
          <w:color w:val="000000"/>
          <w:sz w:val="20"/>
        </w:rPr>
        <w:t>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FERC</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2005, the U.S. federal government enacted the EPACT 2005 conferring new authority for FERC to act to limit wholesale market power if required and strengthening FERC’s civil penalty authority (including the power to assess 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Qualifying Facilities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Public Utility Regulatory Policies Act (“</w:t>
      </w:r>
      <w:r>
        <w:rPr>
          <w:rFonts w:ascii="Times New Roman;sans-serif" w:hAnsi="Times New Roman;sans-serif"/>
          <w:b/>
          <w:i/>
          <w:color w:val="000000"/>
          <w:sz w:val="20"/>
        </w:rPr>
        <w:t>PURPA</w:t>
      </w:r>
      <w:r>
        <w:rPr>
          <w:color w:val="000000"/>
        </w:rPr>
        <w:t>”</w:t>
      </w:r>
      <w:r>
        <w:rPr>
          <w:rFonts w:ascii="Times New Roman;sans-serif" w:hAnsi="Times New Roman;sans-serif"/>
          <w:b w:val="false"/>
          <w:color w:val="000000"/>
          <w:sz w:val="20"/>
        </w:rPr>
        <w: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State Utility Regulation</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RNG Production and Sale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Future Regulations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Effect of Existing or Probable Government Regulations on Our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w:t>
      </w:r>
      <w:r>
        <w:rPr>
          <w:color w:val="000000"/>
        </w:rPr>
        <w:t> </w:t>
      </w:r>
      <w:r>
        <w:rPr>
          <w:rFonts w:ascii="Times New Roman;sans-serif" w:hAnsi="Times New Roman;sans-serif"/>
          <w:b w:val="false"/>
          <w:color w:val="000000"/>
          <w:sz w:val="20"/>
        </w:rPr>
        <w:t>See</w:t>
      </w:r>
      <w:r>
        <w:rPr>
          <w:color w:val="000000"/>
        </w:rPr>
        <w:t> “</w:t>
      </w:r>
      <w:r>
        <w:rPr>
          <w:rFonts w:ascii="Times New Roman;sans-serif" w:hAnsi="Times New Roman;sans-serif"/>
          <w:b w:val="false"/>
          <w:i/>
          <w:color w:val="000000"/>
          <w:sz w:val="20"/>
        </w:rPr>
        <w:t>Business—Legal Proceedings.</w:t>
      </w:r>
      <w:r>
        <w:rPr>
          <w:color w:val="000000"/>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Segments and Geographic Information </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For information regarding revenues and other information regarding our results of operations for each of the last two fiscal years by financial reporting segment, please refer to the financial statements included in this prospectus and “</w:t>
      </w:r>
      <w:r>
        <w:rPr>
          <w:rFonts w:ascii="Times New Roman;sans-serif" w:hAnsi="Times New Roman;sans-serif"/>
          <w:b w:val="false"/>
          <w:i/>
          <w:color w:val="000000"/>
          <w:sz w:val="20"/>
        </w:rPr>
        <w:t>Management’s Discussion and Analysis of Financial Condition and Results of Operations.</w:t>
      </w:r>
      <w:r>
        <w:rPr>
          <w:color w:val="000000"/>
        </w:rPr>
        <w: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corporate headquarters are located in White Plains, New York, where we occupy approximately 13,600 square feet of shared office space with an affiliate of Fortistar pursuant to an Administrative Services Agreement. See “</w:t>
      </w:r>
      <w:r>
        <w:rPr>
          <w:rFonts w:ascii="Times New Roman;sans-serif" w:hAnsi="Times New Roman;sans-serif"/>
          <w:b w:val="false"/>
          <w:i/>
          <w:color w:val="000000"/>
          <w:sz w:val="20"/>
        </w:rPr>
        <w:t>Certain Relationships and Related Party Transactions—Administrative Services Agreement.</w:t>
      </w:r>
      <w:r>
        <w:rPr>
          <w:color w:val="000000"/>
        </w:rPr>
        <w:t xml:space="preserve">” </w:t>
      </w:r>
      <w:r>
        <w:rPr>
          <w:rFonts w:ascii="Times New Roman;sans-serif" w:hAnsi="Times New Roman;sans-serif"/>
          <w:b w:val="false"/>
          <w:color w:val="000000"/>
          <w:sz w:val="20"/>
        </w:rPr>
        <w:t>We believe this office space is adequate for our needs for the immediate future and that, should it be necessary, we can lease additional space to accommodate any future growth.</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office and maintenance facility is located in Oronoco, Minnesota, where we own and occupy 20,000 square feet of combined office space, maintenance shop and loading dock located on 3.25 acres. The building was acquired in September 2018 and is adequate for needs for the immediate future. Should it be necessary, we believe we can expand the building to accommodate future growth.</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construction office and maintenance facility is located in Rancho Cucamonga, California, where we occupy approximately 29,935 square feet of combined office space, maintenance shop and loading dock. In March, 2022, the Company entered into an amendment to the lease which extended the lease term till January 2026. We believe the space that we currently lease is adequate for our needs for the immediate future but we will likely seek additional space during the course of 2023 to accommodate future growth, which we believe will be available to us on satisfactory terms.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Employees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OPAL had approximately 298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bidi w:val="0"/>
        <w:spacing w:before="0" w:after="0"/>
        <w:jc w:val="both"/>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SAFETY - Passion for safety</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INTEGRITY - Straightforward, open and honest</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RELATIONSHIPS - Engaging all stakeholders</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EXCELLENCE - Quality and creativity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Talent management and leadership</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rights, health and safety</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the accidents occur.</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strive to provide a secure working environment for both our office-based and field operations personnel. During COVID-19, we have taken extraordinary measures to protect the health of our employees by allowing them to work from home. We took measures to adapt all of our office to the new safety precautions to include social distancing guidelines as well as ensuring mask wearing compliance when required. We continued our focus in 2022 on keeping our employees and their families safe from COVID-19 through a variety of workplace health and safety measures, including providing hybrid working schedule, required mask compliance per the local health guidelines, quarantined and contact traced employees, deployed hand sanitizer machines and strongly encouraged all employees to get vaccinated against COVID-19. We offer free COVID-19 test kits to our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jc w:val="center"/>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Our Board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affairs are managed by or under the direction of our board, which is comprised of seven directors. 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of our board are as follows:</w:t>
      </w:r>
    </w:p>
    <w:p>
      <w:pPr>
        <w:pStyle w:val="TextBody"/>
        <w:bidi w:val="0"/>
        <w:spacing w:lineRule="auto" w:line="240" w:before="0" w:after="0"/>
        <w:ind w:left="0" w:right="0" w:firstLine="360"/>
        <w:jc w:val="both"/>
        <w:rPr>
          <w:color w:val="000000"/>
        </w:rPr>
      </w:pPr>
      <w:r>
        <w:rPr>
          <w:color w:val="000000"/>
        </w:rPr>
        <w:t> </w:t>
      </w:r>
    </w:p>
    <w:tbl>
      <w:tblPr>
        <w:tblW w:w="5024" w:type="dxa"/>
        <w:jc w:val="left"/>
        <w:tblInd w:w="0" w:type="dxa"/>
        <w:tblLayout w:type="fixed"/>
        <w:tblCellMar>
          <w:top w:w="28" w:type="dxa"/>
          <w:left w:w="28" w:type="dxa"/>
          <w:bottom w:w="28" w:type="dxa"/>
          <w:right w:w="28" w:type="dxa"/>
        </w:tblCellMar>
      </w:tblPr>
      <w:tblGrid>
        <w:gridCol w:w="564"/>
        <w:gridCol w:w="495"/>
        <w:gridCol w:w="501"/>
        <w:gridCol w:w="109"/>
        <w:gridCol w:w="109"/>
        <w:gridCol w:w="109"/>
        <w:gridCol w:w="594"/>
        <w:gridCol w:w="594"/>
        <w:gridCol w:w="596"/>
        <w:gridCol w:w="109"/>
        <w:gridCol w:w="109"/>
        <w:gridCol w:w="109"/>
        <w:gridCol w:w="109"/>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director of our board.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 xml:space="preserve">Mark S. Comora </w:t>
      </w:r>
      <w:r>
        <w:rPr>
          <w:rFonts w:ascii="Times New Roman;sans-serif" w:hAnsi="Times New Roman;sans-serif"/>
          <w:b w:val="false"/>
          <w:color w:val="000000"/>
          <w:sz w:val="20"/>
        </w:rPr>
        <w:t>has served as a director of the Company since December 2020. Mr. Comora is the Founder and President of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Nadeem Nisar</w:t>
      </w:r>
      <w:r>
        <w:rPr>
          <w:color w:val="000000"/>
        </w:rPr>
        <w:t> </w:t>
      </w:r>
      <w:r>
        <w:rPr>
          <w:rFonts w:ascii="Times New Roman;sans-serif" w:hAnsi="Times New Roman;sans-serif"/>
          <w:b w:val="false"/>
          <w:color w:val="000000"/>
          <w:sz w:val="20"/>
        </w:rPr>
        <w:t>has served as a director the Company since December 2020. Mr. Nisar has also served as a Managing Director of Fortistar since July 2008, where he serves as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pPr>
      <w:r>
        <w:rPr>
          <w:rFonts w:ascii="Times New Roman;sans-serif" w:hAnsi="Times New Roman;sans-serif"/>
          <w:b/>
          <w:i/>
          <w:color w:val="000000"/>
          <w:sz w:val="20"/>
        </w:rPr>
        <w:t>Marco F. Gatti </w:t>
      </w:r>
      <w:r>
        <w:rPr>
          <w:rFonts w:ascii="Times New Roman;sans-serif" w:hAnsi="Times New Roman;sans-serif"/>
          <w:b w:val="false"/>
          <w:color w:val="000000"/>
          <w:sz w:val="20"/>
        </w:rPr>
        <w:t xml:space="preserve">has served as a director of the Company since July 2022. currently serves as a Managing Director of ArcLight Capital. Mr. Gatti joined ArcLight 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School of the University of Pennsylvania, a Master of Science in Mechanical Engineering from the University of Minnesota and a Bachelor of Science in Mechanical Engineering from Politecnico di Milano.</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Kevin M. Fogarty</w:t>
      </w:r>
      <w:r>
        <w:rPr>
          <w:color w:val="000000"/>
        </w:rPr>
        <w:t> </w:t>
      </w:r>
      <w:r>
        <w:rPr>
          <w:rFonts w:ascii="Times New Roman;sans-serif" w:hAnsi="Times New Roman;sans-serif"/>
          <w:b w:val="false"/>
          <w:color w:val="000000"/>
          <w:sz w:val="20"/>
        </w:rPr>
        <w:t>has served as a director of the Company since July 2022. Mr. Fogarty retired from Kraton 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Betsy L. Battle</w:t>
      </w:r>
      <w:r>
        <w:rPr>
          <w:color w:val="000000"/>
        </w:rPr>
        <w:t>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 Partners Management, LP, an investment firm registered with the SEC and NFA. Ms. Battle also serves as a director and member of the audit committee of Williams Rowland Acquisition Corp. 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Scott Dols </w:t>
      </w:r>
      <w:r>
        <w:rPr>
          <w:rFonts w:ascii="Times New Roman;sans-serif" w:hAnsi="Times New Roman;sans-serif"/>
          <w:b w:val="false"/>
          <w:color w:val="000000"/>
          <w:sz w:val="20"/>
        </w:rPr>
        <w:t>has served as a director of the Company since July 2022. Mr. Dols is the CEO of several waste-related 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Ashok Vemuri </w:t>
      </w:r>
      <w:r>
        <w:rPr>
          <w:rFonts w:ascii="Times New Roman;sans-serif" w:hAnsi="Times New Roman;sans-serif"/>
          <w:b w:val="false"/>
          <w:color w:val="000000"/>
          <w:sz w:val="20"/>
        </w:rPr>
        <w:t>has served as a director of the Company since July 2022. Mr. Vemuri also serves on the board 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persons serve as our executive officers:</w:t>
      </w:r>
    </w:p>
    <w:p>
      <w:pPr>
        <w:pStyle w:val="TextBody"/>
        <w:bidi w:val="0"/>
        <w:spacing w:lineRule="auto" w:line="240"/>
        <w:ind w:left="0" w:right="0" w:firstLine="3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tbl>
      <w:tblPr>
        <w:tblW w:w="4945" w:type="dxa"/>
        <w:jc w:val="left"/>
        <w:tblInd w:w="0" w:type="dxa"/>
        <w:tblLayout w:type="fixed"/>
        <w:tblCellMar>
          <w:top w:w="28" w:type="dxa"/>
          <w:left w:w="28" w:type="dxa"/>
          <w:bottom w:w="28" w:type="dxa"/>
          <w:right w:w="28" w:type="dxa"/>
        </w:tblCellMar>
      </w:tblPr>
      <w:tblGrid>
        <w:gridCol w:w="537"/>
        <w:gridCol w:w="471"/>
        <w:gridCol w:w="477"/>
        <w:gridCol w:w="109"/>
        <w:gridCol w:w="109"/>
        <w:gridCol w:w="109"/>
        <w:gridCol w:w="774"/>
        <w:gridCol w:w="774"/>
        <w:gridCol w:w="777"/>
        <w:gridCol w:w="109"/>
        <w:gridCol w:w="109"/>
        <w:gridCol w:w="109"/>
        <w:gridCol w:w="140"/>
        <w:gridCol w:w="140"/>
        <w:gridCol w:w="20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Falbo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of our executive officers.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Jonathan Maurer</w:t>
      </w:r>
      <w:r>
        <w:rPr>
          <w:color w:val="000000"/>
        </w:rPr>
        <w:t>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Ann Anthony</w:t>
      </w:r>
      <w:r>
        <w:rPr>
          <w:color w:val="000000"/>
        </w:rPr>
        <w:t xml:space="preserve"> </w:t>
      </w:r>
      <w:r>
        <w:rPr>
          <w:rFonts w:ascii="Times New Roman;sans-serif" w:hAnsi="Times New Roman;sans-serif"/>
          <w:b w:val="false"/>
          <w:color w:val="000000"/>
          <w:sz w:val="20"/>
        </w:rPr>
        <w:t>has served as Chief Financial Officer of the Company since April 2021. Prior to joining the 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David Unger</w:t>
      </w:r>
      <w:r>
        <w:rPr>
          <w:color w:val="000000"/>
        </w:rPr>
        <w:t xml:space="preserve"> </w:t>
      </w:r>
      <w:r>
        <w:rPr>
          <w:rFonts w:ascii="Times New Roman;sans-serif" w:hAnsi="Times New Roman;sans-serif"/>
          <w:b w:val="false"/>
          <w:color w:val="000000"/>
          <w:sz w:val="20"/>
        </w:rPr>
        <w:t>served in the role as Executive Vice President of Opco from December 2020 up to the closing of the Business Combination where Mr. Unger transitioned in the same capacity to the management of OPAL Fuels Inc. Mr. Unger served at Fortistar from February 2018 until January 1, 2022 (when effective as of such time he resigned all his positions with Fortistar and its affiliated entities other than Opco), where he served as a Senior Vice President. Mr. Unger previously worked for Waste Management, Inc. for 23 years and developed their RNG and CNG monetization lines of business. Mr. Unger has developed over 70 renewable energy facilities, including RNG, LFG to electricity, and Solar. Mr. Unger managed Waste Management’s California CNG truck assets, monetizing both internally produced RNG and third-party sources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bidi w:val="0"/>
        <w:spacing w:before="0" w:after="0"/>
        <w:ind w:left="0" w:right="0" w:firstLine="360"/>
        <w:jc w:val="both"/>
        <w:rPr/>
      </w:pPr>
      <w:r>
        <w:rPr/>
      </w:r>
    </w:p>
    <w:p>
      <w:pPr>
        <w:pStyle w:val="TextBody"/>
        <w:bidi w:val="0"/>
        <w:spacing w:lineRule="auto" w:line="240"/>
        <w:ind w:left="0" w:right="0" w:firstLine="360"/>
        <w:jc w:val="both"/>
        <w:rPr/>
      </w:pPr>
      <w:r>
        <w:rPr>
          <w:rFonts w:ascii="Times New Roman;sans-serif" w:hAnsi="Times New Roman;sans-serif"/>
          <w:b/>
          <w:i/>
          <w:color w:val="000000"/>
          <w:sz w:val="20"/>
        </w:rPr>
        <w:t>John Coghlin</w:t>
      </w:r>
      <w:r>
        <w:rPr>
          <w:color w:val="000000"/>
        </w:rPr>
        <w:t xml:space="preserve"> </w:t>
      </w:r>
      <w:r>
        <w:rPr>
          <w:rFonts w:ascii="Times New Roman;sans-serif" w:hAnsi="Times New Roman;sans-serif"/>
          <w:b w:val="false"/>
          <w:color w:val="000000"/>
          <w:sz w:val="20"/>
        </w:rPr>
        <w:t>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Mr. Coghlin received his Juris Doctorate from Boston College School of Law and his Bachelor of Arts from Tufts University.</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 xml:space="preserve">Scott Edelbach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bidi w:val="0"/>
        <w:spacing w:before="0" w:after="0"/>
        <w:ind w:left="0" w:right="0" w:firstLine="360"/>
        <w:jc w:val="both"/>
        <w:rPr/>
      </w:pPr>
      <w:r>
        <w:rPr/>
      </w:r>
    </w:p>
    <w:p>
      <w:pPr>
        <w:pStyle w:val="TextBody"/>
        <w:bidi w:val="0"/>
        <w:spacing w:lineRule="auto" w:line="240" w:before="0" w:after="0"/>
        <w:jc w:val="both"/>
        <w:rPr/>
      </w:pPr>
      <w:r>
        <w:rPr>
          <w:color w:val="000000"/>
        </w:rPr>
        <w:t>    </w:t>
      </w:r>
      <w:r>
        <w:rPr>
          <w:rFonts w:ascii="Times New Roman;sans-serif" w:hAnsi="Times New Roman;sans-serif"/>
          <w:b/>
          <w:i/>
          <w:color w:val="000000"/>
          <w:sz w:val="20"/>
        </w:rPr>
        <w:t>Anthony Falbo</w:t>
      </w:r>
      <w:r>
        <w:rPr>
          <w:color w:val="000000"/>
        </w:rPr>
        <w:t xml:space="preserve"> </w:t>
      </w:r>
      <w:r>
        <w:rPr>
          <w:rFonts w:ascii="Times New Roman;sans-serif" w:hAnsi="Times New Roman;sans-serif"/>
          <w:b w:val="false"/>
          <w:color w:val="000000"/>
          <w:sz w:val="20"/>
        </w:rPr>
        <w:t>has served as Chief Operating Officer of the Company since April 2021. From 2006 until 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i/>
          <w:color w:val="000000"/>
          <w:sz w:val="20"/>
        </w:rPr>
        <w:t xml:space="preserve">David Unger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Independence of the Board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Director Terms</w:t>
      </w:r>
    </w:p>
    <w:p>
      <w:pPr>
        <w:pStyle w:val="TextBody"/>
        <w:bidi w:val="0"/>
        <w:spacing w:before="0" w:after="0"/>
        <w:ind w:left="0" w:right="0" w:firstLine="36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was appointed to our board in connection with the closing of the business combination and holds his or her office until the 2023 Annual Meeting of Stockholders or until his or her successor has been duly elected and qualified, or until his or her earlier death, resignation or removal.</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Committees of the Board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board maintains a standing audit committee (“</w:t>
      </w:r>
      <w:r>
        <w:rPr>
          <w:rFonts w:ascii="Times New Roman;sans-serif" w:hAnsi="Times New Roman;sans-serif"/>
          <w:b/>
          <w:i/>
          <w:color w:val="000000"/>
          <w:sz w:val="20"/>
        </w:rPr>
        <w:t>Audit Committee</w:t>
      </w:r>
      <w:r>
        <w:rPr>
          <w:color w:val="000000"/>
        </w:rPr>
        <w:t>”</w:t>
      </w:r>
      <w:r>
        <w:rPr>
          <w:rFonts w:ascii="Times New Roman;sans-serif" w:hAnsi="Times New Roman;sans-serif"/>
          <w:b w:val="false"/>
          <w:color w:val="000000"/>
          <w:sz w:val="20"/>
        </w:rPr>
        <w:t>) and compensation committee ("</w:t>
      </w:r>
      <w:r>
        <w:rPr>
          <w:rFonts w:ascii="Times New Roman;sans-serif" w:hAnsi="Times New Roman;sans-serif"/>
          <w:b/>
          <w:i/>
          <w:color w:val="000000"/>
          <w:sz w:val="20"/>
        </w:rPr>
        <w:t>Compensation Committee</w:t>
      </w:r>
      <w:r>
        <w:rPr>
          <w:rFonts w:ascii="Times New Roman;sans-serif" w:hAnsi="Times New Roman;sans-serif"/>
          <w:b w:val="false"/>
          <w:color w:val="000000"/>
          <w:sz w:val="20"/>
        </w:rPr>
        <w:t xml:space="preserve">"). The respective members and functions of the committees are described below. Current charters describing the nature and scope of the responsibilities of each of the Audit Committee and Compensation Committee are posted on our website at www.opalfuels.com under the heading "Corporate Governance" and are available in print upon request to OPAL Fuels Inc., One North Lexington Ave, 14th floor, White Plains, New York - 10601.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Audit Committee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consists of Mr. Gatti, Mr. Fogarty and Mr. Vemuri. Each member of the audit committee qualifies as an independent director under the Nasdaq Listing Rules and the independence requirements of Rule 10A-3 under the Exchange Act. Our Board has determined that Mr. Vemuri, as a member of our Audit Committee, qualifies as an “audit committee financial expert” as such term is defined in Item 407(d)(5) of Regulation S-K and possesses financial sophistication, as defined under the rules of Nasdaq. As directed by its written charter, which was adopted on July 21, 2022, the Audit Committee is responsible for, among other duties, appointing and overseeing the work of, and relationship with, the independent auditors, including reviewing their formal written statement describing the Company’s internal quality-control procedures and any material issues raised by the internal quality-control review or peer review of the Company or any inquiry or investigation by governmental or professional authorities and their formal written statement regarding auditor independence; reading and discussing with management and the independent auditors the annual audited financial statements and quarterly financial statements, and preparing annually a report to be included in the Company’s proxy statement; providing oversight of the Company’s accounting and financial reporting principles, policies, controls, procedures and practices; and discussing with management polices with respect to risk assessment and risk management. In addition, the Board of Directors has tasked the Audit Committee with reviewing transactions with related parties. The Audit Committee held four meetings during fiscal year 2022.</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Compensation Committee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Mr. Mark Comora, Mr. Nadeem Nisar, Mr. Ashok Vemuri and Mr. Kevin Fogarty. Mr. Vemuri and Mr. Fogarty qualify as the independent directors under the applicable NASDAQ rules. As directed by its written charter, which was approved on December 1, 2022, the Compensation Committee, among other duties, makes recommendations to the Board of Directors as to the Company’s general compensation strategy; reviews and approves the selection of the Company's peer companies for executive and Board compensation assessment purposes; reviews and approves the corporate goals and objectives and evaluates the Company's performance on an annual basis; reviews and recommends to the Board all forms of compensation (including any awards granted under compensatory plans); evaluates and recommends to the Board, the compensation of the Company’s Co-Chief Executive Officers and other executive officers; and reviews and approves employment, severance or change in control agreements. In addition, the Compensation Committee evaluates and recommends, for approval by the Board of Directors, the appropriate level of compensation and fees for Board Committee service by non-employee directors. The Compensation Committee held one meeting during fiscal year 2022.</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Adam Comora, Co-Chief Executive Officer</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Jonathan Maurer, Co-Chief Executive Officer</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 xml:space="preserve">John Coghlin, General Counsel </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Scott Edelbach, Executive Vice President</w:t>
      </w:r>
    </w:p>
    <w:p>
      <w:pPr>
        <w:pStyle w:val="TextBody"/>
        <w:bidi w:val="0"/>
        <w:spacing w:before="0" w:after="0"/>
        <w:ind w:left="0" w:right="0" w:firstLine="72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390"/>
        <w:gridCol w:w="393"/>
        <w:gridCol w:w="109"/>
        <w:gridCol w:w="109"/>
        <w:gridCol w:w="109"/>
        <w:gridCol w:w="175"/>
        <w:gridCol w:w="175"/>
        <w:gridCol w:w="176"/>
        <w:gridCol w:w="109"/>
        <w:gridCol w:w="109"/>
        <w:gridCol w:w="109"/>
        <w:gridCol w:w="314"/>
        <w:gridCol w:w="248"/>
        <w:gridCol w:w="235"/>
        <w:gridCol w:w="109"/>
        <w:gridCol w:w="109"/>
        <w:gridCol w:w="109"/>
        <w:gridCol w:w="360"/>
        <w:gridCol w:w="227"/>
        <w:gridCol w:w="228"/>
        <w:gridCol w:w="109"/>
        <w:gridCol w:w="109"/>
        <w:gridCol w:w="109"/>
        <w:gridCol w:w="312"/>
        <w:gridCol w:w="285"/>
        <w:gridCol w:w="286"/>
        <w:gridCol w:w="109"/>
        <w:gridCol w:w="109"/>
        <w:gridCol w:w="109"/>
        <w:gridCol w:w="522"/>
        <w:gridCol w:w="522"/>
        <w:gridCol w:w="523"/>
        <w:gridCol w:w="471"/>
        <w:gridCol w:w="471"/>
        <w:gridCol w:w="472"/>
        <w:gridCol w:w="109"/>
        <w:gridCol w:w="109"/>
        <w:gridCol w:w="109"/>
        <w:gridCol w:w="285"/>
        <w:gridCol w:w="285"/>
        <w:gridCol w:w="416"/>
      </w:tblGrid>
      <w:tr>
        <w:trPr/>
        <w:tc>
          <w:tcPr>
            <w:tcW w:w="4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Non-equity incentive plan compensation ($) </w:t>
            </w:r>
            <w:r>
              <w:rPr>
                <w:rFonts w:ascii="Times New Roman;sans-serif" w:hAnsi="Times New Roman;sans-serif"/>
                <w:b/>
                <w:color w:val="000000"/>
                <w:sz w:val="13"/>
              </w:rPr>
              <w:t>(3)</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5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3"/>
        <w:gridCol w:w="2859"/>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elsewhere in this prospectus.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 Edelbach based on meeting certain performance metrics for the period from January 1, 2020 to December 31, 2022, as further described below in the “Long-Term Incentives” section.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Annual Incentives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before="0" w:after="0"/>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bidi w:val="0"/>
        <w:spacing w:before="0" w:after="0"/>
        <w:ind w:left="0" w:right="0" w:firstLine="892"/>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entitled “Outstanding Equity Awards at Fiscal Year End” (assuming such change in control occurred on December 31, 2022, and other conditions described in footnote 9 to such table are met).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90"/>
        <w:gridCol w:w="834"/>
        <w:gridCol w:w="840"/>
        <w:gridCol w:w="109"/>
        <w:gridCol w:w="109"/>
        <w:gridCol w:w="109"/>
        <w:gridCol w:w="1073"/>
        <w:gridCol w:w="1047"/>
        <w:gridCol w:w="1050"/>
        <w:gridCol w:w="109"/>
        <w:gridCol w:w="109"/>
        <w:gridCol w:w="109"/>
        <w:gridCol w:w="1084"/>
        <w:gridCol w:w="1084"/>
        <w:gridCol w:w="1549"/>
      </w:tblGrid>
      <w:tr>
        <w:trPr/>
        <w:tc>
          <w:tcPr>
            <w:tcW w:w="9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
        <w:gridCol w:w="128"/>
        <w:gridCol w:w="130"/>
        <w:gridCol w:w="2957"/>
        <w:gridCol w:w="2834"/>
        <w:gridCol w:w="4010"/>
      </w:tblGrid>
      <w:tr>
        <w:trPr/>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bidi w:val="0"/>
        <w:spacing w:before="0" w:after="0"/>
        <w:ind w:left="0" w:right="0" w:firstLine="36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bidi w:val="0"/>
        <w:spacing w:before="0" w:after="0"/>
        <w:ind w:left="0" w:right="0" w:firstLine="360"/>
        <w:jc w:val="left"/>
        <w:rPr/>
      </w:pPr>
      <w:r>
        <w:rPr/>
      </w:r>
    </w:p>
    <w:tbl>
      <w:tblPr>
        <w:tblW w:w="7667"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258"/>
        <w:gridCol w:w="258"/>
        <w:gridCol w:w="368"/>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r>
    </w:tbl>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106"/>
        <w:gridCol w:w="2797"/>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elsewhere in this prospectus.</w:t>
            </w:r>
          </w:p>
        </w:tc>
      </w:tr>
    </w:tbl>
    <w:p>
      <w:pPr>
        <w:pStyle w:val="TextBody"/>
        <w:bidi w:val="0"/>
        <w:spacing w:before="0" w:after="0"/>
        <w:ind w:left="0" w:right="0" w:firstLine="36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following non-employee director compensation program has been approved for the fiscal year 2022:</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bidi w:val="0"/>
        <w:spacing w:before="0" w:after="0"/>
        <w:ind w:left="0" w:right="0" w:firstLine="36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responsible for establishing and administering our executive compensation and equity incentive programs. This duty of the Board of Directors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of Directors, the annual compensation of the non-employee directors and oversees the equity compensation plans.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bidi w:val="0"/>
        <w:spacing w:before="0" w:after="0"/>
        <w:ind w:left="0" w:right="0" w:firstLine="36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Company’s executive leadership team; (iv) reviewed director compensation programs; and (v) provided an overview of U.S. compensation practices and market practices.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and none of the named executive officers determines his/her own pay.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Our Board adopted a Code of Business Conduct and Ethics on July 21, 2022 (the “</w:t>
      </w:r>
      <w:r>
        <w:rPr>
          <w:rFonts w:ascii="Times New Roman;sans-serif" w:hAnsi="Times New Roman;sans-serif"/>
          <w:b/>
          <w:i/>
          <w:color w:val="000000"/>
          <w:sz w:val="20"/>
        </w:rPr>
        <w:t>Code of Conduct</w:t>
      </w:r>
      <w:r>
        <w:rPr>
          <w:color w:val="000000"/>
        </w:rPr>
        <w:t>”</w:t>
      </w:r>
      <w:r>
        <w:rPr>
          <w:rFonts w:ascii="Times New Roman;sans-serif" w:hAnsi="Times New Roman;sans-serif"/>
          <w:b w:val="false"/>
          <w:color w:val="000000"/>
          <w:sz w:val="20"/>
        </w:rPr>
        <w:t>) that applies to all of our directors, officers and employees, including our principal executive officers, principal financial officer and principal accounting officer, which is available on our website. Our Code of Conduct is a “code of ethics,” as defined in Item 406(b) of Regulation S-K. We will make any legally required disclosures regarding amendments to, or waivers of, provisions of our code of ethics on our website.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this section of this prospectus to (i) “OPAL,” “we,” “us” or “our” refers to Opco and its consolidated subsidiaries prior to the consummation of the Business Combination and to OPAL Fuels Inc. and its consolidated subsidiaries following the Business Combination and (ii) to “our board” refers to the board of managers of Opco prior to the consummation of the Business Combination and to the board of directors of OPAL Fuels Inc. following the Business Combination.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Adam Comora, Co-Chief Executive Officer</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Jonathan Maurer, Co-Chief Executive Officer</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 xml:space="preserve">John Coghlin, General Counsel </w:t>
      </w:r>
    </w:p>
    <w:p>
      <w:pPr>
        <w:pStyle w:val="TextBody"/>
        <w:bidi w:val="0"/>
        <w:spacing w:before="0" w:after="0"/>
        <w:ind w:left="0" w:right="0" w:firstLine="720"/>
        <w:jc w:val="left"/>
        <w:rPr/>
      </w:pPr>
      <w:r>
        <w:rPr/>
      </w:r>
    </w:p>
    <w:p>
      <w:pPr>
        <w:pStyle w:val="TextBody"/>
        <w:bidi w:val="0"/>
        <w:spacing w:lineRule="auto" w:line="312" w:before="0" w:after="0"/>
        <w:ind w:left="0" w:right="0" w:firstLine="360"/>
        <w:jc w:val="left"/>
        <w:rPr/>
      </w:pPr>
      <w:r>
        <w:rPr>
          <w:color w:val="000000"/>
        </w:rPr>
        <w:t>•</w:t>
      </w:r>
      <w:r>
        <w:rPr>
          <w:rFonts w:ascii="Times New Roman;sans-serif" w:hAnsi="Times New Roman;sans-serif"/>
          <w:b w:val="false"/>
          <w:color w:val="000000"/>
          <w:sz w:val="20"/>
        </w:rPr>
        <w:t>Scott Edelbach, Executive Vice President</w:t>
      </w:r>
    </w:p>
    <w:p>
      <w:pPr>
        <w:pStyle w:val="TextBody"/>
        <w:bidi w:val="0"/>
        <w:spacing w:before="0" w:after="0"/>
        <w:ind w:left="0" w:right="0" w:firstLine="72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390"/>
        <w:gridCol w:w="393"/>
        <w:gridCol w:w="109"/>
        <w:gridCol w:w="109"/>
        <w:gridCol w:w="109"/>
        <w:gridCol w:w="175"/>
        <w:gridCol w:w="175"/>
        <w:gridCol w:w="176"/>
        <w:gridCol w:w="109"/>
        <w:gridCol w:w="109"/>
        <w:gridCol w:w="109"/>
        <w:gridCol w:w="314"/>
        <w:gridCol w:w="248"/>
        <w:gridCol w:w="235"/>
        <w:gridCol w:w="109"/>
        <w:gridCol w:w="109"/>
        <w:gridCol w:w="109"/>
        <w:gridCol w:w="360"/>
        <w:gridCol w:w="227"/>
        <w:gridCol w:w="228"/>
        <w:gridCol w:w="109"/>
        <w:gridCol w:w="109"/>
        <w:gridCol w:w="109"/>
        <w:gridCol w:w="312"/>
        <w:gridCol w:w="285"/>
        <w:gridCol w:w="286"/>
        <w:gridCol w:w="109"/>
        <w:gridCol w:w="109"/>
        <w:gridCol w:w="109"/>
        <w:gridCol w:w="522"/>
        <w:gridCol w:w="522"/>
        <w:gridCol w:w="523"/>
        <w:gridCol w:w="471"/>
        <w:gridCol w:w="471"/>
        <w:gridCol w:w="472"/>
        <w:gridCol w:w="109"/>
        <w:gridCol w:w="109"/>
        <w:gridCol w:w="109"/>
        <w:gridCol w:w="285"/>
        <w:gridCol w:w="285"/>
        <w:gridCol w:w="416"/>
      </w:tblGrid>
      <w:tr>
        <w:trPr/>
        <w:tc>
          <w:tcPr>
            <w:tcW w:w="47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Bonus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Non-equity incentive plan compensation ($) </w:t>
            </w:r>
            <w:r>
              <w:rPr>
                <w:rFonts w:ascii="Times New Roman;sans-serif" w:hAnsi="Times New Roman;sans-serif"/>
                <w:b/>
                <w:color w:val="000000"/>
                <w:sz w:val="13"/>
              </w:rPr>
              <w:t>(3)</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All other compensation ($) </w:t>
            </w:r>
            <w:r>
              <w:rPr>
                <w:rFonts w:ascii="Times New Roman;sans-serif" w:hAnsi="Times New Roman;sans-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5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4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3"/>
        <w:gridCol w:w="2859"/>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elsewhere in this prospectus.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 Edelbach based on meeting certain performance metrics for the period from January 1, 2020 to December 31, 2022, as further described below in the “Long-Term Incentives” section.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jc w:val="both"/>
        <w:rPr>
          <w:rFonts w:ascii="Times New Roman;sans-serif" w:hAnsi="Times New Roman;sans-serif"/>
          <w:b/>
          <w:i/>
          <w:color w:val="000000"/>
          <w:sz w:val="20"/>
        </w:rPr>
      </w:pPr>
      <w:r>
        <w:rPr>
          <w:rFonts w:ascii="Times New Roman;sans-serif" w:hAnsi="Times New Roman;sans-serif"/>
          <w:b/>
          <w:i/>
          <w:color w:val="000000"/>
          <w:sz w:val="20"/>
        </w:rPr>
        <w:t>Annual Incentives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board, based upon OPAL meeting its business and financial objectives generally and its annual financial performance targets in particular, as well as each NEO’s individual performance. Based on the review of the NEOs’ performance by our board, our board awarded the NEOs annual bonuses in the amounts set forth in the Summary Compensation Table above.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bidi w:val="0"/>
        <w:spacing w:before="0" w:after="0"/>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bidi w:val="0"/>
        <w:spacing w:before="0" w:after="0"/>
        <w:ind w:left="0" w:right="0" w:firstLine="892"/>
        <w:jc w:val="both"/>
        <w:rPr/>
      </w:pPr>
      <w:r>
        <w:rPr/>
      </w:r>
    </w:p>
    <w:p>
      <w:pPr>
        <w:pStyle w:val="TextBody"/>
        <w:bidi w:val="0"/>
        <w:spacing w:lineRule="auto" w:line="240"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bidi w:val="0"/>
        <w:spacing w:before="0" w:after="0"/>
        <w:ind w:left="0" w:right="0" w:firstLine="892"/>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entitled “Outstanding Equity Awards at Fiscal Year End” (assuming such change in control occurred on December 31, 2022, and other conditions described in footnote 9 to such table are met).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 End</w:t>
      </w:r>
    </w:p>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90"/>
        <w:gridCol w:w="834"/>
        <w:gridCol w:w="840"/>
        <w:gridCol w:w="109"/>
        <w:gridCol w:w="109"/>
        <w:gridCol w:w="109"/>
        <w:gridCol w:w="1073"/>
        <w:gridCol w:w="1047"/>
        <w:gridCol w:w="1050"/>
        <w:gridCol w:w="109"/>
        <w:gridCol w:w="109"/>
        <w:gridCol w:w="109"/>
        <w:gridCol w:w="1084"/>
        <w:gridCol w:w="1084"/>
        <w:gridCol w:w="1549"/>
      </w:tblGrid>
      <w:tr>
        <w:trPr/>
        <w:tc>
          <w:tcPr>
            <w:tcW w:w="9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or Units of Stock That Have not 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Market Value of Restricted Stock Units That have not Vested ($) </w:t>
            </w:r>
            <w:r>
              <w:rPr>
                <w:rFonts w:ascii="Times New Roman;sans-serif" w:hAnsi="Times New Roman;sans-serif"/>
                <w:b w:val="false"/>
                <w:color w:val="000000"/>
                <w:sz w:val="13"/>
              </w:rPr>
              <w:t>(9) (10)</w:t>
            </w:r>
          </w:p>
        </w:tc>
      </w:tr>
      <w:tr>
        <w:trPr/>
        <w:tc>
          <w:tcPr>
            <w:tcW w:w="2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Adam Comora, Co-Chief Executive Officer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Jonathan Maurer, Co-Chief Executive Officer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55" w:after="30"/>
              <w:jc w:val="left"/>
              <w:rPr/>
            </w:pPr>
            <w:r>
              <w:rPr>
                <w:rFonts w:ascii="Times New Roman;sans-serif" w:hAnsi="Times New Roman;sans-serif"/>
                <w:b w:val="false"/>
                <w:color w:val="000000"/>
                <w:sz w:val="20"/>
              </w:rPr>
              <w:t xml:space="preserve">John Coghlin, General Counsel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Scott Edelbach, Executive Vice President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6"/>
        <w:gridCol w:w="128"/>
        <w:gridCol w:w="130"/>
        <w:gridCol w:w="2957"/>
        <w:gridCol w:w="2834"/>
        <w:gridCol w:w="4010"/>
      </w:tblGrid>
      <w:tr>
        <w:trPr/>
        <w:tc>
          <w:tcPr>
            <w:tcW w:w="14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w:t>
            </w:r>
            <w:r>
              <w:rPr>
                <w:rFonts w:ascii="Times New Roman;sans-serif" w:hAnsi="Times New Roman;sans-serif"/>
                <w:b/>
                <w:i/>
                <w:color w:val="000000"/>
                <w:sz w:val="20"/>
              </w:rPr>
              <w:t>Closing Price</w:t>
            </w:r>
            <w:r>
              <w:rPr>
                <w:rFonts w:ascii="Times New Roman;sans-serif" w:hAnsi="Times New Roman;sans-serif"/>
                <w:b w:val="false"/>
                <w:color w:val="000000"/>
                <w:sz w:val="20"/>
              </w:rPr>
              <w:t>").</w:t>
            </w:r>
          </w:p>
        </w:tc>
      </w:tr>
      <w:tr>
        <w:trPr/>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bidi w:val="0"/>
        <w:spacing w:before="0" w:after="0"/>
        <w:ind w:left="0" w:right="0" w:firstLine="36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bidi w:val="0"/>
        <w:spacing w:before="0" w:after="0"/>
        <w:ind w:left="0" w:right="0" w:firstLine="360"/>
        <w:jc w:val="left"/>
        <w:rPr/>
      </w:pPr>
      <w:r>
        <w:rPr/>
      </w:r>
    </w:p>
    <w:tbl>
      <w:tblPr>
        <w:tblW w:w="7667" w:type="dxa"/>
        <w:jc w:val="left"/>
        <w:tblInd w:w="0" w:type="dxa"/>
        <w:tblLayout w:type="fixed"/>
        <w:tblCellMar>
          <w:top w:w="28" w:type="dxa"/>
          <w:left w:w="28" w:type="dxa"/>
          <w:bottom w:w="28" w:type="dxa"/>
          <w:right w:w="28" w:type="dxa"/>
        </w:tblCellMar>
      </w:tblPr>
      <w:tblGrid>
        <w:gridCol w:w="466"/>
        <w:gridCol w:w="409"/>
        <w:gridCol w:w="414"/>
        <w:gridCol w:w="109"/>
        <w:gridCol w:w="109"/>
        <w:gridCol w:w="109"/>
        <w:gridCol w:w="933"/>
        <w:gridCol w:w="933"/>
        <w:gridCol w:w="938"/>
        <w:gridCol w:w="109"/>
        <w:gridCol w:w="109"/>
        <w:gridCol w:w="109"/>
        <w:gridCol w:w="569"/>
        <w:gridCol w:w="569"/>
        <w:gridCol w:w="571"/>
        <w:gridCol w:w="109"/>
        <w:gridCol w:w="109"/>
        <w:gridCol w:w="109"/>
        <w:gridCol w:w="258"/>
        <w:gridCol w:w="258"/>
        <w:gridCol w:w="368"/>
      </w:tblGrid>
      <w:tr>
        <w:trPr/>
        <w:tc>
          <w:tcPr>
            <w:tcW w:w="4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75" w:after="3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r>
    </w:tbl>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3106"/>
        <w:gridCol w:w="2797"/>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elsewhere in this prospectus.</w:t>
            </w:r>
          </w:p>
        </w:tc>
      </w:tr>
    </w:tbl>
    <w:p>
      <w:pPr>
        <w:pStyle w:val="TextBody"/>
        <w:bidi w:val="0"/>
        <w:spacing w:before="0" w:after="0"/>
        <w:ind w:left="0" w:right="0" w:firstLine="36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The following non-employee director compensation program has been approved for the fiscal year 2022:</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bidi w:val="0"/>
        <w:spacing w:before="0" w:after="0"/>
        <w:ind w:left="0" w:right="0" w:firstLine="36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description of OPAL’s capital stock is only a summary, and it does not contain all the information that may be important to you. For a complete description of the matters set forth in this section, you should refer to the Charter, the Bylaws, the Investor Rights Agreement, and to the applicable provisions of Delaware law.</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all classes of stock that OPAL has the authority to issue is 1,120,000,000 shares, consisting of:</w:t>
      </w:r>
    </w:p>
    <w:p>
      <w:pPr>
        <w:pStyle w:val="TextBody"/>
        <w:bidi w:val="0"/>
        <w:spacing w:lineRule="auto" w:line="240" w:before="0" w:after="0"/>
        <w:ind w:left="0" w:right="0" w:hanging="360"/>
        <w:jc w:val="both"/>
        <w:rPr>
          <w:color w:val="000000"/>
        </w:rPr>
      </w:pPr>
      <w:r>
        <w:rPr>
          <w:color w:val="000000"/>
        </w:rPr>
        <w:t> </w:t>
      </w:r>
    </w:p>
    <w:tbl>
      <w:tblPr>
        <w:tblW w:w="75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7"/>
        <w:gridCol w:w="2027"/>
        <w:gridCol w:w="28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820,000,000 shares of Common Stock, par value of $0.0001 per share, divided into:</w:t>
            </w:r>
          </w:p>
        </w:tc>
      </w:tr>
    </w:tbl>
    <w:p>
      <w:pPr>
        <w:pStyle w:val="TextBody"/>
        <w:bidi w:val="0"/>
        <w:spacing w:lineRule="auto" w:line="240"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340,000,000 shares of Class A common stock;</w:t>
            </w:r>
          </w:p>
        </w:tc>
      </w:tr>
    </w:tbl>
    <w:p>
      <w:pPr>
        <w:pStyle w:val="TextBody"/>
        <w:bidi w:val="0"/>
        <w:spacing w:lineRule="auto" w:line="240"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B common stock;</w:t>
            </w:r>
          </w:p>
        </w:tc>
      </w:tr>
    </w:tbl>
    <w:p>
      <w:pPr>
        <w:pStyle w:val="TextBody"/>
        <w:bidi w:val="0"/>
        <w:spacing w:lineRule="auto" w:line="240"/>
        <w:ind w:left="0" w:right="0" w:hanging="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C common stock; and</w:t>
            </w:r>
          </w:p>
        </w:tc>
      </w:tr>
    </w:tbl>
    <w:p>
      <w:pPr>
        <w:pStyle w:val="TextBody"/>
        <w:bidi w:val="0"/>
        <w:spacing w:lineRule="auto" w:line="240" w:before="0" w:after="0"/>
        <w:ind w:left="0" w:right="0" w:hanging="360"/>
        <w:jc w:val="both"/>
        <w:rPr>
          <w:color w:val="000000"/>
        </w:rPr>
      </w:pPr>
      <w:r>
        <w:rPr>
          <w:color w:val="000000"/>
        </w:rPr>
        <w:t> </w: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160,000,000 shares of Class D common stock; and</w:t>
            </w:r>
          </w:p>
        </w:tc>
      </w:tr>
    </w:tbl>
    <w:p>
      <w:pPr>
        <w:pStyle w:val="TextBody"/>
        <w:bidi w:val="0"/>
        <w:spacing w:lineRule="auto" w:line="240" w:before="0" w:after="0"/>
        <w:ind w:left="0" w:right="0" w:hanging="360"/>
        <w:jc w:val="both"/>
        <w:rPr>
          <w:color w:val="000000"/>
        </w:rPr>
      </w:pPr>
      <w:r>
        <w:rPr>
          <w:color w:val="000000"/>
        </w:rPr>
        <w:t> </w:t>
      </w:r>
    </w:p>
    <w:tbl>
      <w:tblPr>
        <w:tblW w:w="6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0"/>
        <w:gridCol w:w="1790"/>
        <w:gridCol w:w="25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300,000,000 shares of OPAL Preferred Stock, par value $0.0001 per share.</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Common Stock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29,477,766 shares of Class A common stock issued and outstanding.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To the fullest extent permitted by law, holders of shares of each class of the Common Stock, as such, have no voting power with respect to, and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in its discretion may determine.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In no event will any stock dividend, stock split, reverse stock split, combination of stock, reclassification or recapitalization be declared or made on any series of Common Stock (each, a “</w:t>
      </w:r>
      <w:r>
        <w:rPr>
          <w:rFonts w:ascii="Times New Roman;sans-serif" w:hAnsi="Times New Roman;sans-serif"/>
          <w:b/>
          <w:i/>
          <w:color w:val="000000"/>
          <w:sz w:val="20"/>
        </w:rPr>
        <w:t>Stock Adjustment</w:t>
      </w:r>
      <w:r>
        <w:rPr>
          <w:color w:val="000000"/>
        </w:rPr>
        <w:t>”</w:t>
      </w:r>
      <w:r>
        <w:rPr>
          <w:rFonts w:ascii="Times New Roman;sans-serif" w:hAnsi="Times New Roman;sans-serif"/>
          <w:b w:val="false"/>
          <w:color w:val="000000"/>
          <w:sz w:val="20"/>
        </w:rPr>
        <w:t>) unless:</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 (as defined in the Second A&amp;R LLC Agreement).</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B common stock</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no shares of Class B common stock issued and outstanding. Shares of Class B common stock may, together with the corresponding Class B Units (as defined in the Second A&amp;R LLC Agreement), be exchanged for shares of Class A common stock pursuant to the Second A&amp;R LLC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xml:space="preserve"> </w:t>
      </w:r>
      <w:r>
        <w:rPr>
          <w:rFonts w:ascii="Times New Roman;sans-serif" w:hAnsi="Times New Roman;sans-serif"/>
          <w:b w:val="false"/>
          <w:color w:val="000000"/>
          <w:sz w:val="20"/>
        </w:rPr>
        <w:t>Dividends of cash or property may not be declared or paid on shares of Class B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240" w:before="0" w:after="0"/>
        <w:ind w:left="0" w:right="0" w:hanging="360"/>
        <w:jc w:val="both"/>
        <w:rPr>
          <w:color w:val="000000"/>
        </w:rPr>
      </w:pPr>
      <w:r>
        <w:rPr>
          <w:color w:val="000000"/>
        </w:rPr>
        <w:t> </w:t>
      </w:r>
    </w:p>
    <w:tbl>
      <w:tblPr>
        <w:tblW w:w="94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 xml:space="preserve">Subscription Rights. </w:t>
      </w:r>
      <w:r>
        <w:rPr>
          <w:rFonts w:ascii="Times New Roman;sans-serif" w:hAnsi="Times New Roman;sans-serif"/>
          <w:b w:val="false"/>
          <w:color w:val="000000"/>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C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did not have any shares of Class C common stock issued and outstanding. Shares of Class C common stock may be converted to shares of Class A common stock, as discussed further below.</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Dividends; Stock Splits or Combinations.</w:t>
      </w:r>
      <w:r>
        <w:rPr>
          <w:color w:val="000000"/>
        </w:rPr>
        <w:t>    </w:t>
      </w:r>
      <w:r>
        <w:rPr>
          <w:rFonts w:ascii="Times New Roman;sans-serif" w:hAnsi="Times New Roman;sans-serif"/>
          <w:b w:val="false"/>
          <w:color w:val="000000"/>
          <w:sz w:val="20"/>
        </w:rPr>
        <w:t>Subject to applicable law and the rights, if any, of the holders of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the Class A common stock and the shares of Class C common stock out of the assets of OPAL that are by law available therefor, at the times and in the amounts as our board in its discretion may determine.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 event will any Stock Adjustment be declared or made on any series of Common Stock unless:</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240" w:before="0" w:after="0"/>
        <w:ind w:left="0" w:right="0" w:hanging="360"/>
        <w:jc w:val="both"/>
        <w:rPr>
          <w:color w:val="000000"/>
        </w:rPr>
      </w:pPr>
      <w:r>
        <w:rPr>
          <w:color w:val="000000"/>
        </w:rPr>
        <w:t> </w:t>
      </w:r>
    </w:p>
    <w:tbl>
      <w:tblPr>
        <w:tblW w:w="94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ans-serif" w:hAnsi="Times New Roman;sans-serif"/>
          <w:b w:val="false"/>
          <w:i/>
          <w:color w:val="000000"/>
          <w:sz w:val="20"/>
        </w:rPr>
        <w:t>pari passu</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Class D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144,399,037 shares of Class D common stock issued and outstanding originally issued as consideration in connection with the Business Combination at a per share value of $10.00 per share.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 Shares of Class D common stock may be converted into shares of Class A common stock as further discussed below.</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pPr>
      <w:r>
        <w:rPr>
          <w:rFonts w:ascii="Times New Roman;sans-serif" w:hAnsi="Times New Roman;sans-serif"/>
          <w:b/>
          <w:i/>
          <w:color w:val="000000"/>
          <w:sz w:val="20"/>
        </w:rPr>
        <w:t>Voting Rights.</w:t>
      </w:r>
      <w:r>
        <w:rPr>
          <w:color w:val="000000"/>
        </w:rPr>
        <w:t>   </w:t>
      </w:r>
      <w:r>
        <w:rPr>
          <w:rFonts w:ascii="Times New Roman;sans-serif" w:hAnsi="Times New Roman;sans-serif"/>
          <w:b w:val="false"/>
          <w:color w:val="000000"/>
          <w:sz w:val="20"/>
        </w:rPr>
        <w:t xml:space="preserve">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disproportionately adverse as compared to the Class A common stock, the Class B common stock and the Class C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holders of shares of each class of the Common Stock, as such, will have no voting power with respect to, and will not be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DGCL.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Dividends; Stock Splits and Combinations.</w:t>
      </w:r>
      <w:r>
        <w:rPr>
          <w:color w:val="000000"/>
        </w:rPr>
        <w:t>   </w:t>
      </w:r>
      <w:r>
        <w:rPr>
          <w:rFonts w:ascii="Times New Roman;sans-serif" w:hAnsi="Times New Roman;sans-serif"/>
          <w:b w:val="false"/>
          <w:color w:val="000000"/>
          <w:sz w:val="20"/>
        </w:rPr>
        <w:t>Dividends of cash or property may not be declared or paid on shares of Class D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no event will any Stock Adjustment be declared or made on any series of Common Stock unless:</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240" w:before="0" w:after="0"/>
        <w:ind w:left="0" w:right="0" w:hanging="360"/>
        <w:jc w:val="both"/>
        <w:rPr>
          <w:color w:val="000000"/>
        </w:rPr>
      </w:pPr>
      <w:r>
        <w:rPr>
          <w:color w:val="000000"/>
        </w:rPr>
        <w:t> </w:t>
      </w:r>
    </w:p>
    <w:tbl>
      <w:tblPr>
        <w:tblW w:w="9447"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568"/>
        <w:gridCol w:w="2568"/>
        <w:gridCol w:w="36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87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Adjustment has been reflected in the same economically equivalent manner on all Class A Units.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 dividends with respect to each class of Common Stock may only be paid with shares of stock of the same series of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Liquidation.</w:t>
      </w:r>
      <w:r>
        <w:rPr>
          <w:color w:val="000000"/>
        </w:rPr>
        <w:t>   </w:t>
      </w:r>
      <w:r>
        <w:rPr>
          <w:rFonts w:ascii="Times New Roman;sans-serif" w:hAnsi="Times New Roman;sans-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Subscription Rights.</w:t>
      </w:r>
      <w:r>
        <w:rPr>
          <w:color w:val="000000"/>
        </w:rPr>
        <w:t>   </w:t>
      </w:r>
      <w:r>
        <w:rPr>
          <w:rFonts w:ascii="Times New Roman;sans-serif" w:hAnsi="Times New Roman;sans-serif"/>
          <w:b w:val="false"/>
          <w:color w:val="000000"/>
          <w:sz w:val="20"/>
        </w:rPr>
        <w:t>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Cancellation of Class B common stock and Class D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Except as otherwise expressly provided in any certificate of designation designating any series of OPAL Preferred Stock, (i) any new series of OPAL Preferred Stock may be designated, fixed and determined as provided by the Charter by our board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rights of the Common Stock, the OPAL Preferred Stock or any future class or series of OPAL Preferred Stock or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Authorized But Unissued OPAL Capital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A common stock, we will at all times reserve and keep available out of its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Anti-Takeover Effects of Provisions of Delaware Law and the Organizational Documents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and in the policies formulated by our board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include: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pPr>
      <w:r>
        <w:rPr>
          <w:rFonts w:ascii="Times New Roman;sans-serif" w:hAnsi="Times New Roman;sans-serif"/>
          <w:b/>
          <w:i/>
          <w:color w:val="000000"/>
          <w:sz w:val="20"/>
        </w:rPr>
        <w:t>Action by Written Consent; Special Meeting of Stockholder.</w:t>
      </w:r>
      <w:r>
        <w:rPr>
          <w:color w:val="000000"/>
        </w:rPr>
        <w:t>    </w:t>
      </w:r>
      <w:r>
        <w:rPr>
          <w:rFonts w:ascii="Times New Roman;sans-serif" w:hAnsi="Times New Roman;sans-serif"/>
          <w:b w:val="false"/>
          <w:color w:val="000000"/>
          <w:sz w:val="20"/>
        </w:rPr>
        <w:t xml:space="preserve">Subject to, with respect to the our Preferred Stock, the terms of any series of our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of we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the stockholders of OPAL must be effected at a duly called annual or special meeting of the stockholders and may not be effected by any consent in lieu of a meeting.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special rights of the holders of any series of our Preferred Stock and the requirements of applicable law, a special meetings of stockholders may be called only by the chairperson of our board, the vice chairperson of our board, the chief executive officer or at the direction of our board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Election and Removal of Directors.</w:t>
      </w:r>
      <w:r>
        <w:rPr>
          <w:color w:val="000000"/>
        </w:rPr>
        <w:t>    </w:t>
      </w:r>
      <w:r>
        <w:rPr>
          <w:rFonts w:ascii="Times New Roman;sans-serif" w:hAnsi="Times New Roman;sans-serif"/>
          <w:b w:val="false"/>
          <w:color w:val="000000"/>
          <w:sz w:val="20"/>
        </w:rPr>
        <w:t>Subject to any limitations imposed by applicable law and except for additional directors of OPAL elected by the holders of any series of OPAL Preferred Stock as provided for or fixed pursuant to the Charter, any director of OPAL or the entire board may be removed from office at any time, with or without cause, by the affirmative vote of the holders of at least a majority of the total voting power of the outstanding shares of capital stock of OPAL entitled to vote generally in the election of directors of OPAL, voting together as a single class. In case our board or any one or more directors of OPAL should be so removed, any new directors of OPAL shall, unless our board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and not by the stockholders.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Other Limitations on Stockholder Actions</w:t>
      </w:r>
      <w:r>
        <w:rPr>
          <w:rFonts w:ascii="Times New Roman;sans-serif" w:hAnsi="Times New Roman;sans-serif"/>
          <w:b w:val="false"/>
          <w:i/>
          <w:color w:val="000000"/>
          <w:sz w:val="20"/>
        </w:rPr>
        <w:t>.  </w:t>
      </w:r>
      <w:r>
        <w:rPr>
          <w:rFonts w:ascii="Times New Roman;sans-serif" w:hAnsi="Times New Roman;sans-serif"/>
          <w:b w:val="false"/>
          <w:color w:val="000000"/>
          <w:sz w:val="20"/>
        </w:rPr>
        <w:t>Our Bylaws also impose some procedural requirements on stockholders who wish to:</w:t>
      </w:r>
    </w:p>
    <w:p>
      <w:pPr>
        <w:pStyle w:val="TextBody"/>
        <w:bidi w:val="0"/>
        <w:spacing w:lineRule="auto" w:line="240" w:before="0" w:after="0"/>
        <w:ind w:left="0" w:right="0" w:hanging="360"/>
        <w:jc w:val="both"/>
        <w:rPr>
          <w:color w:val="000000"/>
        </w:rPr>
      </w:pPr>
      <w:r>
        <w:rPr>
          <w:color w:val="000000"/>
        </w:rPr>
        <w:t> </w:t>
      </w:r>
    </w:p>
    <w:tbl>
      <w:tblPr>
        <w:tblW w:w="47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make nominations in the election of directors; or</w:t>
            </w:r>
          </w:p>
        </w:tc>
      </w:tr>
    </w:tbl>
    <w:p>
      <w:pPr>
        <w:pStyle w:val="TextBody"/>
        <w:bidi w:val="0"/>
        <w:spacing w:lineRule="auto" w:line="240" w:before="0" w:after="0"/>
        <w:ind w:left="0" w:right="0" w:hanging="360"/>
        <w:jc w:val="both"/>
        <w:rPr>
          <w:color w:val="000000"/>
        </w:rPr>
      </w:pPr>
      <w:r>
        <w:rPr>
          <w:color w:val="000000"/>
        </w:rPr>
        <w:t> </w:t>
      </w:r>
    </w:p>
    <w:tbl>
      <w:tblPr>
        <w:tblW w:w="75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2"/>
        <w:gridCol w:w="2022"/>
        <w:gridCol w:w="2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propose any other business to be brought before an annual meeting of stockholders.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lineRule="auto" w:line="240" w:before="0" w:after="0"/>
        <w:ind w:left="0" w:right="0" w:hanging="360"/>
        <w:jc w:val="both"/>
        <w:rPr>
          <w:color w:val="000000"/>
        </w:rPr>
      </w:pPr>
      <w:r>
        <w:rPr>
          <w:color w:val="000000"/>
        </w:rPr>
        <w:t> </w:t>
      </w:r>
    </w:p>
    <w:tbl>
      <w:tblPr>
        <w:tblW w:w="9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7"/>
        <w:gridCol w:w="2457"/>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record address of each stockholder proposing business, as they appear in OPAL’s books;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all persons with whom the stockholder is acting in concert and a description of all arrangements and understandings with those persons;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business or nomination to be brought before the meeting, the text of the proposal and the reasons for conducting such business at the meeting; and</w:t>
            </w:r>
          </w:p>
        </w:tc>
      </w:tr>
    </w:tbl>
    <w:p>
      <w:pPr>
        <w:pStyle w:val="TextBody"/>
        <w:bidi w:val="0"/>
        <w:spacing w:lineRule="auto" w:line="240" w:before="0" w:after="0"/>
        <w:ind w:left="0" w:right="0" w:hanging="360"/>
        <w:jc w:val="both"/>
        <w:rPr>
          <w:color w:val="000000"/>
        </w:rPr>
      </w:pPr>
      <w:r>
        <w:rPr>
          <w:color w:val="000000"/>
        </w:rPr>
        <w:t> </w:t>
      </w:r>
    </w:p>
    <w:tbl>
      <w:tblPr>
        <w:tblW w:w="80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6"/>
        <w:gridCol w:w="2156"/>
        <w:gridCol w:w="3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material interest of the Proponent or Stockholder Associated Person in such business.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also set out the timeliness requirements for delivery of such notice.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submit a nomination for our board,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Limitation on Liability and Indemnification of Officers and Directors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Organizational Documents provide indemnification for OPAL’s directors and officers to the fullest extent permitted by the DGCL. </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July 21, 2022, we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w:t>
      </w:r>
      <w:r>
        <w:rPr>
          <w:rFonts w:ascii="Times New Roman;sans-serif" w:hAnsi="Times New Roman;sans-serif"/>
          <w:b/>
          <w:i/>
          <w:color w:val="000000"/>
          <w:sz w:val="20"/>
        </w:rPr>
        <w:t>Expenses</w:t>
      </w:r>
      <w:r>
        <w:rPr>
          <w:color w:val="000000"/>
        </w:rPr>
        <w:t>”</w:t>
      </w:r>
      <w:r>
        <w:rPr>
          <w:rFonts w:ascii="Times New Roman;sans-serif" w:hAnsi="Times New Roman;sans-serif"/>
          <w:b w:val="false"/>
          <w:color w:val="000000"/>
          <w:sz w:val="20"/>
        </w:rPr>
        <w:t>).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Exclusive Forum</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our behalf of;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If any action, the subject matter of which is within the scope of the exclusive forum provisions of the Charter, is filed in a court other than a court located within the State of Delaware (a “</w:t>
      </w:r>
      <w:r>
        <w:rPr>
          <w:rFonts w:ascii="Times New Roman;sans-serif" w:hAnsi="Times New Roman;sans-serif"/>
          <w:b/>
          <w:i/>
          <w:color w:val="000000"/>
          <w:sz w:val="20"/>
        </w:rPr>
        <w:t>Foreign Action</w:t>
      </w:r>
      <w:r>
        <w:rPr>
          <w:color w:val="000000"/>
        </w:rPr>
        <w:t>”</w:t>
      </w:r>
      <w:r>
        <w:rPr>
          <w:rFonts w:ascii="Times New Roman;sans-serif" w:hAnsi="Times New Roman;sans-serif"/>
          <w:b w:val="false"/>
          <w:color w:val="000000"/>
          <w:sz w:val="20"/>
        </w:rPr>
        <w:t>)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w:t>
      </w:r>
      <w:r>
        <w:rPr>
          <w:rFonts w:ascii="Times New Roman;sans-serif" w:hAnsi="Times New Roman;sans-serif"/>
          <w:b/>
          <w:i/>
          <w:color w:val="000000"/>
          <w:sz w:val="20"/>
        </w:rPr>
        <w:t>Enforcement Action</w:t>
      </w:r>
      <w:r>
        <w:rPr>
          <w:color w:val="000000"/>
        </w:rPr>
        <w:t>”</w:t>
      </w:r>
      <w:r>
        <w:rPr>
          <w:rFonts w:ascii="Times New Roman;sans-serif" w:hAnsi="Times New Roman;sans-serif"/>
          <w:b w:val="false"/>
          <w:color w:val="000000"/>
          <w:sz w:val="20"/>
        </w:rPr>
        <w:t>) and (ii) having service of process made upon such stockholder in any such Enforcement Action by service upon such stockholder’s counsel in the Foreign Action as agent for such stockholder.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Investor Rights Agreement</w:t>
      </w:r>
    </w:p>
    <w:p>
      <w:pPr>
        <w:pStyle w:val="TextBody"/>
        <w:bidi w:val="0"/>
        <w:spacing w:before="0" w:after="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transfer, sell, assign or otherwise dispose of their shares of Class A common stock for up to 180 days following the closing of the Business Combination, subject to certain exceptions.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OPAL’s Common Stock is Continental Transfer &amp; Trust Company.</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Listing of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Class A common stock are listed on Nasdaq under the symbol “OPAL”.</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BENEFICIAL OWNERSHIP</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and Class D common stock by:</w:t>
      </w:r>
    </w:p>
    <w:p>
      <w:pPr>
        <w:pStyle w:val="TextBody"/>
        <w:bidi w:val="0"/>
        <w:spacing w:lineRule="auto" w:line="240"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 is the beneficial owner of more than 5% of the outstanding shares of our Class A common stock or our Class D common stock;</w:t>
            </w:r>
          </w:p>
        </w:tc>
      </w:tr>
    </w:tbl>
    <w:p>
      <w:pPr>
        <w:pStyle w:val="TextBody"/>
        <w:bidi w:val="0"/>
        <w:spacing w:lineRule="auto" w:line="240" w:before="0" w:after="0"/>
        <w:ind w:left="0" w:right="0" w:hanging="360"/>
        <w:jc w:val="both"/>
        <w:rPr>
          <w:color w:val="000000"/>
        </w:rPr>
      </w:pPr>
      <w:r>
        <w:rPr>
          <w:color w:val="000000"/>
        </w:rPr>
        <w:t> </w:t>
      </w:r>
    </w:p>
    <w:tbl>
      <w:tblPr>
        <w:tblW w:w="6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31"/>
        <w:gridCol w:w="1631"/>
        <w:gridCol w:w="2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Company’s named executive officers and directors; and</w:t>
            </w:r>
          </w:p>
        </w:tc>
      </w:tr>
    </w:tbl>
    <w:p>
      <w:pPr>
        <w:pStyle w:val="TextBody"/>
        <w:bidi w:val="0"/>
        <w:spacing w:lineRule="auto" w:line="240" w:before="0" w:after="0"/>
        <w:ind w:left="0" w:right="0" w:hanging="360"/>
        <w:jc w:val="both"/>
        <w:rPr>
          <w:color w:val="000000"/>
        </w:rPr>
      </w:pPr>
      <w:r>
        <w:rPr>
          <w:color w:val="000000"/>
        </w:rPr>
        <w:t> </w:t>
      </w:r>
    </w:p>
    <w:tbl>
      <w:tblPr>
        <w:tblW w:w="60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1"/>
        <w:gridCol w:w="1561"/>
        <w:gridCol w:w="22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executive officers and directors as a group.</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prospectus. Shares subject to derivative securities that are currently exercisable or exercisable within 60 days of the date of this prospectus are considered outstanding and beneficially owned by the person holding such derivative security for the purpose of computing the percentage ownership of that person but are not treated as outstanding for the purpose of computing the percentage ownership of any other person. Shares issuable pursuant to the exchange of Opco Common Units listed in the table below are represented in shares of Class A common stock.</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Class A common stock is based on 27,694,332 shares of our Class A common stock issued and outstanding and 144,399,037 shares of our Class D common stock issued and outstanding as of April 28,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April 28, 2023, but we do not include those shares of common stock underlying such securities when computing the percentage ownership of any other person.</w:t>
      </w:r>
    </w:p>
    <w:p>
      <w:pPr>
        <w:pStyle w:val="TextBody"/>
        <w:bidi w:val="0"/>
        <w:spacing w:before="0" w:after="0"/>
        <w:ind w:left="0" w:right="0" w:firstLine="892"/>
        <w:jc w:val="both"/>
        <w:rPr/>
      </w:pPr>
      <w:r>
        <w:rPr/>
      </w:r>
    </w:p>
    <w:tbl>
      <w:tblPr>
        <w:tblW w:w="10205" w:type="dxa"/>
        <w:jc w:val="left"/>
        <w:tblInd w:w="0" w:type="dxa"/>
        <w:tblLayout w:type="fixed"/>
        <w:tblCellMar>
          <w:top w:w="28" w:type="dxa"/>
          <w:left w:w="28" w:type="dxa"/>
          <w:bottom w:w="28" w:type="dxa"/>
          <w:right w:w="28" w:type="dxa"/>
        </w:tblCellMar>
      </w:tblPr>
      <w:tblGrid>
        <w:gridCol w:w="473"/>
        <w:gridCol w:w="417"/>
        <w:gridCol w:w="418"/>
        <w:gridCol w:w="109"/>
        <w:gridCol w:w="109"/>
        <w:gridCol w:w="109"/>
        <w:gridCol w:w="252"/>
        <w:gridCol w:w="252"/>
        <w:gridCol w:w="252"/>
        <w:gridCol w:w="252"/>
        <w:gridCol w:w="252"/>
        <w:gridCol w:w="258"/>
        <w:gridCol w:w="109"/>
        <w:gridCol w:w="109"/>
        <w:gridCol w:w="109"/>
        <w:gridCol w:w="242"/>
        <w:gridCol w:w="242"/>
        <w:gridCol w:w="242"/>
        <w:gridCol w:w="242"/>
        <w:gridCol w:w="242"/>
        <w:gridCol w:w="247"/>
        <w:gridCol w:w="109"/>
        <w:gridCol w:w="109"/>
        <w:gridCol w:w="109"/>
        <w:gridCol w:w="506"/>
        <w:gridCol w:w="506"/>
        <w:gridCol w:w="507"/>
        <w:gridCol w:w="109"/>
        <w:gridCol w:w="109"/>
        <w:gridCol w:w="109"/>
        <w:gridCol w:w="109"/>
        <w:gridCol w:w="109"/>
        <w:gridCol w:w="109"/>
        <w:gridCol w:w="242"/>
        <w:gridCol w:w="242"/>
        <w:gridCol w:w="242"/>
        <w:gridCol w:w="242"/>
        <w:gridCol w:w="242"/>
        <w:gridCol w:w="247"/>
        <w:gridCol w:w="109"/>
        <w:gridCol w:w="109"/>
        <w:gridCol w:w="109"/>
        <w:gridCol w:w="202"/>
        <w:gridCol w:w="141"/>
        <w:gridCol w:w="141"/>
        <w:gridCol w:w="141"/>
        <w:gridCol w:w="141"/>
        <w:gridCol w:w="218"/>
      </w:tblGrid>
      <w:tr>
        <w:trPr/>
        <w:tc>
          <w:tcPr>
            <w:tcW w:w="47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color w:val="000000"/>
                <w:sz w:val="20"/>
              </w:rPr>
              <w:t>Name and Address of Beneficial Owners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D common stock beneficially owned</w:t>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59"/>
        <w:gridCol w:w="928"/>
        <w:gridCol w:w="934"/>
        <w:gridCol w:w="109"/>
        <w:gridCol w:w="109"/>
        <w:gridCol w:w="109"/>
        <w:gridCol w:w="321"/>
        <w:gridCol w:w="321"/>
        <w:gridCol w:w="334"/>
        <w:gridCol w:w="109"/>
        <w:gridCol w:w="109"/>
        <w:gridCol w:w="109"/>
        <w:gridCol w:w="109"/>
        <w:gridCol w:w="109"/>
        <w:gridCol w:w="109"/>
        <w:gridCol w:w="207"/>
        <w:gridCol w:w="207"/>
        <w:gridCol w:w="209"/>
        <w:gridCol w:w="109"/>
        <w:gridCol w:w="109"/>
        <w:gridCol w:w="109"/>
        <w:gridCol w:w="109"/>
        <w:gridCol w:w="109"/>
        <w:gridCol w:w="109"/>
        <w:gridCol w:w="394"/>
        <w:gridCol w:w="394"/>
        <w:gridCol w:w="398"/>
        <w:gridCol w:w="109"/>
        <w:gridCol w:w="109"/>
        <w:gridCol w:w="109"/>
        <w:gridCol w:w="109"/>
        <w:gridCol w:w="109"/>
        <w:gridCol w:w="109"/>
        <w:gridCol w:w="154"/>
        <w:gridCol w:w="154"/>
        <w:gridCol w:w="158"/>
        <w:gridCol w:w="109"/>
        <w:gridCol w:w="109"/>
        <w:gridCol w:w="109"/>
        <w:gridCol w:w="109"/>
        <w:gridCol w:w="109"/>
        <w:gridCol w:w="109"/>
        <w:gridCol w:w="204"/>
        <w:gridCol w:w="204"/>
        <w:gridCol w:w="208"/>
        <w:gridCol w:w="109"/>
        <w:gridCol w:w="109"/>
        <w:gridCol w:w="156"/>
      </w:tblGrid>
      <w:tr>
        <w:trPr/>
        <w:tc>
          <w:tcPr>
            <w:tcW w:w="115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Kevin M. Fogarty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Mark Comora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All directors and officers as a group (15 persons)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Entities affiliated with Mark Comora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ArcLight CTC Holdings II, L.P.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ARCC Beacon LLC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Mendocino Capital LLC </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Entities affiliated with Electron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Nyera II Limited </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Entities affiliated with Encompass Capital Advisors </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4" name="Frame1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tbl>
      <w:tblPr>
        <w:tblW w:w="7980"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325"/>
        <w:gridCol w:w="325"/>
        <w:gridCol w:w="326"/>
        <w:gridCol w:w="109"/>
        <w:gridCol w:w="109"/>
        <w:gridCol w:w="109"/>
        <w:gridCol w:w="109"/>
        <w:gridCol w:w="109"/>
        <w:gridCol w:w="109"/>
        <w:gridCol w:w="170"/>
        <w:gridCol w:w="170"/>
        <w:gridCol w:w="171"/>
        <w:gridCol w:w="109"/>
        <w:gridCol w:w="109"/>
        <w:gridCol w:w="109"/>
        <w:gridCol w:w="109"/>
        <w:gridCol w:w="109"/>
        <w:gridCol w:w="109"/>
        <w:gridCol w:w="135"/>
        <w:gridCol w:w="135"/>
        <w:gridCol w:w="136"/>
        <w:gridCol w:w="109"/>
        <w:gridCol w:w="109"/>
        <w:gridCol w:w="109"/>
        <w:gridCol w:w="109"/>
        <w:gridCol w:w="109"/>
        <w:gridCol w:w="109"/>
        <w:gridCol w:w="135"/>
        <w:gridCol w:w="135"/>
        <w:gridCol w:w="136"/>
        <w:gridCol w:w="109"/>
        <w:gridCol w:w="109"/>
        <w:gridCol w:w="109"/>
        <w:gridCol w:w="109"/>
        <w:gridCol w:w="109"/>
        <w:gridCol w:w="109"/>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Zimmer Partners, LP </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Barclays PLC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r>
              <w:rPr>
                <w:rFonts w:ascii="Times New Roman;sans-serif" w:hAnsi="Times New Roman;sans-serif"/>
                <w:b w:val="false"/>
                <w:color w:val="000000"/>
                <w:sz w:val="20"/>
              </w:rPr>
              <w:t>Barclays Bank PLC</w:t>
            </w:r>
            <w:r>
              <w:rPr>
                <w:color w:val="000000"/>
              </w:rPr>
              <w:t xml:space="preserve">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892"/>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*Represents less than 1%</w:t>
      </w:r>
    </w:p>
    <w:p>
      <w:pPr>
        <w:pStyle w:val="TextBody"/>
        <w:bidi w:val="0"/>
        <w:spacing w:before="0" w:after="0"/>
        <w:ind w:left="0" w:right="0" w:firstLine="892"/>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Unless otherwise noted, the business address of each of the directors and officers is One North Lexington Avenue, 14</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0"/>
              </w:rPr>
              <w:t>Floor, White Plains, New York 10601.</w:t>
            </w:r>
          </w:p>
        </w:tc>
      </w:tr>
    </w:tbl>
    <w:p>
      <w:pPr>
        <w:pStyle w:val="TextBody"/>
        <w:bidi w:val="0"/>
        <w:spacing w:lineRule="auto" w:line="240" w:before="0" w:after="0"/>
        <w:jc w:val="left"/>
        <w:rPr>
          <w:color w:val="000000"/>
        </w:rPr>
      </w:pPr>
      <w:r>
        <w:rPr>
          <w:color w:val="000000"/>
        </w:rPr>
        <w:t> </w:t>
      </w:r>
    </w:p>
    <w:tbl>
      <w:tblPr>
        <w:tblW w:w="5279" w:type="dxa"/>
        <w:jc w:val="left"/>
        <w:tblInd w:w="0" w:type="dxa"/>
        <w:tblLayout w:type="fixed"/>
        <w:tblCellMar>
          <w:top w:w="28" w:type="dxa"/>
          <w:left w:w="28" w:type="dxa"/>
          <w:bottom w:w="28" w:type="dxa"/>
          <w:right w:w="28" w:type="dxa"/>
        </w:tblCellMar>
      </w:tblPr>
      <w:tblGrid>
        <w:gridCol w:w="125"/>
        <w:gridCol w:w="110"/>
        <w:gridCol w:w="110"/>
        <w:gridCol w:w="1443"/>
        <w:gridCol w:w="1443"/>
        <w:gridCol w:w="204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shares are held by GBBH Family Limited Partnership.</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LLC (“</w:t>
            </w:r>
            <w:r>
              <w:rPr>
                <w:rFonts w:ascii="Times New Roman;sans-serif" w:hAnsi="Times New Roman;sans-serif"/>
                <w:b/>
                <w:i/>
                <w:color w:val="000000"/>
                <w:sz w:val="20"/>
              </w:rPr>
              <w:t>Fortistar</w:t>
            </w:r>
            <w:r>
              <w:rPr>
                <w:color w:val="000000"/>
              </w:rPr>
              <w:t>”</w:t>
            </w:r>
            <w:r>
              <w:rPr>
                <w:rFonts w:ascii="Times New Roman;sans-serif" w:hAnsi="Times New Roman;sans-serif"/>
                <w:b w:val="false"/>
                <w:color w:val="000000"/>
                <w:sz w:val="20"/>
              </w:rPr>
              <w:t>),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color w:val="000000"/>
              </w:rPr>
              <w:t>”</w:t>
            </w:r>
            <w:r>
              <w:rPr>
                <w:rFonts w:ascii="Times New Roman;sans-serif" w:hAnsi="Times New Roman;sans-serif"/>
                <w:b w:val="false"/>
                <w:color w:val="000000"/>
                <w:sz w:val="20"/>
              </w:rPr>
              <w:t>.  Shares of Class D common stock may be converted into shares of Class A common stock as further discussed in “Description of Securities</w:t>
            </w:r>
            <w:r>
              <w:rPr>
                <w:color w:val="000000"/>
              </w:rPr>
              <w:t>—</w:t>
            </w:r>
            <w:r>
              <w:rPr>
                <w:rFonts w:ascii="Times New Roman;sans-serif" w:hAnsi="Times New Roman;sans-serif"/>
                <w:b w:val="false"/>
                <w:color w:val="000000"/>
                <w:sz w:val="20"/>
              </w:rPr>
              <w:t>Common Stock</w:t>
            </w:r>
            <w:r>
              <w:rPr>
                <w:color w:val="000000"/>
              </w:rPr>
              <w:t xml:space="preserve">— </w:t>
            </w:r>
            <w:r>
              <w:rPr>
                <w:rFonts w:ascii="Times New Roman;sans-serif" w:hAnsi="Times New Roman;sans-serif"/>
                <w:b w:val="false"/>
                <w:color w:val="000000"/>
                <w:sz w:val="20"/>
              </w:rPr>
              <w:t>Class D common stock.” The business address of each of Mr. Comora, OPAL Holdco, Hillman and Fortistar is One North Lexington Avenue, 14th Floor, White Plains, New York 10601.</w:t>
            </w:r>
          </w:p>
        </w:tc>
      </w:tr>
    </w:tbl>
    <w:p>
      <w:pPr>
        <w:pStyle w:val="TextBody"/>
        <w:bidi w:val="0"/>
        <w:spacing w:lineRule="auto" w:line="240" w:before="0" w:after="0"/>
        <w:jc w:val="left"/>
        <w:rPr>
          <w:color w:val="000000"/>
        </w:rPr>
      </w:pPr>
      <w:r>
        <w:rPr>
          <w:color w:val="000000"/>
        </w:rPr>
        <w:t> </w:t>
      </w:r>
    </w:p>
    <w:tbl>
      <w:tblPr>
        <w:tblW w:w="8835" w:type="dxa"/>
        <w:jc w:val="left"/>
        <w:tblInd w:w="0" w:type="dxa"/>
        <w:tblLayout w:type="fixed"/>
        <w:tblCellMar>
          <w:top w:w="28" w:type="dxa"/>
          <w:left w:w="28" w:type="dxa"/>
          <w:bottom w:w="28" w:type="dxa"/>
          <w:right w:w="28" w:type="dxa"/>
        </w:tblCellMar>
      </w:tblPr>
      <w:tblGrid>
        <w:gridCol w:w="125"/>
        <w:gridCol w:w="110"/>
        <w:gridCol w:w="110"/>
        <w:gridCol w:w="2482"/>
        <w:gridCol w:w="2482"/>
        <w:gridCol w:w="352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4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Excludes an aggregate of 302,187 restricted stock units issued to these individuals on October 3, 2022.</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 such shares. The business address of Sponsor and Mr. Revers is 200 Clarendon Street, 55th Floor, Boston, Massachusetts 02116.</w:t>
            </w:r>
          </w:p>
        </w:tc>
      </w:tr>
    </w:tbl>
    <w:p>
      <w:pPr>
        <w:pStyle w:val="TextBody"/>
        <w:bidi w:val="0"/>
        <w:spacing w:lineRule="auto" w:line="240" w:before="0" w:after="0"/>
        <w:jc w:val="left"/>
        <w:rPr>
          <w:color w:val="000000"/>
        </w:rPr>
      </w:pPr>
      <w:r>
        <w:rPr>
          <w:color w:val="000000"/>
        </w:rPr>
        <w:t> </w:t>
      </w:r>
    </w:p>
    <w:tbl>
      <w:tblPr>
        <w:tblW w:w="8999" w:type="dxa"/>
        <w:jc w:val="left"/>
        <w:tblInd w:w="0" w:type="dxa"/>
        <w:tblLayout w:type="fixed"/>
        <w:tblCellMar>
          <w:top w:w="28" w:type="dxa"/>
          <w:left w:w="28" w:type="dxa"/>
          <w:bottom w:w="28" w:type="dxa"/>
          <w:right w:w="28" w:type="dxa"/>
        </w:tblCellMar>
      </w:tblPr>
      <w:tblGrid>
        <w:gridCol w:w="125"/>
        <w:gridCol w:w="110"/>
        <w:gridCol w:w="110"/>
        <w:gridCol w:w="2531"/>
        <w:gridCol w:w="2531"/>
        <w:gridCol w:w="359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9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ARCC Beacon LLC is 245 Park Avenue, 43rd Floor New York, New York 10167.</w:t>
            </w:r>
          </w:p>
        </w:tc>
      </w:tr>
    </w:tbl>
    <w:p>
      <w:pPr>
        <w:pStyle w:val="TextBody"/>
        <w:bidi w:val="0"/>
        <w:spacing w:lineRule="auto" w:line="240" w:before="0" w:after="0"/>
        <w:jc w:val="left"/>
        <w:rPr>
          <w:color w:val="000000"/>
        </w:rPr>
      </w:pPr>
      <w:r>
        <w:rPr>
          <w:color w:val="000000"/>
        </w:rPr>
        <w:t> </w:t>
      </w:r>
    </w:p>
    <w:tbl>
      <w:tblPr>
        <w:tblW w:w="8970" w:type="dxa"/>
        <w:jc w:val="left"/>
        <w:tblInd w:w="0" w:type="dxa"/>
        <w:tblLayout w:type="fixed"/>
        <w:tblCellMar>
          <w:top w:w="28" w:type="dxa"/>
          <w:left w:w="28" w:type="dxa"/>
          <w:bottom w:w="28" w:type="dxa"/>
          <w:right w:w="28" w:type="dxa"/>
        </w:tblCellMar>
      </w:tblPr>
      <w:tblGrid>
        <w:gridCol w:w="125"/>
        <w:gridCol w:w="110"/>
        <w:gridCol w:w="110"/>
        <w:gridCol w:w="2525"/>
        <w:gridCol w:w="2525"/>
        <w:gridCol w:w="357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Mendocino and NextEra is 700 Universe Boulevard, Juno Beach, Florida 33408.</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5" name="Frame1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 dispositive power over such shares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3"/>
        <w:gridCol w:w="126"/>
        <w:gridCol w:w="128"/>
        <w:gridCol w:w="2870"/>
        <w:gridCol w:w="2870"/>
        <w:gridCol w:w="4068"/>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1,638,655 shares of Class A common stock which are held by certain fund entities and managed accounts for which Encompass Capital Advisors, LLC (“Encompass Advisors”) exercises investment discretion, and (ii) 1,344,484 shares of Class A common stock which are held by certain fund entities and managed accounts for which Encompass Capital Partners LLC (“Encompass Partners”)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6"/>
        <w:gridCol w:w="129"/>
        <w:gridCol w:w="131"/>
        <w:gridCol w:w="2861"/>
        <w:gridCol w:w="2861"/>
        <w:gridCol w:w="4077"/>
      </w:tblGrid>
      <w:tr>
        <w:trPr/>
        <w:tc>
          <w:tcPr>
            <w:tcW w:w="1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February 9, 2023 by Zimmer Partners, LP, Zimmer Financial Services Group LLC, Zimmer Partners GP, LLC, and Stuart J. Zimmer (the “Zimmer Parties”), the business address of the Zimmer Partners Parties is 9 West 57th Street, 33rd Floor, New York, NY 10019. The Zimmer Parties share voting and dispositive power over 2,054,183 shares of Class A common stock.</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6"/>
        <w:gridCol w:w="137"/>
        <w:gridCol w:w="139"/>
        <w:gridCol w:w="2855"/>
        <w:gridCol w:w="2855"/>
        <w:gridCol w:w="4063"/>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PLC, the business address of such parties is 1 Churchill Place, London, E14 5HP, England.</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
        <w:gridCol w:w="137"/>
        <w:gridCol w:w="139"/>
        <w:gridCol w:w="2855"/>
        <w:gridCol w:w="2855"/>
        <w:gridCol w:w="4064"/>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Bank PLC, the business address of such parties is 1 Churchill Place, London, E14 5HP, England.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SELLING HOLDERS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relates to the resale by the Selling Holders from time to time of up to 166,318,246 shares of Class A common stock. The Selling Holders may from time to time offer and sell any or all of the shares of Class A common stock set forth below pursuant to this prospectus and any accompanying prospectus supplement. When we refer to the “Selling Holders” in this prospectus, we mean the persons listed in the table below, and the pledgees, donees, transferees, assignees, successors, designees and others who later come to hold any of the Selling Holders’ interest in the Class A common stock other than through a public sale.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the date of this prospectus, the names of the Selling Holders, the aggregate number of shares of Class A common stock held by each Selling Holders immediately prior to the sale of the shares of Class A common stock in this offering, the number of shares of our Class A common stock that may be sold by each Selling Holder under this prospectus and the number of shares of Class A common stock that each Selling Holder will beneficially own after this offering.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advise you as to whether the Selling Holders will in fact sell any or all of such shares of Class A common stock. In addition, the Selling Holders may sell, transfer or otherwise dispose of, at any time and from time to time, Class A common stock in transactions exempt from the registration requirements of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6" name="Frame1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40" w:before="0" w:after="0"/>
        <w:ind w:left="0" w:right="0" w:firstLine="54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43"/>
        <w:gridCol w:w="701"/>
        <w:gridCol w:w="707"/>
        <w:gridCol w:w="109"/>
        <w:gridCol w:w="109"/>
        <w:gridCol w:w="109"/>
        <w:gridCol w:w="109"/>
        <w:gridCol w:w="109"/>
        <w:gridCol w:w="109"/>
        <w:gridCol w:w="585"/>
        <w:gridCol w:w="585"/>
        <w:gridCol w:w="586"/>
        <w:gridCol w:w="109"/>
        <w:gridCol w:w="109"/>
        <w:gridCol w:w="109"/>
        <w:gridCol w:w="109"/>
        <w:gridCol w:w="109"/>
        <w:gridCol w:w="109"/>
        <w:gridCol w:w="738"/>
        <w:gridCol w:w="738"/>
        <w:gridCol w:w="739"/>
        <w:gridCol w:w="109"/>
        <w:gridCol w:w="109"/>
        <w:gridCol w:w="109"/>
        <w:gridCol w:w="109"/>
        <w:gridCol w:w="109"/>
        <w:gridCol w:w="109"/>
        <w:gridCol w:w="503"/>
        <w:gridCol w:w="503"/>
        <w:gridCol w:w="715"/>
      </w:tblGrid>
      <w:tr>
        <w:trPr/>
        <w:tc>
          <w:tcPr>
            <w:tcW w:w="114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Selling Holder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Prior to Offering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Registered for Sale Hereby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Held After Offering</w:t>
            </w:r>
          </w:p>
        </w:tc>
      </w:tr>
      <w:tr>
        <w:trPr/>
        <w:tc>
          <w:tcPr>
            <w:tcW w:w="255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ARCC Beacon LLC (1)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ArcLight CTC Holdings II, L.P.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Arno Harris (3)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Goncher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Ja-Chin Audrey Lee (3)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Berkenfeld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Mark Comora (4)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145,279,637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Adage Capital Partners LP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Alternative Energy Fund LP (6)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Arosa Opportunistic Fund LP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Dmitri Sinenko (8)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Nyera II Limited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Goldman Master Fund (10)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Mendocino Capital, LLC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Northbank Capital Management, LLC (12)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Stearns, Conrad and Schmidt Consulting Engineers, Inc.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Trent Vichie (14)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Encompass Capital Advisors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Electron (16)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ACHP B, L.P.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ACTC Holdings GP II, LLC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Alexander Busch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Andrew Brannan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Carl Stjernfeldt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Carter Aubrey Ward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A. Poole, III (17)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Miller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Churchill George Yong (18)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R. Revers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Elisabeth Wallace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Gavin Robert Danaher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Hayes A. Winik (19)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Jeanna T. Simeone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F. Erhard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Josef Alves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Crosby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Keystone 2020, LLC (21)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Lucius Taylor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Marco Francesco Gatti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Tarini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Williamson Miller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7" name="Frame10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tbl>
      <w:tblPr>
        <w:tblW w:w="8474" w:type="dxa"/>
        <w:jc w:val="left"/>
        <w:tblInd w:w="0" w:type="dxa"/>
        <w:tblLayout w:type="fixed"/>
        <w:tblCellMar>
          <w:top w:w="28" w:type="dxa"/>
          <w:left w:w="28" w:type="dxa"/>
          <w:bottom w:w="28" w:type="dxa"/>
          <w:right w:w="28" w:type="dxa"/>
        </w:tblCellMar>
      </w:tblPr>
      <w:tblGrid>
        <w:gridCol w:w="1653"/>
        <w:gridCol w:w="1451"/>
        <w:gridCol w:w="1455"/>
        <w:gridCol w:w="109"/>
        <w:gridCol w:w="109"/>
        <w:gridCol w:w="109"/>
        <w:gridCol w:w="109"/>
        <w:gridCol w:w="109"/>
        <w:gridCol w:w="109"/>
        <w:gridCol w:w="259"/>
        <w:gridCol w:w="259"/>
        <w:gridCol w:w="263"/>
        <w:gridCol w:w="109"/>
        <w:gridCol w:w="109"/>
        <w:gridCol w:w="109"/>
        <w:gridCol w:w="109"/>
        <w:gridCol w:w="109"/>
        <w:gridCol w:w="109"/>
        <w:gridCol w:w="259"/>
        <w:gridCol w:w="259"/>
        <w:gridCol w:w="263"/>
        <w:gridCol w:w="109"/>
        <w:gridCol w:w="109"/>
        <w:gridCol w:w="109"/>
        <w:gridCol w:w="109"/>
        <w:gridCol w:w="109"/>
        <w:gridCol w:w="109"/>
        <w:gridCol w:w="114"/>
        <w:gridCol w:w="114"/>
        <w:gridCol w:w="163"/>
      </w:tblGrid>
      <w:tr>
        <w:trPr/>
        <w:tc>
          <w:tcPr>
            <w:tcW w:w="165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Neelamkavil and Parekh Trust dated March 5, 2020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Revers Special Ops Holdings, LLC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Knight (22)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Meister Trevisani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Robert S. McGaughey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Ryan James Ganong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Theodore D. Burke (23)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Timothy M. Evans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Trevor Edward Breen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Vancouver Resources, Inc. (24)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WSI Cicada II Ltd.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3,059,533 shares of Class A common stock. ARCC Beacon LLC’s (“</w:t>
            </w:r>
            <w:r>
              <w:rPr>
                <w:rFonts w:ascii="Times New Roman;sans-serif" w:hAnsi="Times New Roman;sans-serif"/>
                <w:b/>
                <w:i/>
                <w:color w:val="000000"/>
                <w:sz w:val="20"/>
              </w:rPr>
              <w:t>ARCC Beacon</w:t>
            </w:r>
            <w:r>
              <w:rPr>
                <w:color w:val="000000"/>
              </w:rPr>
              <w:t>”</w:t>
            </w:r>
            <w:r>
              <w:rPr>
                <w:rFonts w:ascii="Times New Roman;sans-serif" w:hAnsi="Times New Roman;sans-serif"/>
                <w:b w:val="false"/>
                <w:color w:val="000000"/>
                <w:sz w:val="20"/>
              </w:rPr>
              <w:t>) sole member is Ares Capital Corporation. The manager of Ares Capital Corporation is Ares Capital Management LLC, and the sole member of Ares Capital Management LLC is Ares Management LLC. The sole member of Ares Management LLC is Ares Management Holdings L.P. and the general partner of Ares Management Holdings L.P. is Ares Holdco LLC. The sole member of Ares Holdco LLC is Ares Management Corporation. Ares Management GP LLC is the sole holder of the Class B common stock, $0.01 par value per share, of Ares Management Corporation (the “</w:t>
            </w:r>
            <w:r>
              <w:rPr>
                <w:rFonts w:ascii="Times New Roman;sans-serif" w:hAnsi="Times New Roman;sans-serif"/>
                <w:b/>
                <w:i/>
                <w:color w:val="000000"/>
                <w:sz w:val="20"/>
              </w:rPr>
              <w:t>Ares Class B Common Stock</w:t>
            </w:r>
            <w:r>
              <w:rPr>
                <w:color w:val="000000"/>
              </w:rPr>
              <w:t>”</w:t>
            </w:r>
            <w:r>
              <w:rPr>
                <w:rFonts w:ascii="Times New Roman;sans-serif" w:hAnsi="Times New Roman;sans-serif"/>
                <w:b w:val="false"/>
                <w:color w:val="000000"/>
                <w:sz w:val="20"/>
              </w:rPr>
              <w:t>) and Ares Voting LLC is the sole holder of the Class C common stock, $0.01 par value per share, of Ares Management Corporation (the “</w:t>
            </w:r>
            <w:r>
              <w:rPr>
                <w:rFonts w:ascii="Times New Roman;sans-serif" w:hAnsi="Times New Roman;sans-serif"/>
                <w:b/>
                <w:i/>
                <w:color w:val="000000"/>
                <w:sz w:val="20"/>
              </w:rPr>
              <w:t>Ares Class C Common Stock</w:t>
            </w:r>
            <w:r>
              <w:rPr>
                <w:color w:val="000000"/>
              </w:rPr>
              <w:t>”</w:t>
            </w:r>
            <w:r>
              <w:rPr>
                <w:rFonts w:ascii="Times New Roman;sans-serif" w:hAnsi="Times New Roman;sans-serif"/>
                <w:b w:val="false"/>
                <w:color w:val="000000"/>
                <w:sz w:val="20"/>
              </w:rPr>
              <w:t>). Pursuant to Ares Management Corporation’s Certificate of Incorporation in effect as of the date of this filing, the holders of the Ares Class B Common Stock and the Ares Class C Common Stock, collectively, will generally have the majority of the votes on any matter submitted to the stockholders of Ares Management Corporation if certain conditions are met. The sole member of both Ares Management GP LLC and Ares Voting LLC is Ares Partners Holdco LLC. Ares Partners Holdco LLC is managed by a board of managers, which is composed of Michael J Arougheti, Ryan Berry, R. Kipp deVeer, David B. Kaplan, Antony P. Ressler and Bennett Rosenthal (collectively, the “</w:t>
            </w:r>
            <w:r>
              <w:rPr>
                <w:rFonts w:ascii="Times New Roman;sans-serif" w:hAnsi="Times New Roman;sans-serif"/>
                <w:b/>
                <w:i/>
                <w:color w:val="000000"/>
                <w:sz w:val="20"/>
              </w:rPr>
              <w:t>Ares Board Members</w:t>
            </w:r>
            <w:r>
              <w:rPr>
                <w:color w:val="000000"/>
              </w:rPr>
              <w:t>”</w:t>
            </w:r>
            <w:r>
              <w:rPr>
                <w:rFonts w:ascii="Times New Roman;sans-serif" w:hAnsi="Times New Roman;sans-serif"/>
                <w:b w:val="false"/>
                <w:color w:val="000000"/>
                <w:sz w:val="20"/>
              </w:rPr>
              <w:t>). Antony P. Ressler generally has veto authority over decisions by the Ares Board Members. Each of the Ares Entities (other than ARCC Beacon, with respect to the securities owned by it as set forth above), the Ares Board Members and the other directors, officers, partners, stockholders, members and managers of the Ares Entities, expressly disclaims beneficial ownership of the shares reported herein for purposes of Section 13(d) of the Exchange Act and the rules under Section 13(d) of the Exchange Act. The address of each Ares Entity is 2000 Avenue of the Stars, 12th Floor, Los Angeles, California 90067.</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1,498,804 shares of Class A common stock held directly by ArcLight CTC Holdings II, L.P. (“</w:t>
            </w:r>
            <w:r>
              <w:rPr>
                <w:rFonts w:ascii="Times New Roman;sans-serif" w:hAnsi="Times New Roman;sans-serif"/>
                <w:b/>
                <w:i/>
                <w:color w:val="000000"/>
                <w:sz w:val="20"/>
              </w:rPr>
              <w:t>Sponsor</w:t>
            </w:r>
            <w:r>
              <w:rPr>
                <w:color w:val="000000"/>
              </w:rPr>
              <w:t>”</w:t>
            </w:r>
            <w:r>
              <w:rPr>
                <w:rFonts w:ascii="Times New Roman;sans-serif" w:hAnsi="Times New Roman;sans-serif"/>
                <w:b w:val="false"/>
                <w:color w:val="000000"/>
                <w:sz w:val="20"/>
              </w:rPr>
              <w:t>). Daniel 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business address of Sponsor and Mr. Revers is 200 Clarendon Street, 55th Floor, Boston, Massachusetts, 02116.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business address of Sponsor and the reporting person is 200 Clarendon Street, 55th Floor, Boston, Massachusetts 02116.</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w:t>
            </w:r>
            <w:r>
              <w:rPr>
                <w:rFonts w:ascii="Times New Roman;sans-serif" w:hAnsi="Times New Roman;sans-serif"/>
                <w:b w:val="false"/>
                <w:i/>
                <w:color w:val="000000"/>
                <w:sz w:val="20"/>
              </w:rPr>
              <w:t>Certain Relationships and Related Party Transactions—Hillman Restructuring</w:t>
            </w:r>
            <w:r>
              <w:rPr>
                <w:rFonts w:ascii="Times New Roman;sans-serif" w:hAnsi="Times New Roman;sans-serif"/>
                <w:b w:val="false"/>
                <w:color w:val="000000"/>
                <w:sz w:val="20"/>
              </w:rPr>
              <w:t>.” The business address of each of Mr. Comora, OPAL Holdco, Hillman and Fortistar is One North Lexington Avenue 14th Floor, White Plains, New York 10601.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8"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Phillip Gross is the managing member of Adage Capital Advisors, L.L.C., which is the managing member of Adage Capital Partners GP, L.L.C., which is the general partner of Adage Capital Partners, L.P., and each such person or entity, as the case may be, may be deemed the beneficial owner of such shares. The business address of Adage Capital Partners, L.P. is 200 Clarendon St, 52nd Fl, Boston, Massachusetts 02110.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45,000 shares of Class A common stock. These shares may be deemed to be beneficially owned by Till Bechtolsheimer, the Chief Executive Officer of Arosa Alternative Energy Fund LP’s investment manager. The business address of each person and entity named in this footnote is c/o Arosa Capital Management LP, 550 West 34th Street, Suite 2800, New York, NY 10001.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105,000 shares of Class A common stock. Arosa Capital Management Opportunistic GP II LLC is the general partner of Arosa Opportunistic Fund LP and Arosa Capital Management LP is its investment manager. The members of Arosa Capital Management Opportunistic GP II LLC and the limited partners of Arosa Capital Management LP are Till Bechtolsheimer and Abraham Joseph. The business address of each person and entity named in this footnote is c/o Arosa Capital Management LP, 550 West 34th Street, Suite 2800, New York, New York 10001.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79"/>
        <w:gridCol w:w="2879"/>
        <w:gridCol w:w="41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1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500,000 shares of Class A common stock. The address of the Selling Holder is 1614 Sul Ross Street, Houston, Texas 77006.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1,500,000 shares of Class A common stock. Benjamin Wasem, Pantelitsa Georgiade and Vasiliki Papalli (the “</w:t>
            </w:r>
            <w:r>
              <w:rPr>
                <w:rFonts w:ascii="Times New Roman;sans-serif" w:hAnsi="Times New Roman;sans-serif"/>
                <w:b/>
                <w:i/>
                <w:color w:val="000000"/>
                <w:sz w:val="20"/>
              </w:rPr>
              <w:t>Nyera Principals</w:t>
            </w:r>
            <w:r>
              <w:rPr>
                <w:color w:val="000000"/>
              </w:rPr>
              <w:t>”</w:t>
            </w:r>
            <w:r>
              <w:rPr>
                <w:rFonts w:ascii="Times New Roman;sans-serif" w:hAnsi="Times New Roman;sans-serif"/>
                <w:b w:val="false"/>
                <w:color w:val="000000"/>
                <w:sz w:val="20"/>
              </w:rPr>
              <w:t>) each has voting and investment discretion with respect to the securities held Nyera II Limited (“</w:t>
            </w:r>
            <w:r>
              <w:rPr>
                <w:rFonts w:ascii="Times New Roman;sans-serif" w:hAnsi="Times New Roman;sans-serif"/>
                <w:b/>
                <w:i/>
                <w:color w:val="000000"/>
                <w:sz w:val="20"/>
              </w:rPr>
              <w:t>Nyera</w:t>
            </w:r>
            <w:r>
              <w:rPr>
                <w:color w:val="000000"/>
              </w:rPr>
              <w:t>”</w:t>
            </w:r>
            <w:r>
              <w:rPr>
                <w:rFonts w:ascii="Times New Roman;sans-serif" w:hAnsi="Times New Roman;sans-serif"/>
                <w:b w:val="false"/>
                <w:color w:val="000000"/>
                <w:sz w:val="20"/>
              </w:rPr>
              <w:t>),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bl>
    <w:tbl>
      <w:tblPr>
        <w:tblW w:w="10205" w:type="dxa"/>
        <w:jc w:val="left"/>
        <w:tblInd w:w="0" w:type="dxa"/>
        <w:tblLayout w:type="fixed"/>
        <w:tblCellMar>
          <w:top w:w="28" w:type="dxa"/>
          <w:left w:w="28" w:type="dxa"/>
          <w:bottom w:w="28" w:type="dxa"/>
          <w:right w:w="28" w:type="dxa"/>
        </w:tblCellMar>
      </w:tblPr>
      <w:tblGrid>
        <w:gridCol w:w="143"/>
        <w:gridCol w:w="126"/>
        <w:gridCol w:w="128"/>
        <w:gridCol w:w="2869"/>
        <w:gridCol w:w="2869"/>
        <w:gridCol w:w="4070"/>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500,000 shares of Class A common stock. J. Goldman Master Fund, L.P. (the “</w:t>
            </w:r>
            <w:r>
              <w:rPr>
                <w:rFonts w:ascii="Times New Roman;sans-serif" w:hAnsi="Times New Roman;sans-serif"/>
                <w:b/>
                <w:i/>
                <w:color w:val="000000"/>
                <w:sz w:val="20"/>
              </w:rPr>
              <w:t>Master Fund</w:t>
            </w:r>
            <w:r>
              <w:rPr>
                <w:color w:val="000000"/>
              </w:rPr>
              <w:t>”</w:t>
            </w:r>
            <w:r>
              <w:rPr>
                <w:rFonts w:ascii="Times New Roman;sans-serif" w:hAnsi="Times New Roman;sans-serif"/>
                <w:b w:val="false"/>
                <w:color w:val="000000"/>
                <w:sz w:val="20"/>
              </w:rPr>
              <w:t>), which is managed by J. Goldman &amp; Co., L.P. of which J. Goldman Capital Management Inc. is the general partner beneficially owns 300,000 shares of common stock of the Company. Jay G. Goldman is the sole director of J. Goldman Capital Management, Inc. Together, J. Goldman &amp; Co., L.P., J. Goldman Capital Management, Inc. and Jay G. Goldman have shared voting and dispositive power over the securities of the Company reported herein that are held by the Master Fund. J. Goldman &amp; Co., L.P., J. Goldman Capital Management, Inc. and Jay G. Goldman may be deemed to beneficially own all of the shares of common stock held by the Master Fund. The address of the Master Fund is c/o ATU General Trust Services (BVI) Ltd., 3076 Sir Francis Drake’s Highway, P.O. Box 3463, Roadtown, Tortola, BVI, VG1110.</w:t>
            </w:r>
          </w:p>
        </w:tc>
      </w:tr>
    </w:tbl>
    <w:tbl>
      <w:tblPr>
        <w:tblW w:w="10205" w:type="dxa"/>
        <w:jc w:val="left"/>
        <w:tblInd w:w="0" w:type="dxa"/>
        <w:tblLayout w:type="fixed"/>
        <w:tblCellMar>
          <w:top w:w="28" w:type="dxa"/>
          <w:left w:w="28" w:type="dxa"/>
          <w:bottom w:w="28" w:type="dxa"/>
          <w:right w:w="28" w:type="dxa"/>
        </w:tblCellMar>
      </w:tblPr>
      <w:tblGrid>
        <w:gridCol w:w="149"/>
        <w:gridCol w:w="131"/>
        <w:gridCol w:w="133"/>
        <w:gridCol w:w="2861"/>
        <w:gridCol w:w="2861"/>
        <w:gridCol w:w="4070"/>
      </w:tblGrid>
      <w:tr>
        <w:trPr/>
        <w:tc>
          <w:tcPr>
            <w:tcW w:w="1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79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2,500,000 shares of Class A common stock. Mendocino Capital, LLC (“</w:t>
            </w:r>
            <w:r>
              <w:rPr>
                <w:rFonts w:ascii="Times New Roman;sans-serif" w:hAnsi="Times New Roman;sans-serif"/>
                <w:b/>
                <w:i/>
                <w:color w:val="000000"/>
                <w:sz w:val="20"/>
              </w:rPr>
              <w:t>Mendocino</w:t>
            </w:r>
            <w:r>
              <w:rPr>
                <w:color w:val="000000"/>
              </w:rPr>
              <w:t>”</w:t>
            </w:r>
            <w:r>
              <w:rPr>
                <w:rFonts w:ascii="Times New Roman;sans-serif" w:hAnsi="Times New Roman;sans-serif"/>
                <w:b w:val="false"/>
                <w:color w:val="000000"/>
                <w:sz w:val="20"/>
              </w:rPr>
              <w:t>) is a subsidiary of NextEra Energy, Inc. (“</w:t>
            </w:r>
            <w:r>
              <w:rPr>
                <w:rFonts w:ascii="Times New Roman;sans-serif" w:hAnsi="Times New Roman;sans-serif"/>
                <w:b/>
                <w:i/>
                <w:color w:val="000000"/>
                <w:sz w:val="20"/>
              </w:rPr>
              <w:t>NextEra</w:t>
            </w:r>
            <w:r>
              <w:rPr>
                <w:color w:val="000000"/>
              </w:rPr>
              <w:t>”</w:t>
            </w:r>
            <w:r>
              <w:rPr>
                <w:rFonts w:ascii="Times New Roman;sans-serif" w:hAnsi="Times New Roman;sans-serif"/>
                <w:b w:val="false"/>
                <w:color w:val="000000"/>
                <w:sz w:val="20"/>
              </w:rPr>
              <w:t>), a publicly traded company. The business address of Mendocino and NextEra is 700 Universe Boulevard, Juno Beach, Florida 33408.</w:t>
            </w:r>
          </w:p>
        </w:tc>
      </w:tr>
    </w:tbl>
    <w:tbl>
      <w:tblPr>
        <w:tblW w:w="10205" w:type="dxa"/>
        <w:jc w:val="left"/>
        <w:tblInd w:w="0" w:type="dxa"/>
        <w:tblLayout w:type="fixed"/>
        <w:tblCellMar>
          <w:top w:w="28" w:type="dxa"/>
          <w:left w:w="28" w:type="dxa"/>
          <w:bottom w:w="28" w:type="dxa"/>
          <w:right w:w="28" w:type="dxa"/>
        </w:tblCellMar>
      </w:tblPr>
      <w:tblGrid>
        <w:gridCol w:w="148"/>
        <w:gridCol w:w="130"/>
        <w:gridCol w:w="132"/>
        <w:gridCol w:w="2865"/>
        <w:gridCol w:w="2865"/>
        <w:gridCol w:w="4065"/>
      </w:tblGrid>
      <w:tr>
        <w:trPr/>
        <w:tc>
          <w:tcPr>
            <w:tcW w:w="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79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500,000 shares of Class A common stock. Bradford Seagraves is the Chief Investment Officer of Northbank Capital Management, LLC (“</w:t>
            </w:r>
            <w:r>
              <w:rPr>
                <w:rFonts w:ascii="Times New Roman;sans-serif" w:hAnsi="Times New Roman;sans-serif"/>
                <w:b/>
                <w:i/>
                <w:color w:val="000000"/>
                <w:sz w:val="20"/>
              </w:rPr>
              <w:t>Northbank</w:t>
            </w:r>
            <w:r>
              <w:rPr>
                <w:color w:val="000000"/>
              </w:rPr>
              <w:t>”</w:t>
            </w:r>
            <w:r>
              <w:rPr>
                <w:rFonts w:ascii="Times New Roman;sans-serif" w:hAnsi="Times New Roman;sans-serif"/>
                <w:b w:val="false"/>
                <w:color w:val="000000"/>
                <w:sz w:val="20"/>
              </w:rPr>
              <w:t>), and may be deemed the beneficial owner of such shares. The business address of Northbank is 133 Southern Comfort Road, Ketchum, Idaho 83340.</w:t>
            </w:r>
          </w:p>
        </w:tc>
      </w:tr>
    </w:tbl>
    <w:tbl>
      <w:tblPr>
        <w:tblW w:w="10205" w:type="dxa"/>
        <w:jc w:val="left"/>
        <w:tblInd w:w="0" w:type="dxa"/>
        <w:tblLayout w:type="fixed"/>
        <w:tblCellMar>
          <w:top w:w="28" w:type="dxa"/>
          <w:left w:w="28" w:type="dxa"/>
          <w:bottom w:w="28" w:type="dxa"/>
          <w:right w:w="28" w:type="dxa"/>
        </w:tblCellMar>
      </w:tblPr>
      <w:tblGrid>
        <w:gridCol w:w="147"/>
        <w:gridCol w:w="129"/>
        <w:gridCol w:w="131"/>
        <w:gridCol w:w="2869"/>
        <w:gridCol w:w="2869"/>
        <w:gridCol w:w="4060"/>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79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50,000 shares of Class A common stock. Curtis Jang is the Chief Financial Officer of Stearns, Conrad and Schmidt Consulting Engineers, Inc.(“</w:t>
            </w:r>
            <w:r>
              <w:rPr>
                <w:rFonts w:ascii="Times New Roman;sans-serif" w:hAnsi="Times New Roman;sans-serif"/>
                <w:b/>
                <w:i/>
                <w:color w:val="000000"/>
                <w:sz w:val="20"/>
              </w:rPr>
              <w:t>SCS Consulting</w:t>
            </w:r>
            <w:r>
              <w:rPr>
                <w:color w:val="000000"/>
              </w:rPr>
              <w:t>”</w:t>
            </w:r>
            <w:r>
              <w:rPr>
                <w:rFonts w:ascii="Times New Roman;sans-serif" w:hAnsi="Times New Roman;sans-serif"/>
                <w:b w:val="false"/>
                <w:color w:val="000000"/>
                <w:sz w:val="20"/>
              </w:rPr>
              <w:t>), and may be deemed the beneficial owner of such shares. The business address of SCS Consulting is 3900 Kilroy Airport Way, Suite 100, Long Beach, California 90806.</w:t>
            </w:r>
          </w:p>
        </w:tc>
      </w:tr>
    </w:tbl>
    <w:tbl>
      <w:tblPr>
        <w:tblW w:w="10205" w:type="dxa"/>
        <w:jc w:val="left"/>
        <w:tblInd w:w="0" w:type="dxa"/>
        <w:tblLayout w:type="fixed"/>
        <w:tblCellMar>
          <w:top w:w="28" w:type="dxa"/>
          <w:left w:w="28" w:type="dxa"/>
          <w:bottom w:w="28" w:type="dxa"/>
          <w:right w:w="28" w:type="dxa"/>
        </w:tblCellMar>
      </w:tblPr>
      <w:tblGrid>
        <w:gridCol w:w="160"/>
        <w:gridCol w:w="141"/>
        <w:gridCol w:w="143"/>
        <w:gridCol w:w="2850"/>
        <w:gridCol w:w="2850"/>
        <w:gridCol w:w="4061"/>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4061" w:type="dxa"/>
            <w:tcBorders/>
            <w:vAlign w:val="center"/>
          </w:tcPr>
          <w:p>
            <w:pPr>
              <w:pStyle w:val="TableContents"/>
              <w:bidi w:val="0"/>
              <w:spacing w:before="0" w:after="283"/>
              <w:jc w:val="left"/>
              <w:rPr>
                <w:sz w:val="4"/>
                <w:szCs w:val="4"/>
              </w:rPr>
            </w:pPr>
            <w:r>
              <w:rPr>
                <w:sz w:val="4"/>
                <w:szCs w:val="4"/>
              </w:rPr>
            </w:r>
          </w:p>
        </w:tc>
      </w:tr>
      <w:tr>
        <w:trPr/>
        <w:tc>
          <w:tcPr>
            <w:tcW w:w="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9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Consists of 200,000 shares of Class A common stock. The address of the Selling Holder is 2403 Hatley Dr., Austin Texas 78746.</w:t>
            </w:r>
          </w:p>
        </w:tc>
      </w:tr>
    </w:tbl>
    <w:tbl>
      <w:tblPr>
        <w:tblW w:w="10205" w:type="dxa"/>
        <w:jc w:val="left"/>
        <w:tblInd w:w="0" w:type="dxa"/>
        <w:tblLayout w:type="fixed"/>
        <w:tblCellMar>
          <w:top w:w="28" w:type="dxa"/>
          <w:left w:w="28" w:type="dxa"/>
          <w:bottom w:w="28" w:type="dxa"/>
          <w:right w:w="28" w:type="dxa"/>
        </w:tblCellMar>
      </w:tblPr>
      <w:tblGrid>
        <w:gridCol w:w="143"/>
        <w:gridCol w:w="126"/>
        <w:gridCol w:w="128"/>
        <w:gridCol w:w="2865"/>
        <w:gridCol w:w="2865"/>
        <w:gridCol w:w="4078"/>
      </w:tblGrid>
      <w:tr>
        <w:trPr/>
        <w:tc>
          <w:tcPr>
            <w:tcW w:w="1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9808"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shd w:fill="FFFFFF" w:val="clear"/>
              </w:rPr>
              <w:t>Consists of (i) 1,638,655 shares of Class A common stock which are held by certain fund entities and managed accounts for which Encompass Capital Advisors, LLC (“</w:t>
            </w:r>
            <w:r>
              <w:rPr>
                <w:rFonts w:ascii="Times New Roman;sans-serif" w:hAnsi="Times New Roman;sans-serif"/>
                <w:b/>
                <w:i/>
                <w:color w:val="000000"/>
                <w:sz w:val="20"/>
                <w:shd w:fill="FFFFFF" w:val="clear"/>
              </w:rPr>
              <w:t>Encompass Advisors</w:t>
            </w:r>
            <w:r>
              <w:rPr>
                <w:color w:val="000000"/>
                <w:shd w:fill="FFFFFF" w:val="clear"/>
              </w:rPr>
              <w:t>”</w:t>
            </w:r>
            <w:r>
              <w:rPr>
                <w:rFonts w:ascii="Times New Roman;sans-serif" w:hAnsi="Times New Roman;sans-serif"/>
                <w:b w:val="false"/>
                <w:color w:val="000000"/>
                <w:sz w:val="20"/>
                <w:shd w:fill="FFFFFF" w:val="clear"/>
              </w:rPr>
              <w:t>) exercises investment discretion, and (ii) 1,344,484 shares of Class A common stock which are held by certain fund entities and managed accounts for which Encompass Capital Partners LLC (“</w:t>
            </w:r>
            <w:r>
              <w:rPr>
                <w:rFonts w:ascii="Times New Roman;sans-serif" w:hAnsi="Times New Roman;sans-serif"/>
                <w:b/>
                <w:i/>
                <w:color w:val="000000"/>
                <w:sz w:val="20"/>
                <w:shd w:fill="FFFFFF" w:val="clear"/>
              </w:rPr>
              <w:t>Encompass Partners</w:t>
            </w:r>
            <w:r>
              <w:rPr>
                <w:color w:val="000000"/>
                <w:shd w:fill="FFFFFF" w:val="clear"/>
              </w:rPr>
              <w:t>”</w:t>
            </w:r>
            <w:r>
              <w:rPr>
                <w:rFonts w:ascii="Times New Roman;sans-serif" w:hAnsi="Times New Roman;sans-serif"/>
                <w:b w:val="false"/>
                <w:color w:val="000000"/>
                <w:sz w:val="20"/>
                <w:shd w:fill="FFFFFF" w:val="clear"/>
              </w:rPr>
              <w:t>)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09"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
        <w:gridCol w:w="125"/>
        <w:gridCol w:w="127"/>
        <w:gridCol w:w="2870"/>
        <w:gridCol w:w="2870"/>
        <w:gridCol w:w="4071"/>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981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Consists of (i) 1,060,088 shares of Class A common stock held by Electron Global Master Fund LP (“</w:t>
            </w:r>
            <w:r>
              <w:rPr>
                <w:rFonts w:ascii="Times New Roman;sans-serif" w:hAnsi="Times New Roman;sans-serif"/>
                <w:b/>
                <w:i/>
                <w:color w:val="000000"/>
                <w:sz w:val="20"/>
              </w:rPr>
              <w:t>EGMF</w:t>
            </w:r>
            <w:r>
              <w:rPr>
                <w:color w:val="000000"/>
              </w:rPr>
              <w:t>”</w:t>
            </w:r>
            <w:r>
              <w:rPr>
                <w:rFonts w:ascii="Times New Roman;sans-serif" w:hAnsi="Times New Roman;sans-serif"/>
                <w:b w:val="false"/>
                <w:color w:val="000000"/>
                <w:sz w:val="20"/>
              </w:rPr>
              <w:t>), (ii) 695,913 shares of Class A common stock held by Electron Infrastructure Master Fund LP (“</w:t>
            </w:r>
            <w:r>
              <w:rPr>
                <w:rFonts w:ascii="Times New Roman;sans-serif" w:hAnsi="Times New Roman;sans-serif"/>
                <w:b/>
                <w:i/>
                <w:color w:val="000000"/>
                <w:sz w:val="20"/>
              </w:rPr>
              <w:t>EIMF</w:t>
            </w:r>
            <w:r>
              <w:rPr>
                <w:color w:val="000000"/>
              </w:rPr>
              <w:t>”</w:t>
            </w:r>
            <w:r>
              <w:rPr>
                <w:rFonts w:ascii="Times New Roman;sans-serif" w:hAnsi="Times New Roman;sans-serif"/>
                <w:b w:val="false"/>
                <w:color w:val="000000"/>
                <w:sz w:val="20"/>
              </w:rPr>
              <w:t>), (iii) 30,628 shares of Class A common stock held by Boothbay Absolute Return Strategies, LP (“BARS”) and (iv) 13,371 shares of Class A common stock held by AGR Trading SPC-Series Segregated Portfolio (“</w:t>
            </w:r>
            <w:r>
              <w:rPr>
                <w:rFonts w:ascii="Times New Roman;sans-serif" w:hAnsi="Times New Roman;sans-serif"/>
                <w:b/>
                <w:i/>
                <w:color w:val="000000"/>
                <w:sz w:val="20"/>
              </w:rPr>
              <w:t>AGR</w:t>
            </w:r>
            <w:r>
              <w:rPr>
                <w:color w:val="000000"/>
              </w:rPr>
              <w:t>”</w:t>
            </w:r>
            <w:r>
              <w:rPr>
                <w:rFonts w:ascii="Times New Roman;sans-serif" w:hAnsi="Times New Roman;sans-serif"/>
                <w:b w:val="false"/>
                <w:color w:val="000000"/>
                <w:sz w:val="20"/>
              </w:rPr>
              <w:t>).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business address of EGMF, EIMG and Mr. Shaver is 10 East 53rd Street, 19th Floor, New York, NY 10022. The business address of BARS is 140 East 45th St., 14th Floor, New York, NY 10017. The business address of AGR is 1350 Avenue of the Americas, Suite 2300, New York, New York 10019.</w:t>
            </w:r>
          </w:p>
        </w:tc>
      </w:tr>
    </w:tbl>
    <w:tbl>
      <w:tblPr>
        <w:tblW w:w="10205" w:type="dxa"/>
        <w:jc w:val="left"/>
        <w:tblInd w:w="0" w:type="dxa"/>
        <w:tblLayout w:type="fixed"/>
        <w:tblCellMar>
          <w:top w:w="28" w:type="dxa"/>
          <w:left w:w="28" w:type="dxa"/>
          <w:bottom w:w="28" w:type="dxa"/>
          <w:right w:w="28" w:type="dxa"/>
        </w:tblCellMar>
      </w:tblPr>
      <w:tblGrid>
        <w:gridCol w:w="152"/>
        <w:gridCol w:w="134"/>
        <w:gridCol w:w="136"/>
        <w:gridCol w:w="2862"/>
        <w:gridCol w:w="2862"/>
        <w:gridCol w:w="405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74 Oxford Street, Winchester, Massachusetts 01890.</w:t>
            </w:r>
          </w:p>
        </w:tc>
      </w:tr>
    </w:tbl>
    <w:tbl>
      <w:tblPr>
        <w:tblW w:w="10205" w:type="dxa"/>
        <w:jc w:val="left"/>
        <w:tblInd w:w="0" w:type="dxa"/>
        <w:tblLayout w:type="fixed"/>
        <w:tblCellMar>
          <w:top w:w="28" w:type="dxa"/>
          <w:left w:w="28" w:type="dxa"/>
          <w:bottom w:w="28" w:type="dxa"/>
          <w:right w:w="28" w:type="dxa"/>
        </w:tblCellMar>
      </w:tblPr>
      <w:tblGrid>
        <w:gridCol w:w="152"/>
        <w:gridCol w:w="134"/>
        <w:gridCol w:w="136"/>
        <w:gridCol w:w="2864"/>
        <w:gridCol w:w="2864"/>
        <w:gridCol w:w="405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52 Ashton Ave, Newton, Massachusetts 02459.</w:t>
            </w:r>
          </w:p>
        </w:tc>
      </w:tr>
    </w:tbl>
    <w:tbl>
      <w:tblPr>
        <w:tblW w:w="10205" w:type="dxa"/>
        <w:jc w:val="left"/>
        <w:tblInd w:w="0" w:type="dxa"/>
        <w:tblLayout w:type="fixed"/>
        <w:tblCellMar>
          <w:top w:w="28" w:type="dxa"/>
          <w:left w:w="28" w:type="dxa"/>
          <w:bottom w:w="28" w:type="dxa"/>
          <w:right w:w="28" w:type="dxa"/>
        </w:tblCellMar>
      </w:tblPr>
      <w:tblGrid>
        <w:gridCol w:w="152"/>
        <w:gridCol w:w="134"/>
        <w:gridCol w:w="136"/>
        <w:gridCol w:w="2865"/>
        <w:gridCol w:w="2865"/>
        <w:gridCol w:w="4053"/>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Sponsor.The address of the Selling Holder is 366 Kent Street, Brookline, Massachusetts 02446.</w:t>
            </w:r>
          </w:p>
        </w:tc>
      </w:tr>
    </w:tbl>
    <w:tbl>
      <w:tblPr>
        <w:tblW w:w="10205" w:type="dxa"/>
        <w:jc w:val="left"/>
        <w:tblInd w:w="0" w:type="dxa"/>
        <w:tblLayout w:type="fixed"/>
        <w:tblCellMar>
          <w:top w:w="28" w:type="dxa"/>
          <w:left w:w="28" w:type="dxa"/>
          <w:bottom w:w="28" w:type="dxa"/>
          <w:right w:w="28" w:type="dxa"/>
        </w:tblCellMar>
      </w:tblPr>
      <w:tblGrid>
        <w:gridCol w:w="152"/>
        <w:gridCol w:w="134"/>
        <w:gridCol w:w="136"/>
        <w:gridCol w:w="2864"/>
        <w:gridCol w:w="2864"/>
        <w:gridCol w:w="405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6 Harborview Lane, Marblehead, Massachusetts 01945.</w:t>
            </w:r>
          </w:p>
        </w:tc>
      </w:tr>
    </w:tbl>
    <w:tbl>
      <w:tblPr>
        <w:tblW w:w="10205" w:type="dxa"/>
        <w:jc w:val="left"/>
        <w:tblInd w:w="0" w:type="dxa"/>
        <w:tblLayout w:type="fixed"/>
        <w:tblCellMar>
          <w:top w:w="28" w:type="dxa"/>
          <w:left w:w="28" w:type="dxa"/>
          <w:bottom w:w="28" w:type="dxa"/>
          <w:right w:w="28" w:type="dxa"/>
        </w:tblCellMar>
      </w:tblPr>
      <w:tblGrid>
        <w:gridCol w:w="152"/>
        <w:gridCol w:w="134"/>
        <w:gridCol w:w="136"/>
        <w:gridCol w:w="2862"/>
        <w:gridCol w:w="2862"/>
        <w:gridCol w:w="405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919 Milam Street, Suite 2400, Houston, Texas 77002.</w:t>
            </w:r>
          </w:p>
        </w:tc>
      </w:tr>
    </w:tbl>
    <w:tbl>
      <w:tblPr>
        <w:tblW w:w="10205" w:type="dxa"/>
        <w:jc w:val="left"/>
        <w:tblInd w:w="0" w:type="dxa"/>
        <w:tblLayout w:type="fixed"/>
        <w:tblCellMar>
          <w:top w:w="28" w:type="dxa"/>
          <w:left w:w="28" w:type="dxa"/>
          <w:bottom w:w="28" w:type="dxa"/>
          <w:right w:w="28" w:type="dxa"/>
        </w:tblCellMar>
      </w:tblPr>
      <w:tblGrid>
        <w:gridCol w:w="151"/>
        <w:gridCol w:w="133"/>
        <w:gridCol w:w="135"/>
        <w:gridCol w:w="2865"/>
        <w:gridCol w:w="2865"/>
        <w:gridCol w:w="4056"/>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566 Commonwealth Ave PH1, Boston, Massachusetts 02215.</w:t>
            </w:r>
          </w:p>
        </w:tc>
      </w:tr>
    </w:tbl>
    <w:tbl>
      <w:tblPr>
        <w:tblW w:w="10205" w:type="dxa"/>
        <w:jc w:val="left"/>
        <w:tblInd w:w="0" w:type="dxa"/>
        <w:tblLayout w:type="fixed"/>
        <w:tblCellMar>
          <w:top w:w="28" w:type="dxa"/>
          <w:left w:w="28" w:type="dxa"/>
          <w:bottom w:w="28" w:type="dxa"/>
          <w:right w:w="28" w:type="dxa"/>
        </w:tblCellMar>
      </w:tblPr>
      <w:tblGrid>
        <w:gridCol w:w="151"/>
        <w:gridCol w:w="133"/>
        <w:gridCol w:w="135"/>
        <w:gridCol w:w="2863"/>
        <w:gridCol w:w="2863"/>
        <w:gridCol w:w="4060"/>
      </w:tblGrid>
      <w:tr>
        <w:trPr/>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9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Does not include any shares that may be deemed to be indirectly owned because of an ownership interest in the Sponsor. The address of the Selling Holder is 7025 Jensen Canyon Road, P.O. Box 918, Teton Village, Wyoming 83025.</w:t>
            </w:r>
          </w:p>
        </w:tc>
      </w:tr>
    </w:tbl>
    <w:tbl>
      <w:tblPr>
        <w:tblW w:w="7934" w:type="dxa"/>
        <w:jc w:val="left"/>
        <w:tblInd w:w="0" w:type="dxa"/>
        <w:tblLayout w:type="fixed"/>
        <w:tblCellMar>
          <w:top w:w="28" w:type="dxa"/>
          <w:left w:w="28" w:type="dxa"/>
          <w:bottom w:w="28" w:type="dxa"/>
          <w:right w:w="28" w:type="dxa"/>
        </w:tblCellMar>
      </w:tblPr>
      <w:tblGrid>
        <w:gridCol w:w="162"/>
        <w:gridCol w:w="143"/>
        <w:gridCol w:w="145"/>
        <w:gridCol w:w="2191"/>
        <w:gridCol w:w="2191"/>
        <w:gridCol w:w="3102"/>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310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address of the Selling Holder is 8582 Katy Freeway, Suite 150, Houston, Texas 77024.</w:t>
            </w:r>
          </w:p>
        </w:tc>
      </w:tr>
    </w:tbl>
    <w:tbl>
      <w:tblPr>
        <w:tblW w:w="9450" w:type="dxa"/>
        <w:jc w:val="left"/>
        <w:tblInd w:w="0" w:type="dxa"/>
        <w:tblLayout w:type="fixed"/>
        <w:tblCellMar>
          <w:top w:w="28" w:type="dxa"/>
          <w:left w:w="28" w:type="dxa"/>
          <w:bottom w:w="28" w:type="dxa"/>
          <w:right w:w="28" w:type="dxa"/>
        </w:tblCellMar>
      </w:tblPr>
      <w:tblGrid>
        <w:gridCol w:w="162"/>
        <w:gridCol w:w="143"/>
        <w:gridCol w:w="145"/>
        <w:gridCol w:w="2637"/>
        <w:gridCol w:w="2637"/>
        <w:gridCol w:w="372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The address of the Selling Holder is Ideation House, 94 Pitts Bay Road, 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Floor, Pembroke HM08, Bermuda.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pPr>
      <w:r>
        <w:rPr>
          <w:rFonts w:ascii="Times New Roman;sans-serif" w:hAnsi="Times New Roman;sans-serif"/>
          <w:b w:val="false"/>
          <w:color w:val="000000"/>
          <w:sz w:val="20"/>
        </w:rPr>
        <w:t>OPAL Fuels LLC (“</w:t>
      </w:r>
      <w:r>
        <w:rPr>
          <w:rFonts w:ascii="Times New Roman;sans-serif" w:hAnsi="Times New Roman;sans-serif"/>
          <w:b/>
          <w:i/>
          <w:color w:val="000000"/>
          <w:sz w:val="20"/>
        </w:rPr>
        <w:t>Opco</w:t>
      </w:r>
      <w:r>
        <w:rPr>
          <w:color w:val="000000"/>
        </w:rPr>
        <w:t>”</w:t>
      </w:r>
      <w:r>
        <w:rPr>
          <w:rFonts w:ascii="Times New Roman;sans-serif" w:hAnsi="Times New Roman;sans-serif"/>
          <w:b w:val="false"/>
          <w:color w:val="000000"/>
          <w:sz w:val="20"/>
        </w:rPr>
        <w:t>) has entered into a Master Services Agreement with CoStar Partners LLC (“</w:t>
      </w:r>
      <w:r>
        <w:rPr>
          <w:rFonts w:ascii="Times New Roman;sans-serif" w:hAnsi="Times New Roman;sans-serif"/>
          <w:b/>
          <w:i/>
          <w:color w:val="000000"/>
          <w:sz w:val="20"/>
        </w:rPr>
        <w:t>CoStar</w:t>
      </w:r>
      <w:r>
        <w:rPr>
          <w:color w:val="000000"/>
        </w:rPr>
        <w:t>”</w:t>
      </w:r>
      <w:r>
        <w:rPr>
          <w:rFonts w:ascii="Times New Roman;sans-serif" w:hAnsi="Times New Roman;sans-serif"/>
          <w:b w:val="false"/>
          <w:color w:val="000000"/>
          <w:sz w:val="20"/>
        </w:rPr>
        <w:t xml:space="preserve">).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0"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2020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Opco has entered into an Administrative Services Agreement with Fortistar Services 2 LLC (“</w:t>
      </w:r>
      <w:r>
        <w:rPr>
          <w:rFonts w:ascii="Times New Roman;sans-serif" w:hAnsi="Times New Roman;sans-serif"/>
          <w:b/>
          <w:i/>
          <w:color w:val="000000"/>
          <w:sz w:val="20"/>
        </w:rPr>
        <w:t>FS2</w:t>
      </w:r>
      <w:r>
        <w:rPr>
          <w:color w:val="000000"/>
        </w:rPr>
        <w:t>”</w:t>
      </w:r>
      <w:r>
        <w:rPr>
          <w:rFonts w:ascii="Times New Roman;sans-serif" w:hAnsi="Times New Roman;sans-serif"/>
          <w:b w:val="false"/>
          <w:color w:val="000000"/>
          <w:sz w:val="20"/>
        </w:rPr>
        <w:t>).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and Hold Harmless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July 31, 2022, as none of the conditions upon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Fortistar would be required to perform on behalf of Opco under the indemnification and hold harmless agreement existed as of the date hereof.</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Flue Gas Offtake and Preferred Partner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Opco has entered into an agreement with CarbonFree Chemical Holdings, LLC (“</w:t>
      </w:r>
      <w:r>
        <w:rPr>
          <w:rFonts w:ascii="Times New Roman;sans-serif" w:hAnsi="Times New Roman;sans-serif"/>
          <w:b/>
          <w:i/>
          <w:color w:val="000000"/>
          <w:sz w:val="20"/>
        </w:rPr>
        <w:t>CarbonFree</w:t>
      </w:r>
      <w:r>
        <w:rPr>
          <w:color w:val="000000"/>
        </w:rPr>
        <w:t>”</w:t>
      </w:r>
      <w:r>
        <w:rPr>
          <w:rFonts w:ascii="Times New Roman;sans-serif" w:hAnsi="Times New Roman;sans-serif"/>
          <w:b w:val="false"/>
          <w:color w:val="000000"/>
          <w:sz w:val="20"/>
        </w:rPr>
        <w:t>),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w:t>
      </w:r>
      <w:r>
        <w:rPr>
          <w:color w:val="000000"/>
        </w:rPr>
        <w:t xml:space="preserve">₂ </w:t>
      </w:r>
      <w:r>
        <w:rPr>
          <w:rFonts w:ascii="Times New Roman;sans-serif" w:hAnsi="Times New Roman;sans-serif"/>
          <w:b w:val="false"/>
          <w:color w:val="000000"/>
          <w:sz w:val="20"/>
        </w:rPr>
        <w:t>from the flue gases produced by the adjacent Opco RNG production facility, transforming it into solid carbonate materials.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December 11, 2020, Hillman, Hillman Power Company LLC (“</w:t>
      </w:r>
      <w:r>
        <w:rPr>
          <w:rFonts w:ascii="Times New Roman;sans-serif" w:hAnsi="Times New Roman;sans-serif"/>
          <w:b/>
          <w:i/>
          <w:color w:val="000000"/>
          <w:sz w:val="20"/>
        </w:rPr>
        <w:t>Hillman Power</w:t>
      </w:r>
      <w:r>
        <w:rPr>
          <w:color w:val="000000"/>
        </w:rPr>
        <w:t>”</w:t>
      </w:r>
      <w:r>
        <w:rPr>
          <w:rFonts w:ascii="Times New Roman;sans-serif" w:hAnsi="Times New Roman;sans-serif"/>
          <w:b w:val="false"/>
          <w:color w:val="000000"/>
          <w:sz w:val="20"/>
        </w:rPr>
        <w:t>), and Customers Bank, among others, entered into a Loan and Guaranty Agreement (the “</w:t>
      </w:r>
      <w:r>
        <w:rPr>
          <w:rFonts w:ascii="Times New Roman;sans-serif" w:hAnsi="Times New Roman;sans-serif"/>
          <w:b/>
          <w:i/>
          <w:color w:val="000000"/>
          <w:sz w:val="20"/>
        </w:rPr>
        <w:t>Customers Loan Agreement</w:t>
      </w:r>
      <w:r>
        <w:rPr>
          <w:color w:val="000000"/>
        </w:rPr>
        <w:t>”</w:t>
      </w:r>
      <w:r>
        <w:rPr>
          <w:rFonts w:ascii="Times New Roman;sans-serif" w:hAnsi="Times New Roman;sans-serif"/>
          <w:b w:val="false"/>
          <w:color w:val="000000"/>
          <w:sz w:val="20"/>
        </w:rPr>
        <w: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w:t>
      </w:r>
      <w:r>
        <w:rPr>
          <w:rFonts w:ascii="Times New Roman;sans-serif" w:hAnsi="Times New Roman;sans-serif"/>
          <w:b/>
          <w:i/>
          <w:color w:val="000000"/>
          <w:sz w:val="20"/>
        </w:rPr>
        <w:t>Pledged Membership Interests</w:t>
      </w:r>
      <w:r>
        <w:rPr>
          <w:color w:val="000000"/>
        </w:rPr>
        <w:t>”</w:t>
      </w:r>
      <w:r>
        <w:rPr>
          <w:rFonts w:ascii="Times New Roman;sans-serif" w:hAnsi="Times New Roman;sans-serif"/>
          <w:b w:val="false"/>
          <w:color w:val="000000"/>
          <w:sz w:val="20"/>
        </w:rPr>
        <w: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w:t>
      </w:r>
      <w:r>
        <w:rPr>
          <w:rFonts w:ascii="Times New Roman;sans-serif" w:hAnsi="Times New Roman;sans-serif"/>
          <w:b/>
          <w:i/>
          <w:color w:val="000000"/>
          <w:sz w:val="20"/>
        </w:rPr>
        <w:t>OPAL Fuels Membership Interests</w:t>
      </w:r>
      <w:r>
        <w:rPr>
          <w:color w:val="000000"/>
        </w:rPr>
        <w:t>”</w:t>
      </w:r>
      <w:r>
        <w:rPr>
          <w:rFonts w:ascii="Times New Roman;sans-serif" w:hAnsi="Times New Roman;sans-serif"/>
          <w:b w:val="false"/>
          <w:color w:val="000000"/>
          <w:sz w:val="20"/>
        </w:rPr>
        <w:t xml:space="preserve">) consisting of (i) 14 Common Units (representing 1.4% of the current outstanding common membership interests in Opco) and (ii) 300,000 Series A-1 Preferred Units of Opco,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0"/>
        </w:rPr>
        <w:t>which are redeemable after four years at the option of Hillman for an aggregate redemption price of $30,000,000, plus accrued and unpaid dividends thereon (collectively, the “</w:t>
      </w:r>
      <w:r>
        <w:rPr>
          <w:rFonts w:ascii="Times New Roman;sans-serif" w:hAnsi="Times New Roman;sans-serif"/>
          <w:b/>
          <w:i/>
          <w:color w:val="000000"/>
          <w:sz w:val="20"/>
        </w:rPr>
        <w:t>Exchange</w:t>
      </w:r>
      <w:r>
        <w:rPr>
          <w:color w:val="000000"/>
        </w:rPr>
        <w:t>”</w:t>
      </w:r>
      <w:r>
        <w:rPr>
          <w:rFonts w:ascii="Times New Roman;sans-serif" w:hAnsi="Times New Roman;sans-serif"/>
          <w:b w:val="false"/>
          <w:color w:val="000000"/>
          <w:sz w:val="20"/>
        </w:rPr>
        <w: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w:t>
      </w:r>
      <w:r>
        <w:rPr>
          <w:rFonts w:ascii="Times New Roman;sans-serif" w:hAnsi="Times New Roman;sans-serif"/>
          <w:b/>
          <w:i/>
          <w:color w:val="000000"/>
          <w:sz w:val="20"/>
        </w:rPr>
        <w:t>Limited Consent</w:t>
      </w:r>
      <w:r>
        <w:rPr>
          <w:color w:val="000000"/>
        </w:rPr>
        <w:t>”</w:t>
      </w:r>
      <w:r>
        <w:rPr>
          <w:rFonts w:ascii="Times New Roman;sans-serif" w:hAnsi="Times New Roman;sans-serif"/>
          <w:b w:val="false"/>
          <w:color w:val="000000"/>
          <w:sz w:val="20"/>
        </w:rPr>
        <w:t>) pursuant to which Customers Bank consented to the Exchange, amended the Customers Loan</w:t>
      </w:r>
      <w:r>
        <w:rPr>
          <w:color w:val="000000"/>
        </w:rPr>
        <w:t> </w:t>
      </w:r>
      <w:r>
        <w:rPr>
          <w:rFonts w:ascii="Times New Roman;sans-serif" w:hAnsi="Times New Roman;sans-serif"/>
          <w:b w:val="false"/>
          <w:color w:val="000000"/>
          <w:sz w:val="20"/>
        </w:rPr>
        <w:t>Agreement and released its security interest in the Pledged Membership Interests (the “</w:t>
      </w:r>
      <w:r>
        <w:rPr>
          <w:rFonts w:ascii="Times New Roman;sans-serif" w:hAnsi="Times New Roman;sans-serif"/>
          <w:b/>
          <w:i/>
          <w:color w:val="000000"/>
          <w:sz w:val="20"/>
        </w:rPr>
        <w:t>Lien</w:t>
      </w:r>
      <w:r>
        <w:rPr>
          <w:color w:val="000000"/>
        </w:rPr>
        <w:t>”</w:t>
      </w:r>
      <w:r>
        <w:rPr>
          <w:rFonts w:ascii="Times New Roman;sans-serif" w:hAnsi="Times New Roman;sans-serif"/>
          <w:b w:val="false"/>
          <w:color w:val="000000"/>
          <w:sz w:val="20"/>
        </w:rPr>
        <w:t>).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Opco Reorganization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w:t>
      </w:r>
      <w:r>
        <w:rPr>
          <w:rFonts w:ascii="Times New Roman;sans-serif" w:hAnsi="Times New Roman;sans-serif"/>
          <w:b/>
          <w:i/>
          <w:color w:val="000000"/>
          <w:sz w:val="20"/>
        </w:rPr>
        <w:t>Opco Reorganized Entities</w:t>
      </w:r>
      <w:r>
        <w:rPr>
          <w:color w:val="000000"/>
        </w:rPr>
        <w:t>”</w:t>
      </w:r>
      <w:r>
        <w:rPr>
          <w:rFonts w:ascii="Times New Roman;sans-serif" w:hAnsi="Times New Roman;sans-serif"/>
          <w:b w:val="false"/>
          <w:color w:val="000000"/>
          <w:sz w:val="20"/>
        </w:rPr>
        <w:t>) contributed and assigned their equity ownership interests in these Opco Reorganized Entities (and, correspondingly, the subsidiary interests of each of these entities) to OPAL Holdco and, ultimately, Opco, resulting in the current organizational structure of Opco and its subsidiaries (the “</w:t>
      </w:r>
      <w:r>
        <w:rPr>
          <w:rFonts w:ascii="Times New Roman;sans-serif" w:hAnsi="Times New Roman;sans-serif"/>
          <w:b/>
          <w:i/>
          <w:color w:val="000000"/>
          <w:sz w:val="20"/>
        </w:rPr>
        <w:t>Opco Fuels Reorganization</w:t>
      </w:r>
      <w:r>
        <w:rPr>
          <w:color w:val="000000"/>
        </w:rPr>
        <w:t>”</w:t>
      </w:r>
      <w:r>
        <w:rPr>
          <w:rFonts w:ascii="Times New Roman;sans-serif" w:hAnsi="Times New Roman;sans-serif"/>
          <w:b w:val="false"/>
          <w:color w:val="000000"/>
          <w:sz w:val="20"/>
        </w:rPr>
        <w:t>).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Transactions with NextEra</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Issuance of redeemable preferred non-controlling interests</w:t>
      </w:r>
    </w:p>
    <w:p>
      <w:pPr>
        <w:pStyle w:val="TextBody"/>
        <w:bidi w:val="0"/>
        <w:spacing w:before="0" w:after="0"/>
        <w:jc w:val="left"/>
        <w:rPr/>
      </w:pPr>
      <w:r>
        <w:rPr/>
      </w:r>
    </w:p>
    <w:p>
      <w:pPr>
        <w:pStyle w:val="TextBody"/>
        <w:bidi w:val="0"/>
        <w:spacing w:lineRule="auto" w:line="240" w:before="0" w:after="0"/>
        <w:ind w:left="0" w:right="0" w:firstLine="480"/>
        <w:jc w:val="both"/>
        <w:rPr/>
      </w:pPr>
      <w:r>
        <w:rPr>
          <w:rFonts w:ascii="Times New Roman;sans-serif" w:hAnsi="Times New Roman;sans-serif"/>
          <w:b w:val="false"/>
          <w:color w:val="000000"/>
          <w:sz w:val="20"/>
          <w:shd w:fill="FFFFFF" w:val="clear"/>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shd w:fill="FFFFFF" w:val="clear"/>
        </w:rPr>
        <w:t>Redeemable non-controlling interests</w:t>
      </w:r>
      <w:r>
        <w:rPr>
          <w:rFonts w:ascii="Times New Roman;sans-serif" w:hAnsi="Times New Roman;sans-serif"/>
          <w:b w:val="false"/>
          <w:color w:val="000000"/>
          <w:sz w:val="20"/>
          <w:shd w:fill="FFFFFF" w:val="clear"/>
        </w:rPr>
        <w:t>, Redeemable preferred non-controlling interests and Stockholders' Equity, for additional information.</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and sale agreement for environmental attributes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3"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40" w:before="0" w:after="0"/>
        <w:ind w:left="0" w:right="0" w:firstLine="360"/>
        <w:jc w:val="both"/>
        <w:rPr/>
      </w:pPr>
      <w:r>
        <w:rPr>
          <w:rFonts w:ascii="Times New Roman;sans-serif" w:hAnsi="Times New Roman;sans-serif"/>
          <w:b w:val="false"/>
          <w:color w:val="000000"/>
          <w:sz w:val="20"/>
          <w:shd w:fill="FFFFFF" w:val="clear"/>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shd w:fill="FFFFFF" w:val="clear"/>
        </w:rPr>
        <w:t>Summary of significant accounting policies</w:t>
      </w:r>
      <w:r>
        <w:rPr>
          <w:color w:val="000000"/>
          <w:shd w:fill="FFFFFF" w:val="clear"/>
        </w:rPr>
        <w:t xml:space="preserve"> </w:t>
      </w:r>
      <w:r>
        <w:rPr>
          <w:rFonts w:ascii="Times New Roman;sans-serif" w:hAnsi="Times New Roman;sans-serif"/>
          <w:b w:val="false"/>
          <w:color w:val="000000"/>
          <w:sz w:val="20"/>
          <w:shd w:fill="FFFFFF" w:val="clear"/>
        </w:rPr>
        <w:t>for additional information.</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Commodity swap contracts under ISDA</w:t>
      </w:r>
    </w:p>
    <w:p>
      <w:pPr>
        <w:pStyle w:val="TextBody"/>
        <w:bidi w:val="0"/>
        <w:spacing w:before="0" w:after="0"/>
        <w:jc w:val="left"/>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shd w:fill="FFFFFF" w:val="clear"/>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shd w:fill="FFFFFF" w:val="clear"/>
        </w:rPr>
        <w:t>Derivative instruments</w:t>
      </w:r>
      <w:r>
        <w:rPr>
          <w:color w:val="000000"/>
          <w:shd w:fill="FFFFFF" w:val="clear"/>
        </w:rPr>
        <w:t xml:space="preserve"> </w:t>
      </w:r>
      <w:r>
        <w:rPr>
          <w:rFonts w:ascii="Times New Roman;sans-serif" w:hAnsi="Times New Roman;sans-serif"/>
          <w:b w:val="false"/>
          <w:color w:val="000000"/>
          <w:sz w:val="20"/>
          <w:shd w:fill="FFFFFF" w:val="clear"/>
        </w:rPr>
        <w:t>and Fair value measurements for additional information. The Company recorded $5,495 and $2,885 as revenues earned under the commodity swap contracts.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Issuance of shares of Class A common stock for PIPE investment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0"/>
          <w:shd w:fill="FFFFFF" w:val="clear"/>
        </w:rPr>
        <w:t xml:space="preserve">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shd w:fill="FFFFFF" w:val="clear"/>
        </w:rPr>
        <w:t>Business Combination</w:t>
      </w:r>
      <w:r>
        <w:rPr>
          <w:rFonts w:ascii="Times New Roman;sans-serif" w:hAnsi="Times New Roman;sans-serif"/>
          <w:b w:val="false"/>
          <w:color w:val="000000"/>
          <w:sz w:val="20"/>
          <w:shd w:fill="FFFFFF" w:val="clear"/>
        </w:rPr>
        <w:t>, for additional information.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PIPE Investors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Investor Rights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At the Closing, Opco, Ares, Hillman and the Class B Shareholders (collectively the “</w:t>
      </w:r>
      <w:r>
        <w:rPr>
          <w:rFonts w:ascii="Times New Roman;sans-serif" w:hAnsi="Times New Roman;sans-serif"/>
          <w:b/>
          <w:i/>
          <w:color w:val="000000"/>
          <w:sz w:val="20"/>
        </w:rPr>
        <w:t>OPAL Holders</w:t>
      </w:r>
      <w:r>
        <w:rPr>
          <w:color w:val="000000"/>
        </w:rPr>
        <w:t>”</w:t>
      </w:r>
      <w:r>
        <w:rPr>
          <w:rFonts w:ascii="Times New Roman;sans-serif" w:hAnsi="Times New Roman;sans-serif"/>
          <w:b w:val="false"/>
          <w:color w:val="000000"/>
          <w:sz w:val="20"/>
        </w:rPr>
        <w:t>)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we entered into the Tax Receivable Agreement with the TRA Participants, pursuant to which we are required to pay to the Opco Common Equityholders,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made under the Tax Receivable Agreement treated as imputed interest. The payment obligations under the Tax Receivable Agreement are our obligations and not obligations of Opco.</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21945"/>
                <wp:effectExtent l="0" t="0" r="0" b="0"/>
                <wp:wrapNone/>
                <wp:docPr id="114"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It is more likely than not that the deferred tax assets will not be realized in accordance with ASC Topic 740, ‘Income Taxes’ (“</w:t>
      </w:r>
      <w:r>
        <w:rPr>
          <w:rFonts w:ascii="Times New Roman;sans-serif" w:hAnsi="Times New Roman;sans-serif"/>
          <w:b/>
          <w:i/>
          <w:color w:val="000000"/>
          <w:sz w:val="20"/>
        </w:rPr>
        <w:t>ASC 740</w:t>
      </w:r>
      <w:r>
        <w:rPr>
          <w:color w:val="000000"/>
        </w:rPr>
        <w:t>”</w:t>
      </w:r>
      <w:r>
        <w:rPr>
          <w:rFonts w:ascii="Times New Roman;sans-serif" w:hAnsi="Times New Roman;sans-serif"/>
          <w:b w:val="false"/>
          <w:color w:val="000000"/>
          <w:sz w:val="20"/>
        </w:rPr>
        <w:t>).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our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On July 21, 2022, OPAL entered into certain Indemnification Agreements (“</w:t>
      </w:r>
      <w:r>
        <w:rPr>
          <w:rFonts w:ascii="Times New Roman;sans-serif" w:hAnsi="Times New Roman;sans-serif"/>
          <w:b/>
          <w:i/>
          <w:color w:val="000000"/>
          <w:sz w:val="20"/>
        </w:rPr>
        <w:t>Indemnification Agreements</w:t>
      </w:r>
      <w:r>
        <w:rPr>
          <w:color w:val="000000"/>
        </w:rPr>
        <w:t>”</w:t>
      </w:r>
      <w:r>
        <w:rPr>
          <w:rFonts w:ascii="Times New Roman;sans-serif" w:hAnsi="Times New Roman;sans-serif"/>
          <w:b w:val="false"/>
          <w:color w:val="000000"/>
          <w:sz w:val="20"/>
        </w:rPr>
        <w:t>)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bidi w:val="0"/>
        <w:spacing w:lineRule="auto" w:line="240"/>
        <w:ind w:left="0" w:right="0" w:firstLine="36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1945"/>
                <wp:effectExtent l="0" t="0" r="0" b="0"/>
                <wp:wrapNone/>
                <wp:docPr id="115"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received less than $6,800,000 in cash upon the release of the escrow fund established pursuant to the Forward Purchase Agreement (such shortfall amount being referred to as the “Shortfall Amount”), Sponsor would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Pursuant to the letter agreement, Sponsor has forfeited an aggregate of 197,258 Shares held by the Sponsor. The forfeiture of Shares was effected on January 26,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 FEDERAL INCOME TAX CONSIDERATIONS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The following is a discussion of certain material U.S. federal income tax consequences of the acquisition, ownership and disposition of our Class A common stock. This discussion is limited to certain U.S. federal income tax considerations to beneficial owners of our Class A common stock that will hold our Class A common stock as capital assets within the meaning of Section 1221 of the U.S. Internal Revenue Code of 1986, as amended (the “</w:t>
      </w:r>
      <w:r>
        <w:rPr>
          <w:rFonts w:ascii="Times New Roman;sans-serif" w:hAnsi="Times New Roman;sans-serif"/>
          <w:b/>
          <w:i/>
          <w:color w:val="000000"/>
          <w:sz w:val="20"/>
        </w:rPr>
        <w:t>Code</w:t>
      </w:r>
      <w:r>
        <w:rPr>
          <w:color w:val="000000"/>
        </w:rPr>
        <w:t>”</w:t>
      </w:r>
      <w:r>
        <w:rPr>
          <w:rFonts w:ascii="Times New Roman;sans-serif" w:hAnsi="Times New Roman;sans-serif"/>
          <w:b w:val="false"/>
          <w:color w:val="000000"/>
          <w:sz w:val="20"/>
        </w:rPr>
        <w:t>). This discussion assumes that any distributions made by us on our Class A common stock and any consideration received by a holder in consideration for the sale or other disposition of our Class A common stock will be in U.S. dollars.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is based upon U.S. federal income tax laws as of the date of this registration statement, which is subject to change or differing interpretation, possibly with retroactive effect. This discussion is a summary only and does not describe all of the tax consequences that may be relevant to you in light of your particular circumstances. In particular, this discussion does not address the effects of the alternative minimum tax, the Medicare tax on certain net investment income, the effects of Section 451 of the Code, or the different consequences that may apply if you are subject to special rules that apply to certain types of investors, including but not limited to:</w:t>
      </w:r>
    </w:p>
    <w:p>
      <w:pPr>
        <w:pStyle w:val="TextBody"/>
        <w:bidi w:val="0"/>
        <w:spacing w:lineRule="auto" w:line="240" w:before="0" w:after="0"/>
        <w:jc w:val="left"/>
        <w:rPr>
          <w:color w:val="000000"/>
        </w:rPr>
      </w:pPr>
      <w:r>
        <w:rPr>
          <w:color w:val="000000"/>
        </w:rPr>
        <w:t> </w:t>
      </w:r>
    </w:p>
    <w:tbl>
      <w:tblPr>
        <w:tblW w:w="545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99"/>
        <w:gridCol w:w="1399"/>
        <w:gridCol w:w="19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banks, financial institutions or financial services entities;</w:t>
            </w:r>
          </w:p>
        </w:tc>
      </w:tr>
    </w:tbl>
    <w:p>
      <w:pPr>
        <w:pStyle w:val="TextBody"/>
        <w:bidi w:val="0"/>
        <w:spacing w:lineRule="auto" w:line="240" w:before="0" w:after="0"/>
        <w:jc w:val="left"/>
        <w:rPr>
          <w:color w:val="000000"/>
        </w:rPr>
      </w:pPr>
      <w:r>
        <w:rPr>
          <w:color w:val="000000"/>
        </w:rPr>
        <w:t> </w:t>
      </w:r>
    </w:p>
    <w:tbl>
      <w:tblPr>
        <w:tblW w:w="20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9"/>
        <w:gridCol w:w="399"/>
        <w:gridCol w:w="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broker-dealers;</w:t>
            </w:r>
          </w:p>
        </w:tc>
      </w:tr>
    </w:tbl>
    <w:p>
      <w:pPr>
        <w:pStyle w:val="TextBody"/>
        <w:bidi w:val="0"/>
        <w:spacing w:lineRule="auto" w:line="240" w:before="0" w:after="0"/>
        <w:jc w:val="left"/>
        <w:rPr>
          <w:color w:val="000000"/>
        </w:rPr>
      </w:pPr>
      <w:r>
        <w:rPr>
          <w:color w:val="000000"/>
        </w:rPr>
        <w:t> </w:t>
      </w:r>
    </w:p>
    <w:tbl>
      <w:tblPr>
        <w:tblW w:w="51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05"/>
        <w:gridCol w:w="1305"/>
        <w:gridCol w:w="1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or agencies or instrumentalities thereof;</w:t>
            </w:r>
          </w:p>
        </w:tc>
      </w:tr>
    </w:tbl>
    <w:p>
      <w:pPr>
        <w:pStyle w:val="TextBody"/>
        <w:bidi w:val="0"/>
        <w:spacing w:lineRule="auto" w:line="240" w:before="0" w:after="0"/>
        <w:jc w:val="left"/>
        <w:rPr>
          <w:color w:val="000000"/>
        </w:rPr>
      </w:pPr>
      <w:r>
        <w:rPr>
          <w:color w:val="000000"/>
        </w:rPr>
        <w:t> </w:t>
      </w:r>
    </w:p>
    <w:tbl>
      <w:tblPr>
        <w:tblW w:w="35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28"/>
        <w:gridCol w:w="828"/>
        <w:gridCol w:w="11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companies;</w:t>
            </w:r>
          </w:p>
        </w:tc>
      </w:tr>
    </w:tbl>
    <w:p>
      <w:pPr>
        <w:pStyle w:val="TextBody"/>
        <w:bidi w:val="0"/>
        <w:spacing w:lineRule="auto" w:line="240" w:before="0" w:after="0"/>
        <w:jc w:val="left"/>
        <w:rPr>
          <w:color w:val="000000"/>
        </w:rPr>
      </w:pPr>
      <w:r>
        <w:rPr>
          <w:color w:val="000000"/>
        </w:rPr>
        <w:t> </w:t>
      </w:r>
    </w:p>
    <w:tbl>
      <w:tblPr>
        <w:tblW w:w="31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14"/>
        <w:gridCol w:w="714"/>
        <w:gridCol w:w="10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investment trusts;</w:t>
            </w:r>
          </w:p>
        </w:tc>
      </w:tr>
    </w:tbl>
    <w:p>
      <w:pPr>
        <w:pStyle w:val="TextBody"/>
        <w:bidi w:val="0"/>
        <w:spacing w:lineRule="auto" w:line="240" w:before="0" w:after="0"/>
        <w:jc w:val="left"/>
        <w:rPr>
          <w:color w:val="000000"/>
        </w:rPr>
      </w:pPr>
      <w:r>
        <w:rPr>
          <w:color w:val="000000"/>
        </w:rPr>
        <w:t> </w:t>
      </w:r>
    </w:p>
    <w:tbl>
      <w:tblPr>
        <w:tblW w:w="7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64"/>
        <w:gridCol w:w="1864"/>
        <w:gridCol w:w="2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expatriates or former citizens or long-term residents of the United States;</w:t>
            </w:r>
          </w:p>
        </w:tc>
      </w:tr>
    </w:tbl>
    <w:p>
      <w:pPr>
        <w:pStyle w:val="TextBody"/>
        <w:bidi w:val="0"/>
        <w:spacing w:lineRule="auto" w:line="240" w:before="0" w:after="0"/>
        <w:jc w:val="left"/>
        <w:rPr>
          <w:color w:val="000000"/>
        </w:rPr>
      </w:pPr>
      <w:r>
        <w:rPr>
          <w:color w:val="000000"/>
        </w:rPr>
        <w:t> </w:t>
      </w:r>
    </w:p>
    <w:tbl>
      <w:tblPr>
        <w:tblW w:w="85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0"/>
        <w:gridCol w:w="2320"/>
        <w:gridCol w:w="32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actually or constructively own five percent or more (by vote or value) of our shares;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that acquired our Class A common stock pursuant to an exercise of employee share options, in connection with employee share incentive plans or otherwise as compensation;</w:t>
            </w:r>
          </w:p>
        </w:tc>
      </w:tr>
    </w:tbl>
    <w:p>
      <w:pPr>
        <w:pStyle w:val="TextBody"/>
        <w:bidi w:val="0"/>
        <w:spacing w:lineRule="auto" w:line="240" w:before="0" w:after="0"/>
        <w:jc w:val="left"/>
        <w:rPr>
          <w:color w:val="000000"/>
        </w:rPr>
      </w:pPr>
      <w:r>
        <w:rPr>
          <w:color w:val="000000"/>
        </w:rPr>
        <w:t> </w:t>
      </w:r>
    </w:p>
    <w:tbl>
      <w:tblPr>
        <w:tblW w:w="25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8"/>
        <w:gridCol w:w="558"/>
        <w:gridCol w:w="7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companies;</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dealers or traders subject to a mark-to-market method of accounting with respect to our Class A common stock;</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holding our common stock as part of a “straddle,” constructive sale, hedge, conversion or other integrated or similar transaction;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1945"/>
                <wp:effectExtent l="0" t="0" r="0" b="0"/>
                <wp:wrapNone/>
                <wp:docPr id="116"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40" w:before="0" w:after="0"/>
        <w:jc w:val="left"/>
        <w:rPr>
          <w:color w:val="000000"/>
        </w:rPr>
      </w:pPr>
      <w:r>
        <w:rPr>
          <w:color w:val="000000"/>
        </w:rPr>
        <w:t> </w:t>
      </w:r>
    </w:p>
    <w:tbl>
      <w:tblPr>
        <w:tblW w:w="72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31"/>
        <w:gridCol w:w="1931"/>
        <w:gridCol w:w="2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holders (as defined below) whose functional currency is not the U.S. dollar;</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partnerships (or entities or arrangements classified as partnerships or other pass-through entities for U.S. federal income tax purposes) and any beneficial owners of such entities or arrangements;</w:t>
            </w:r>
          </w:p>
        </w:tc>
      </w:tr>
    </w:tbl>
    <w:p>
      <w:pPr>
        <w:pStyle w:val="TextBody"/>
        <w:bidi w:val="0"/>
        <w:spacing w:lineRule="auto" w:line="240" w:before="0" w:after="0"/>
        <w:jc w:val="left"/>
        <w:rPr>
          <w:color w:val="000000"/>
        </w:rPr>
      </w:pPr>
      <w:r>
        <w:rPr>
          <w:color w:val="000000"/>
        </w:rPr>
        <w:t> </w:t>
      </w:r>
    </w:p>
    <w:tbl>
      <w:tblPr>
        <w:tblW w:w="24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18"/>
        <w:gridCol w:w="518"/>
        <w:gridCol w:w="7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tax-exempt entities;</w:t>
            </w:r>
          </w:p>
        </w:tc>
      </w:tr>
    </w:tbl>
    <w:p>
      <w:pPr>
        <w:pStyle w:val="TextBody"/>
        <w:bidi w:val="0"/>
        <w:spacing w:lineRule="auto" w:line="240" w:before="0" w:after="0"/>
        <w:jc w:val="left"/>
        <w:rPr>
          <w:color w:val="000000"/>
        </w:rPr>
      </w:pPr>
      <w:r>
        <w:rPr>
          <w:color w:val="000000"/>
        </w:rPr>
        <w:t> </w:t>
      </w:r>
    </w:p>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3"/>
        <w:gridCol w:w="903"/>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controlled foreign corporations; and</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passive foreign investment companies and other corporations that accumulate earnings to avoid U.S. federal income tax.</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partnership (including an entity or arrangement treated as a partnership or other pass-through entity for U.S. federal income tax purposes) holds our Class A common stock, the tax treatment of a partner, member or other beneficial owner in such entity will generally depend upon the status of the partner, member or other beneficial owner, the activities of the entity, and certain determinations made at the partner, member or other beneficial owner level. If you are a partner, member or other beneficial owner of a partnership (or other pass-through entity) that holds our Class A common stock, you are urged to consult your own tax advisor regarding the tax consequences of the acquisition, ownership and disposition of our Class A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registration statement may affect the tax consequences described herein. This discussion does not address any aspect of state, local or non-U.S. taxation, or any U.S. federal taxes other than income taxes (such as gift and estate taxes).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We have not sought, and do not expect to seek, a ruling from the U.S. Internal Revenue Service (the “</w:t>
      </w:r>
      <w:r>
        <w:rPr>
          <w:rFonts w:ascii="Times New Roman;sans-serif" w:hAnsi="Times New Roman;sans-serif"/>
          <w:b/>
          <w:i/>
          <w:color w:val="000000"/>
          <w:sz w:val="20"/>
        </w:rPr>
        <w:t>IRS</w:t>
      </w:r>
      <w:r>
        <w:rPr>
          <w:color w:val="000000"/>
        </w:rPr>
        <w:t>”</w:t>
      </w:r>
      <w:r>
        <w:rPr>
          <w:rFonts w:ascii="Times New Roman;sans-serif" w:hAnsi="Times New Roman;sans-serif"/>
          <w:b w:val="false"/>
          <w:color w:val="000000"/>
          <w:sz w:val="20"/>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own tax advisor with respect to the application of U.S. federal tax laws to your particular situation, as well as any tax consequences arising under the laws of any state, local or non-U.S. jurisdiction.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ONLY A SUMMARY OF CERTAIN U.S. FEDERAL INCOME TAX CONSIDERATIONS ASSOCIATED WITH THE ACQUISITION, OWNERSHIP AND DISPOSITION OF OUR CLASS A COMMON STOCK. EACH PROSPECTIVE INVESTOR IN OUR CLASS A COMMON STOCK IS URGED TO CONSULT ITS OWN TAX ADVISOR WITH RESPECT TO THE PARTICULAR TAX CONSEQUENCES TO SUCH INVESTOR OF THE ACQUISITION, OWNERSHIP AND DISPOSITION OF OUR CLASS A COMMON STOCK, INCLUDING THE APPLICABILITY AND EFFECT OF ANY U.S. FEDERAL NON-INCOME, STATE, LOCAL, AND NON-U.S. TAX LAWS.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“U.S. holder.” A U.S. holder is a beneficial owner of our shares of Class A common stock that is, for U.S. federal income tax purposes:</w:t>
      </w:r>
    </w:p>
    <w:p>
      <w:pPr>
        <w:pStyle w:val="TextBody"/>
        <w:bidi w:val="0"/>
        <w:spacing w:lineRule="auto" w:line="240" w:before="0" w:after="0"/>
        <w:jc w:val="both"/>
        <w:rPr>
          <w:color w:val="000000"/>
        </w:rPr>
      </w:pPr>
      <w:r>
        <w:rPr>
          <w:color w:val="000000"/>
        </w:rPr>
        <w:t> </w:t>
      </w:r>
    </w:p>
    <w:tbl>
      <w:tblPr>
        <w:tblW w:w="58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03"/>
        <w:gridCol w:w="1503"/>
        <w:gridCol w:w="21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individual who is a citizen or resident of the United States;</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corporation (or other entity taxable as a corporation) organized in or under the laws of the United States, any state thereof or the District of Columbia;</w:t>
            </w:r>
          </w:p>
        </w:tc>
      </w:tr>
    </w:tbl>
    <w:p>
      <w:pPr>
        <w:pStyle w:val="TextBody"/>
        <w:bidi w:val="0"/>
        <w:spacing w:lineRule="auto" w:line="240"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the income of which is includible in gross income for U.S. federal income tax purposes regardless of its source; or</w:t>
            </w:r>
          </w:p>
        </w:tc>
      </w:tr>
    </w:tbl>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1945"/>
                <wp:effectExtent l="0" t="0" r="0" b="0"/>
                <wp:wrapNone/>
                <wp:docPr id="117"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under “</w:t>
      </w:r>
      <w:r>
        <w:rPr>
          <w:rFonts w:ascii="Times New Roman;sans-serif" w:hAnsi="Times New Roman;sans-serif"/>
          <w:b w:val="false"/>
          <w:i/>
          <w:color w:val="000000"/>
          <w:sz w:val="20"/>
        </w:rPr>
        <w:t>U.S. Holders—Gain or Loss on Sale, Taxable Exchange or Other Taxable Disposition of Class A Common Stock</w:t>
      </w:r>
      <w:r>
        <w:rPr>
          <w:rFonts w:ascii="Times New Roman;sans-serif" w:hAnsi="Times New Roman;sans-serif"/>
          <w:b w:val="false"/>
          <w:color w:val="000000"/>
          <w:sz w:val="20"/>
        </w:rPr>
        <w:t>,” below.</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we pay to a U.S. holder that is treated as a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relevant holding period requirements are not satisfied, then a corporate U.S. holder may not be able to qualify for the dividends received deduction and would have taxable income equal to the entire dividend amount and a non-corporate U.S. holder may be subject to tax on such dividend at regular ordinary income tax rates instead of the preferential rate that applies to qualified dividend income.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Gain or Loss on Sale, Taxable Exchange or Other Taxable Disposition of Class A Common Stock.</w:t>
      </w:r>
      <w:r>
        <w:rPr>
          <w:color w:val="000000"/>
        </w:rPr>
        <w:t> </w:t>
      </w:r>
      <w:r>
        <w:rPr>
          <w:rFonts w:ascii="Times New Roman;sans-serif" w:hAnsi="Times New Roman;sans-serif"/>
          <w:b w:val="false"/>
          <w:color w:val="000000"/>
          <w:sz w:val="20"/>
        </w:rPr>
        <w:t>Upon a sale or other taxable disposition of our Class A common stock, a U.S. holder generally will recognize capital gain or loss in an amount equal to the difference between the amount realized and the U.S. holder’s adjusted tax basis in the Class A common stock. Any such capital gain or loss generally will be long-term capital gain or loss if the U.S. holder’s holding period for the Class A common stock so disposed of exceeds one year. If such holding period requirement is not satisfied, any gain on a sale or taxable disposition of the Class A common stock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amount of gain or loss recognized by a U.S. holder upon a sale or other taxable disposition of Class A common stock will be an amount equal to the difference between (i) the sum of the amount of cash and the fair market value of any property received in such disposition and (ii) the U.S. holder’s adjusted tax basis in its Class A common stock disposed of or sold. A U.S. holder’s adjusted tax basis in its Class A common stock generally will equal the U.S. holder’s acquisition cost for the Class A common stock less, in the case of a share of Class A common stock, any prior distributions treated as a return of capital (as described above). In the case of any shares of Class A common stock originally acquired as part of an investment unit with a warrant, the acquisition cost for the share of Class A common stock and warrant that were part of such investment unit would equal an allocable portion of the acquisition cost of the entire investment unit (with such allocable portion based on the relative fair market values of the components of the investment unit at the time of acquisition).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general, information reporting requirements may apply with respect to dividends paid to a U.S. holder and with respect to the proceeds of the sale or other disposition of our shares of Class A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Non-U.S. Holders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section applies to you if you are a “non-U.S. holder.” As used herein, the term “non-U.S. holder” means a beneficial owner of our Class A common stock who or that is for U.S. federal income tax purposes:</w:t>
      </w:r>
    </w:p>
    <w:p>
      <w:pPr>
        <w:pStyle w:val="TextBody"/>
        <w:bidi w:val="0"/>
        <w:spacing w:lineRule="auto" w:line="2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8"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non-resident alien individual (other than certain former citizens and residents of the United States subject to U.S. tax as expatriates);</w:t>
            </w:r>
          </w:p>
        </w:tc>
      </w:tr>
    </w:tbl>
    <w:p>
      <w:pPr>
        <w:pStyle w:val="TextBody"/>
        <w:bidi w:val="0"/>
        <w:spacing w:lineRule="auto" w:line="240" w:before="0" w:after="0"/>
        <w:jc w:val="both"/>
        <w:rPr>
          <w:color w:val="000000"/>
        </w:rPr>
      </w:pPr>
      <w:r>
        <w:rPr>
          <w:color w:val="000000"/>
        </w:rPr>
        <w:t> </w:t>
      </w:r>
    </w:p>
    <w:tbl>
      <w:tblPr>
        <w:tblW w:w="27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3"/>
        <w:gridCol w:w="623"/>
        <w:gridCol w:w="8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foreign corporation; or</w:t>
            </w:r>
          </w:p>
        </w:tc>
      </w:tr>
    </w:tbl>
    <w:p>
      <w:pPr>
        <w:pStyle w:val="TextBody"/>
        <w:bidi w:val="0"/>
        <w:spacing w:lineRule="auto" w:line="240" w:before="0" w:after="0"/>
        <w:jc w:val="both"/>
        <w:rPr>
          <w:color w:val="000000"/>
        </w:rPr>
      </w:pPr>
      <w:r>
        <w:rPr>
          <w:color w:val="000000"/>
        </w:rPr>
        <w:t> </w:t>
      </w:r>
    </w:p>
    <w:tbl>
      <w:tblPr>
        <w:tblW w:w="41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5"/>
        <w:gridCol w:w="1015"/>
        <w:gridCol w:w="1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estate or trust that is not a U.S. holder;</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but generally does not include an individual who is present in the United States for 183 days or more in the taxable year of the disposition of our Class A common stock. If you are such an individual, you should consult your own tax advisor regarding the U.S. federal income tax consequences of the acquisition, ownership or sale or other disposition of our Class A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Taxation of Distributions</w:t>
      </w:r>
      <w:r>
        <w:rPr>
          <w:rFonts w:ascii="Times New Roman;sans-serif" w:hAnsi="Times New Roman;sans-serif"/>
          <w:b/>
          <w:color w:val="000000"/>
          <w:sz w:val="20"/>
        </w:rPr>
        <w:t xml:space="preserve">. </w:t>
      </w:r>
      <w:r>
        <w:rPr>
          <w:rFonts w:ascii="Times New Roman;sans-serif" w:hAnsi="Times New Roman;sans-serif"/>
          <w:b w:val="false"/>
          <w:color w:val="000000"/>
          <w:sz w:val="20"/>
        </w:rPr>
        <w:t>We do not expect to pay any distributions on our Class A common stock in the foreseeable future. If we do pay distributions in cash or other property, in general, any such distributions (other than certain distributions of our stock and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If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Times New Roman;sans-serif" w:hAnsi="Times New Roman;sans-serif"/>
          <w:b w:val="false"/>
          <w:i/>
          <w:color w:val="000000"/>
          <w:sz w:val="20"/>
        </w:rPr>
        <w:t>Non-U.S. Holders—Gain on Sale, Taxable Exchange or Other Taxable Disposition of Class A Common Stock</w:t>
      </w:r>
      <w:r>
        <w:rPr>
          <w:rFonts w:ascii="Times New Roman;sans-serif" w:hAnsi="Times New Roman;sans-serif"/>
          <w:b w:val="false"/>
          <w:color w:val="000000"/>
          <w:sz w:val="20"/>
        </w:rPr>
        <w:t>,” below.</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30%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dividends that are effectively connected with such holder’s conduct of a U.S. trade or business may also be subject to an additional “branch profits tax” imposed at a rate of 30% (or such lower rate as may apply under an applicable income tax treaty).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Gain on Sale, Taxable Exchange or Other Taxable Disposition of Class A Common Stock</w:t>
      </w:r>
      <w:r>
        <w:rPr>
          <w:rFonts w:ascii="Times New Roman;sans-serif" w:hAnsi="Times New Roman;sans-serif"/>
          <w:b/>
          <w:color w:val="000000"/>
          <w:sz w:val="20"/>
        </w:rPr>
        <w:t xml:space="preserve">. </w:t>
      </w:r>
      <w:r>
        <w:rPr>
          <w:rFonts w:ascii="Times New Roman;sans-serif" w:hAnsi="Times New Roman;sans-serif"/>
          <w:b w:val="false"/>
          <w:color w:val="000000"/>
          <w:sz w:val="20"/>
        </w:rPr>
        <w:t>A non-U.S. holder generally will not be subject to U.S. federal income or withholding tax in respect of gain recognized on a sale, taxable exchange or other taxable disposition of our Class A common stock, unless:</w:t>
      </w:r>
    </w:p>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tc>
      </w:tr>
    </w:tbl>
    <w:p>
      <w:pPr>
        <w:pStyle w:val="TextBody"/>
        <w:bidi w:val="0"/>
        <w:spacing w:lineRule="auto" w:line="240" w:before="0" w:after="0"/>
        <w:ind w:left="0" w:right="0" w:firstLine="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non-U.S. corporation for U.S. federal income tax purposes may also be subject to an additional “branch profits tax” imposed at a 30% rate (or such lower rate as may apply under an applicable income tax treaty).</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second bullet point above applies to a non-U.S. holder, gain recognized by such holder on the sale, exchange or other disposition of our Class A common stock will be subject to tax at generally applicable U.S. federal income tax rates. In addition, a buyer of our Class A common stock from such holder may be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19" name="Frame1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withhold U.S. federal income tax at a rate of 15% of the amount realized upon such disposition. We believe we are not and have not been at any time since our formation a United States real property holding corporation and, while no assurances can be given in this regard, we do not expect to be treated as a United States real property holding corporation in the future. However, such determination is factual in nature and subject to change and no assurance can be provided as to whether we would be treated as a United States real property holding corporation in any future year.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Information Reporting and Backup Withholding</w:t>
      </w:r>
      <w:r>
        <w:rPr>
          <w:rFonts w:ascii="Times New Roman;sans-serif" w:hAnsi="Times New Roman;sans-serif"/>
          <w:b/>
          <w:color w:val="000000"/>
          <w:sz w:val="20"/>
        </w:rPr>
        <w:t xml:space="preserve">. </w:t>
      </w:r>
      <w:r>
        <w:rPr>
          <w:rFonts w:ascii="Times New Roman;sans-serif" w:hAnsi="Times New Roman;sans-serif"/>
          <w:b w:val="false"/>
          <w:color w:val="000000"/>
          <w:sz w:val="20"/>
        </w:rPr>
        <w:t>Information returns will be filed with the IRS in connection with payments of dividends and the proceeds from a sale or other disposition of Class A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i/>
          <w:color w:val="000000"/>
          <w:sz w:val="20"/>
        </w:rPr>
        <w:t>FATCA</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Provisions commonly referred to as “FATCA” impose withholding of 30% 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The above withholding tax under FATCA was scheduled to apply to payments of gross proceeds from the sale or other disposition of property that would produce U.S.-source interest or dividends beginning on January 1, 2019; however, the Treasury has released proposed regulations upon which taxpayers may rely that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own tax advisors regarding the effects of FATCA on their investment in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registering the possible resale by the Selling Holders of up to 166,318,246 shares of Class A common stock.</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will pay any underwriting discounts and commissions and expenses incurred by the Selling Holders for brokerage, accounting, tax or legal services or any other expenses incurred by the Selling 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beneficially owned by the Selling Holders covered by this prospectus may be offered and sold from time to time by the Selling Holders. The term “Selling Holders” includes donees, pledgees, transferees or other successors in interest selling securities received after the date of this prospectus from a Selling Holders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Holders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0" name="Frame1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syndicate. The obligations of the underwriters to purchase the securities will be subject to certain conditions. The underwriters will be obligated to purchase all the securities offered if any of the securities are purchased.</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limitations set forth in any applicable registration rights agreement, the Selling Holders may use any one or more of the following methods when selling the securities offered by this prospectus: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by a broker-dealer as principal and resale by such broker-dealer for its own account pursuant to this prospectus;</w:t>
            </w:r>
          </w:p>
        </w:tc>
      </w:tr>
    </w:tbl>
    <w:p>
      <w:pPr>
        <w:pStyle w:val="TextBody"/>
        <w:bidi w:val="0"/>
        <w:spacing w:lineRule="auto" w:line="240" w:before="0" w:after="0"/>
        <w:jc w:val="left"/>
        <w:rPr>
          <w:color w:val="000000"/>
        </w:rPr>
      </w:pPr>
      <w:r>
        <w:rPr>
          <w:color w:val="000000"/>
        </w:rPr>
        <w:t> </w:t>
      </w:r>
    </w:p>
    <w:tbl>
      <w:tblPr>
        <w:tblW w:w="79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30"/>
        <w:gridCol w:w="2130"/>
        <w:gridCol w:w="30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ordinary brokerage transactions and transactions in which the broker solicits purchasers;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block trades in which the broker-dealer so engaged will attempt to sell the securities as agent but may position and resell a portion of the block as principal to facilitate the transaction;</w:t>
            </w:r>
          </w:p>
        </w:tc>
      </w:tr>
    </w:tbl>
    <w:p>
      <w:pPr>
        <w:pStyle w:val="TextBody"/>
        <w:bidi w:val="0"/>
        <w:spacing w:lineRule="auto" w:line="240" w:before="0" w:after="0"/>
        <w:jc w:val="left"/>
        <w:rPr>
          <w:color w:val="000000"/>
        </w:rPr>
      </w:pPr>
      <w:r>
        <w:rPr>
          <w:color w:val="000000"/>
        </w:rPr>
        <w:t> </w:t>
      </w:r>
    </w:p>
    <w:tbl>
      <w:tblPr>
        <w:tblW w:w="66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48"/>
        <w:gridCol w:w="1748"/>
        <w:gridCol w:w="2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over-the-counter distribution in accordance with the rules of Nasdaq;</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bl>
    <w:p>
      <w:pPr>
        <w:pStyle w:val="TextBody"/>
        <w:bidi w:val="0"/>
        <w:spacing w:lineRule="auto" w:line="240" w:before="0" w:after="0"/>
        <w:jc w:val="left"/>
        <w:rPr>
          <w:color w:val="000000"/>
        </w:rPr>
      </w:pPr>
      <w:r>
        <w:rPr>
          <w:color w:val="000000"/>
        </w:rPr>
        <w:t> </w:t>
      </w:r>
    </w:p>
    <w:tbl>
      <w:tblPr>
        <w:tblW w:w="77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84"/>
        <w:gridCol w:w="2084"/>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one or more underwritten offerings on a firm commitment or best efforts basis;</w:t>
            </w:r>
          </w:p>
        </w:tc>
      </w:tr>
    </w:tbl>
    <w:p>
      <w:pPr>
        <w:pStyle w:val="TextBody"/>
        <w:bidi w:val="0"/>
        <w:spacing w:lineRule="auto" w:line="240" w:before="0" w:after="0"/>
        <w:jc w:val="left"/>
        <w:rPr>
          <w:color w:val="000000"/>
        </w:rPr>
      </w:pPr>
      <w:r>
        <w:rPr>
          <w:color w:val="000000"/>
        </w:rPr>
        <w:t> </w:t>
      </w:r>
    </w:p>
    <w:tbl>
      <w:tblPr>
        <w:tblW w:w="63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bidi w:val="0"/>
        <w:spacing w:lineRule="auto" w:line="240" w:before="0" w:after="0"/>
        <w:jc w:val="left"/>
        <w:rPr>
          <w:color w:val="000000"/>
        </w:rPr>
      </w:pPr>
      <w:r>
        <w:rPr>
          <w:color w:val="000000"/>
        </w:rPr>
        <w:t> </w:t>
      </w:r>
    </w:p>
    <w:tbl>
      <w:tblPr>
        <w:tblW w:w="923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5"/>
        <w:gridCol w:w="2505"/>
        <w:gridCol w:w="3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agreements with broker-dealers to sell a specified number of the securities at a stipulated price per share;</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directly to purchasers, including through a specific bidding, auction or other process or in privately negotiated transactions;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writing or settlement of options or other hedging transactions, whether through an options exchange or otherwise;</w:t>
            </w:r>
          </w:p>
        </w:tc>
      </w:tr>
    </w:tbl>
    <w:p>
      <w:pPr>
        <w:pStyle w:val="TextBody"/>
        <w:bidi w:val="0"/>
        <w:spacing w:lineRule="auto" w:line="240" w:before="0" w:after="0"/>
        <w:jc w:val="left"/>
        <w:rPr>
          <w:color w:val="000000"/>
        </w:rPr>
      </w:pPr>
      <w:r>
        <w:rPr>
          <w:color w:val="000000"/>
        </w:rPr>
        <w:t> </w:t>
      </w:r>
    </w:p>
    <w:tbl>
      <w:tblPr>
        <w:tblW w:w="91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71"/>
        <w:gridCol w:w="2471"/>
        <w:gridCol w:w="35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distributions by any Selling Holder or its affiliates to its partners, members or stockholders</w:t>
            </w:r>
          </w:p>
        </w:tc>
      </w:tr>
    </w:tbl>
    <w:p>
      <w:pPr>
        <w:pStyle w:val="TextBody"/>
        <w:bidi w:val="0"/>
        <w:spacing w:lineRule="auto" w:line="240" w:before="0" w:after="0"/>
        <w:jc w:val="left"/>
        <w:rPr>
          <w:color w:val="000000"/>
        </w:rPr>
      </w:pPr>
      <w:r>
        <w:rPr>
          <w:color w:val="000000"/>
        </w:rPr>
        <w:t> </w:t>
      </w:r>
    </w:p>
    <w:tbl>
      <w:tblPr>
        <w:tblW w:w="58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18"/>
        <w:gridCol w:w="1518"/>
        <w:gridCol w:w="21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a combination of any of the above methods of sale; or</w:t>
            </w:r>
          </w:p>
        </w:tc>
      </w:tr>
    </w:tbl>
    <w:p>
      <w:pPr>
        <w:pStyle w:val="TextBody"/>
        <w:bidi w:val="0"/>
        <w:spacing w:lineRule="auto" w:line="240" w:before="0" w:after="0"/>
        <w:jc w:val="left"/>
        <w:rPr>
          <w:color w:val="000000"/>
        </w:rPr>
      </w:pPr>
      <w:r>
        <w:rPr>
          <w:color w:val="000000"/>
        </w:rPr>
        <w:t> </w:t>
      </w:r>
    </w:p>
    <w:tbl>
      <w:tblPr>
        <w:tblW w:w="53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4"/>
        <w:gridCol w:w="1354"/>
        <w:gridCol w:w="1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other method permitted pursuant to applicable law.</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Selling 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1" name="Frame1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Selling Holders will sell all or any of the securities offered by this prospectus. In addition, the Selling Holders may also sell securities under Rule 144 under the Securities Act, if available, or in other transactions exempt from registration, rather than under this prospectus. The Selling Holders have the sole and absolute discretion not to accept any purchase offer or make any sale of securities if they deem the purchase price to be unsatisfactory at any particular time.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also may transfer the securities in other circumstances, in which case the transferees, pledgees or other successors-in-interest will be the selling beneficial owners for purposes of this prospectus. Upon being notified by a Selling Holder that a donee, pledgee, transferee, other successor-in-interest intends to sell our securities, we will, to the extent required, promptly file a supplement to this prospectus to name specifically such person as a Selling Holder.</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lineRule="auto" w:line="240" w:before="0" w:after="0"/>
        <w:jc w:val="both"/>
        <w:rPr>
          <w:color w:val="000000"/>
        </w:rPr>
      </w:pPr>
      <w:r>
        <w:rPr>
          <w:color w:val="000000"/>
        </w:rPr>
        <w:t> </w:t>
      </w:r>
    </w:p>
    <w:tbl>
      <w:tblPr>
        <w:tblW w:w="44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7"/>
        <w:gridCol w:w="1097"/>
        <w:gridCol w:w="1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specific securities to be offered and sold;</w:t>
            </w:r>
          </w:p>
        </w:tc>
      </w:tr>
    </w:tbl>
    <w:p>
      <w:pPr>
        <w:pStyle w:val="TextBody"/>
        <w:bidi w:val="0"/>
        <w:spacing w:lineRule="auto" w:line="240" w:before="0" w:after="0"/>
        <w:jc w:val="left"/>
        <w:rPr>
          <w:color w:val="000000"/>
        </w:rPr>
      </w:pPr>
      <w:r>
        <w:rPr>
          <w:color w:val="000000"/>
        </w:rPr>
        <w:t> </w:t>
      </w:r>
    </w:p>
    <w:tbl>
      <w:tblPr>
        <w:tblW w:w="35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27"/>
        <w:gridCol w:w="827"/>
        <w:gridCol w:w="11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the Selling Holders;</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4"/>
        <w:gridCol w:w="2784"/>
        <w:gridCol w:w="39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respective purchase prices and public offering prices, the proceeds to be received from the sale, if any, and other material terms of the offering;</w:t>
            </w:r>
          </w:p>
        </w:tc>
      </w:tr>
    </w:tbl>
    <w:p>
      <w:pPr>
        <w:pStyle w:val="TextBody"/>
        <w:bidi w:val="0"/>
        <w:spacing w:lineRule="auto" w:line="240" w:before="0" w:after="0"/>
        <w:jc w:val="left"/>
        <w:rPr>
          <w:color w:val="000000"/>
        </w:rPr>
      </w:pPr>
      <w:r>
        <w:rPr>
          <w:color w:val="000000"/>
        </w:rPr>
        <w:t> </w:t>
      </w:r>
    </w:p>
    <w:tbl>
      <w:tblPr>
        <w:tblW w:w="63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78"/>
        <w:gridCol w:w="1678"/>
        <w:gridCol w:w="23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settlement of short sales entered into after the date of this prospectus;</w:t>
            </w:r>
          </w:p>
        </w:tc>
      </w:tr>
    </w:tbl>
    <w:p>
      <w:pPr>
        <w:pStyle w:val="TextBody"/>
        <w:bidi w:val="0"/>
        <w:spacing w:lineRule="auto" w:line="240" w:before="0" w:after="0"/>
        <w:jc w:val="left"/>
        <w:rPr>
          <w:color w:val="000000"/>
        </w:rPr>
      </w:pPr>
      <w:r>
        <w:rPr>
          <w:color w:val="000000"/>
        </w:rPr>
        <w:t> </w:t>
      </w:r>
    </w:p>
    <w:tbl>
      <w:tblPr>
        <w:tblW w:w="67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83"/>
        <w:gridCol w:w="1783"/>
        <w:gridCol w:w="2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names of any participating agents, broker-dealers or underwriters; and</w:t>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applicable commissions, discounts, concessions and other items constituting compensation from the Selling Holders.</w:t>
            </w:r>
          </w:p>
        </w:tc>
      </w:tr>
    </w:tbl>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distributions of the securities or otherwise, the Selling 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Holders. The Selling Holders may also sell the securities short and redeliver the securities to close out such short positions. The Selling 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pStyle w:val="TextBody"/>
        <w:bidi w:val="0"/>
        <w:spacing w:lineRule="auto" w:line="240"/>
        <w:ind w:left="0" w:right="0" w:firstLine="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1945"/>
                <wp:effectExtent l="0" t="0" r="0" b="0"/>
                <wp:wrapNone/>
                <wp:docPr id="122" name="Frame1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Nasdaq under the symbol “OPAL”.</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Selling 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Holders pay for solicitation of these contracts.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Selling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Holders or borrowed from any Selling Holders or others to settle those sales or to close out any related open borrowings of stock, and may use securities received from any Selling Holder in settlement of those derivatives to close out any related open borrowings of stock. The third party in such sale transactions will be an underwriter and will be identified in the applicable prospectus supplement (or a post-effective amendment). In addition, any Selling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effecting sales, broker-dealers or agents engaged by the Selling Holders may arrange for other broker-dealers to participate. Broker-dealers or agents may receive commissions, discounts or concessions from the Selling Holders in amounts to be negotiated immediately prior to the sale.</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In compliance with the guidelines of the Financial Industry Regulatory Authority (“</w:t>
      </w:r>
      <w:r>
        <w:rPr>
          <w:rFonts w:ascii="Times New Roman;sans-serif" w:hAnsi="Times New Roman;sans-serif"/>
          <w:b/>
          <w:i/>
          <w:color w:val="000000"/>
          <w:sz w:val="20"/>
        </w:rPr>
        <w:t>FINRA</w:t>
      </w:r>
      <w:r>
        <w:rPr>
          <w:color w:val="000000"/>
        </w:rPr>
        <w:t>”</w:t>
      </w:r>
      <w:r>
        <w:rPr>
          <w:rFonts w:ascii="Times New Roman;sans-serif" w:hAnsi="Times New Roman;sans-serif"/>
          <w:b w:val="false"/>
          <w:color w:val="000000"/>
          <w:sz w:val="20"/>
        </w:rPr>
        <w:t>),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at the time of any offering made under this prospectus a member of FINRA participating in the offering has a “conflict of interest” as defined in FINRA Rule 5121, that offering will be conducted in accordance with the relevant provisions of FINRA Rule 5121.</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our knowledge, there are currently no plans, arrangements or understandings between the Selling Holders and any broker-dealer or agent regarding the sale of the securities by the Selling Holders. Upon our notification by a Selling 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offering the securities covered by this prospectus, the Selling Holders and any underwriters, broker-dealers or agents who execute sales for the Selling 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broker-dealers and agents may engage in transactions with us or the Selling Holders, or perform services for us or the Selling Holders, in the ordinary course of business.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Selling Holders and any other persons participating in the sale or distribution of the securities will be subject to applicable provisions of the Securities Act and the Exchange Act, and the rules and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21945"/>
                <wp:effectExtent l="0" t="0" r="0" b="0"/>
                <wp:wrapNone/>
                <wp:docPr id="123" name="Frame1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thereunder, including, without limitation, Regulation M. These provisions may restrict certain activities of, and limit the timing of purchases and sales of any of the securities by, the Selling Holders or any other person, which limitations may affect the marketability of the shares of the securities.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make copies of this prospectus available to the Selling Holders for the purpose of satisfying the prospectus delivery requirements of the Securities Act. The Selling Holders may indemnify any agent, broker-dealer or underwriter that participates in transactions involving the sale of the securities against certain liabilities, including liabilities arising under the Securities Act.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Sheppard, Mullin, Richter &amp; Hampton LLP will pass upon the validity of the Class A common stock offered by this prospectus and certain other matters related 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OPAL Fuels Inc. as of and for the years ended December 31, 2022 and 2021 included in this prospectus and Registration Statement have been so included in reliance on the report of BDO USA, LLP, an independent registered public accounting firm, appearing elsewhere herein and in the Registration Statement, given on the authority of said firm as experts in auditing and accounting.</w:t>
      </w:r>
    </w:p>
    <w:p>
      <w:pPr>
        <w:pStyle w:val="TextBody"/>
        <w:bidi w:val="0"/>
        <w:spacing w:lineRule="auto" w:line="240" w:before="0" w:after="0"/>
        <w:ind w:left="0" w:right="0" w:firstLine="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with the SEC a registration statement on Form S-1 under the Securities Act with respect to the securities offered by this prospectus. This prospectus, which forms a part of such registration statement, does not contain all of the information included in the registration statement.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lineRule="auto" w:line="240" w:before="0" w:after="0"/>
        <w:ind w:left="0" w:right="0" w:firstLine="360"/>
        <w:jc w:val="both"/>
        <w:rPr>
          <w:color w:val="000000"/>
        </w:rPr>
      </w:pPr>
      <w:r>
        <w:rPr>
          <w:color w:val="000000"/>
        </w:rPr>
        <w:t> </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file annual, quarterly and current reports, proxy statements and other information with the SEC. Our SEC filings are available to the public over the Internet at the SEC’s website at www.sec.gov and on our website at www.opalfuels.com. The information contained on, or that may be accessed through, our website is not part of, and is not incorporated into, this prospectus. You may inspect a copy of the registration statement through the SEC’s website, as provided herein.</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left"/>
        <w:rPr>
          <w:color w:val="000000"/>
        </w:rPr>
      </w:pPr>
      <w:r>
        <w:rPr>
          <w:color w:val="000000"/>
        </w:rPr>
        <w:t> </w:t>
      </w:r>
    </w:p>
    <w:p>
      <w:pPr>
        <w:pStyle w:val="TextBody"/>
        <w:bidi w:val="0"/>
        <w:spacing w:before="0" w:after="0"/>
        <w:jc w:val="left"/>
        <w:rPr/>
      </w:pPr>
      <w:r>
        <w:rPr/>
      </w:r>
    </w:p>
    <w:p>
      <w:pPr>
        <w:pStyle w:val="TextBody"/>
        <w:bidi w:val="0"/>
        <w:spacing w:lineRule="auto" w:line="240" w:before="120" w:after="24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360"/>
        <w:jc w:val="left"/>
        <w:rPr>
          <w:color w:val="000000"/>
        </w:rPr>
      </w:pPr>
      <w:r>
        <w:rPr>
          <w:color w:val="000000"/>
        </w:rPr>
        <w:t> </w:t>
      </w:r>
    </w:p>
    <w:p>
      <w:pPr>
        <w:pStyle w:val="TextBody"/>
        <w:bidi w:val="0"/>
        <w:spacing w:before="0" w:after="0"/>
        <w:ind w:left="0" w:right="0" w:firstLine="3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21945"/>
                <wp:effectExtent l="0" t="0" r="0" b="0"/>
                <wp:wrapNone/>
                <wp:docPr id="124" name="Frame1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96"/>
        <w:gridCol w:w="2957"/>
        <w:gridCol w:w="2973"/>
        <w:gridCol w:w="109"/>
        <w:gridCol w:w="109"/>
        <w:gridCol w:w="109"/>
        <w:gridCol w:w="132"/>
        <w:gridCol w:w="132"/>
        <w:gridCol w:w="188"/>
      </w:tblGrid>
      <w:tr>
        <w:trPr/>
        <w:tc>
          <w:tcPr>
            <w:tcW w:w="3496"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67">
              <w:r>
                <w:rPr>
                  <w:rStyle w:val="InternetLink"/>
                  <w:rFonts w:ascii="Times New Roman;sans-serif" w:hAnsi="Times New Roman;sans-serif"/>
                  <w:b w:val="false"/>
                  <w:color w:val="0000FF"/>
                  <w:sz w:val="20"/>
                  <w:u w:val="single"/>
                </w:rPr>
                <w:t>Report of Independent Registered Public Accounting Firm (BDO USA, LLP; Stamford, CT; PCAOB ID No.243)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67">
              <w:r>
                <w:rPr>
                  <w:rStyle w:val="InternetLink"/>
                  <w:rFonts w:ascii="Times New Roman;sans-serif" w:hAnsi="Times New Roman;sans-serif"/>
                  <w:b w:val="false"/>
                  <w:color w:val="0000FF"/>
                  <w:sz w:val="20"/>
                  <w:u w:val="single"/>
                </w:rPr>
                <w:t>F-1</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0">
              <w:r>
                <w:rPr>
                  <w:rStyle w:val="InternetLink"/>
                  <w:rFonts w:ascii="Times New Roman;sans-serif" w:hAnsi="Times New Roman;sans-serif"/>
                  <w:b w:val="false"/>
                  <w:color w:val="0000FF"/>
                  <w:sz w:val="20"/>
                  <w:u w:val="single"/>
                </w:rPr>
                <w:t>Consolidated Balance Sheets as of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0">
              <w:r>
                <w:rPr>
                  <w:rStyle w:val="InternetLink"/>
                  <w:rFonts w:ascii="Times New Roman;sans-serif" w:hAnsi="Times New Roman;sans-serif"/>
                  <w:b w:val="false"/>
                  <w:color w:val="0000FF"/>
                  <w:sz w:val="20"/>
                  <w:u w:val="single"/>
                </w:rPr>
                <w:t>F-2</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3">
              <w:r>
                <w:rPr>
                  <w:rStyle w:val="InternetLink"/>
                  <w:rFonts w:ascii="Times New Roman;sans-serif" w:hAnsi="Times New Roman;sans-serif"/>
                  <w:b w:val="false"/>
                  <w:color w:val="0000FF"/>
                  <w:sz w:val="20"/>
                  <w:u w:val="single"/>
                </w:rPr>
                <w:t>Consolidated Statements of Operations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3">
              <w:r>
                <w:rPr>
                  <w:rStyle w:val="InternetLink"/>
                  <w:rFonts w:ascii="Times New Roman;sans-serif" w:hAnsi="Times New Roman;sans-serif"/>
                  <w:b w:val="false"/>
                  <w:color w:val="0000FF"/>
                  <w:sz w:val="20"/>
                  <w:u w:val="single"/>
                </w:rPr>
                <w:t>F-4</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6">
              <w:r>
                <w:rPr>
                  <w:rStyle w:val="InternetLink"/>
                  <w:rFonts w:ascii="Times New Roman;sans-serif" w:hAnsi="Times New Roman;sans-serif"/>
                  <w:b w:val="false"/>
                  <w:color w:val="0000FF"/>
                  <w:sz w:val="20"/>
                  <w:u w:val="single"/>
                </w:rPr>
                <w:t>Consolidated Statements of Comprehensive Income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6">
              <w:r>
                <w:rPr>
                  <w:rStyle w:val="InternetLink"/>
                  <w:rFonts w:ascii="Times New Roman;sans-serif" w:hAnsi="Times New Roman;sans-serif"/>
                  <w:b w:val="false"/>
                  <w:color w:val="0000FF"/>
                  <w:sz w:val="20"/>
                  <w:u w:val="single"/>
                </w:rPr>
                <w:t>F-5</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9">
              <w:r>
                <w:rPr>
                  <w:rStyle w:val="InternetLink"/>
                  <w:rFonts w:ascii="Times New Roman;sans-serif" w:hAnsi="Times New Roman;sans-serif"/>
                  <w:b w:val="false"/>
                  <w:color w:val="0000FF"/>
                  <w:sz w:val="20"/>
                  <w:u w:val="single"/>
                </w:rPr>
                <w:t>Consolidated Statements of Changes in Redeemable non-controlling interests, Redeemable preferred non-controlling interest and Stockholders' (deficit) Equity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79">
              <w:r>
                <w:rPr>
                  <w:rStyle w:val="InternetLink"/>
                  <w:rFonts w:ascii="Times New Roman;sans-serif" w:hAnsi="Times New Roman;sans-serif"/>
                  <w:b w:val="false"/>
                  <w:color w:val="0000FF"/>
                  <w:sz w:val="20"/>
                  <w:u w:val="single"/>
                </w:rPr>
                <w:t>F-6</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82">
              <w:r>
                <w:rPr>
                  <w:rStyle w:val="InternetLink"/>
                  <w:rFonts w:ascii="Times New Roman;sans-serif" w:hAnsi="Times New Roman;sans-serif"/>
                  <w:b w:val="false"/>
                  <w:color w:val="0000FF"/>
                  <w:sz w:val="20"/>
                  <w:u w:val="single"/>
                </w:rPr>
                <w:t>Consolidated Statements of Cash Flows for the years ended December 31, 2022 and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82">
              <w:r>
                <w:rPr>
                  <w:rStyle w:val="InternetLink"/>
                  <w:rFonts w:ascii="Times New Roman;sans-serif" w:hAnsi="Times New Roman;sans-serif"/>
                  <w:b w:val="false"/>
                  <w:color w:val="0000FF"/>
                  <w:sz w:val="20"/>
                  <w:u w:val="single"/>
                </w:rPr>
                <w:t>F-7</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85">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c5904065ddc4f148dc2038a8fcca4d8_85">
              <w:r>
                <w:rPr>
                  <w:rStyle w:val="InternetLink"/>
                  <w:rFonts w:ascii="Times New Roman;sans-serif" w:hAnsi="Times New Roman;sans-serif"/>
                  <w:b w:val="false"/>
                  <w:color w:val="0000FF"/>
                  <w:sz w:val="20"/>
                  <w:u w:val="single"/>
                </w:rPr>
                <w:t>F-11</w:t>
              </w:r>
            </w:hyperlink>
          </w:p>
        </w:tc>
      </w:tr>
      <w:tr>
        <w:trPr/>
        <w:tc>
          <w:tcPr>
            <w:tcW w:w="9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1945"/>
                <wp:effectExtent l="0" t="0" r="0" b="0"/>
                <wp:wrapNone/>
                <wp:docPr id="125" name="Frame1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OPAL Fuels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White Plains, 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ind w:left="0" w:right="0" w:firstLine="892"/>
        <w:jc w:val="both"/>
        <w:rPr/>
      </w:pPr>
      <w:r>
        <w:rPr>
          <w:rFonts w:ascii="Times New Roman;sans-serif" w:hAnsi="Times New Roman;sans-serif"/>
          <w:b w:val="false"/>
          <w:color w:val="000000"/>
          <w:sz w:val="20"/>
        </w:rPr>
        <w:t>We have audited the accompanying consolidated balance sheets of OPAL Fuels Inc. and its subsidiaries (the “Company”) as of December 31, 2022 and 2021, the related consolidated statements of operations and comprehensive income, changes in redeemable non-controlling interest, redeemable preferred non-controlling interest and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conformity with accounting principles generally accepted in the United States of America.</w:t>
      </w:r>
    </w:p>
    <w:p>
      <w:pPr>
        <w:pStyle w:val="TextBody"/>
        <w:bidi w:val="0"/>
        <w:spacing w:before="0" w:after="0"/>
        <w:ind w:left="0" w:right="0" w:firstLine="892"/>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Related Parties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11 “Related Parties”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BDO USA,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Stamford, 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28, 2023</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30"/>
        <w:gridCol w:w="2275"/>
        <w:gridCol w:w="2267"/>
        <w:gridCol w:w="206"/>
        <w:gridCol w:w="777"/>
        <w:gridCol w:w="114"/>
        <w:gridCol w:w="109"/>
        <w:gridCol w:w="109"/>
        <w:gridCol w:w="109"/>
        <w:gridCol w:w="271"/>
        <w:gridCol w:w="1019"/>
        <w:gridCol w:w="219"/>
      </w:tblGrid>
      <w:tr>
        <w:trPr/>
        <w:tc>
          <w:tcPr>
            <w:tcW w:w="2730"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center"/>
              <w:rPr/>
            </w:pPr>
            <w:r>
              <w:rPr>
                <w:rFonts w:ascii="Times New Roman;sans-serif" w:hAnsi="Times New Roman;sans-serif"/>
                <w:b/>
                <w:color w:val="000000"/>
                <w:sz w:val="18"/>
              </w:rPr>
              <w:t xml:space="preserve">December 31, 2021 </w:t>
            </w:r>
            <w:r>
              <w:rPr>
                <w:rFonts w:ascii="Times New Roman;sans-serif" w:hAnsi="Times New Roman;sans-serif"/>
                <w:b/>
                <w:color w:val="000000"/>
                <w:sz w:val="12"/>
              </w:rPr>
              <w:t>(1)</w:t>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$12,506 and $1,991 at December 31, 2022 and December 31, 2021, respectively, related to consolidated VIEs)</w:t>
            </w:r>
          </w:p>
        </w:tc>
        <w:tc>
          <w:tcPr>
            <w:tcW w:w="2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$966 and $40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$6,971 and $0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5,143 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$415 and $113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211,983 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86,975 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$73,140 and $27,794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right-of use assets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9,200 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non-current portion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$2,923 and $1,163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$4,896 and $544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12,581 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 (includes $7,821 and $1,722 at December 31, 2022 and December 31, 2021, respectively, related to consolidated VIEs)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$646 and $0 at December 31, 2022 and December 31, 2021, respectively, related to consolidated VIEs)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88"/>
        <w:gridCol w:w="2375"/>
        <w:gridCol w:w="2386"/>
        <w:gridCol w:w="196"/>
        <w:gridCol w:w="736"/>
        <w:gridCol w:w="109"/>
        <w:gridCol w:w="109"/>
        <w:gridCol w:w="109"/>
        <w:gridCol w:w="109"/>
        <w:gridCol w:w="196"/>
        <w:gridCol w:w="736"/>
        <w:gridCol w:w="156"/>
      </w:tblGrid>
      <w:tr>
        <w:trPr/>
        <w:tc>
          <w:tcPr>
            <w:tcW w:w="2988"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term loan, current portion,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working capital facility,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 (includes $380 and $756 at December 31, 2022 and December 31, 2021,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$21,712 and $16,199 at December 31, 2022 and December 31, 2021,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138,142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30,210</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1,013,833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63,545</w:t>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December 31, 2022; 29,477,766 and 0 shares, issued and outstanding at December 31, 2022 and December 31, 2021,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December 31, 2022; None issued and outstanding as of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December 31, 2022; None issued and outstanding as of December 31, 2022 and December 31, 2021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December 31, 2022; 144,399,037 issued and outstanding at December 31, 2022 and December 31, 2021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Redeemable preferred, Redeemable non-controlling interests and Stockholders' (deficit)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Retroactively restated for the reverse capitalization upon completion of Business Combination as described in Note 3. </w:t>
      </w:r>
      <w:r>
        <w:rPr>
          <w:rFonts w:ascii="Times New Roman;sans-serif" w:hAnsi="Times New Roman;sans-serif"/>
          <w:b w:val="false"/>
          <w:i/>
          <w:color w:val="000000"/>
          <w:sz w:val="20"/>
        </w:rPr>
        <w:t>Business Combination.</w:t>
      </w:r>
      <w:r>
        <w:rPr>
          <w:color w:val="000000"/>
        </w:rPr>
        <w:t xml:space="preserve"> </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tbl>
      <w:tblPr>
        <w:tblW w:w="10205" w:type="dxa"/>
        <w:jc w:val="center"/>
        <w:tblInd w:w="0" w:type="dxa"/>
        <w:tblLayout w:type="fixed"/>
        <w:tblCellMar>
          <w:top w:w="28" w:type="dxa"/>
          <w:left w:w="28" w:type="dxa"/>
          <w:bottom w:w="28" w:type="dxa"/>
          <w:right w:w="28" w:type="dxa"/>
        </w:tblCellMar>
      </w:tblPr>
      <w:tblGrid>
        <w:gridCol w:w="2882"/>
        <w:gridCol w:w="2456"/>
        <w:gridCol w:w="2472"/>
        <w:gridCol w:w="202"/>
        <w:gridCol w:w="759"/>
        <w:gridCol w:w="109"/>
        <w:gridCol w:w="109"/>
        <w:gridCol w:w="109"/>
        <w:gridCol w:w="109"/>
        <w:gridCol w:w="196"/>
        <w:gridCol w:w="64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78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$76,920 and $0 for the years ended December 31, 2022 and 2021, respectively)</w:t>
            </w:r>
          </w:p>
        </w:tc>
        <w:tc>
          <w:tcPr>
            <w:tcW w:w="2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$5,495 and $3,008 for the years ended December 31, 2022 and 2021, respectively)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acquisition of equity method investment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Income from equity method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Paid-in-kind preferred dividends </w:t>
            </w:r>
            <w:r>
              <w:rPr>
                <w:rFonts w:ascii="Times New Roman;sans-serif" w:hAnsi="Times New Roman;sans-serif"/>
                <w:b w:val="false"/>
                <w:color w:val="000000"/>
                <w:sz w:val="12"/>
              </w:rPr>
              <w:t>(1)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attributable to Class A common stockholders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 :</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Basic </w:t>
            </w:r>
            <w:r>
              <w:rPr>
                <w:rFonts w:ascii="Times New Roman;sans-serif" w:hAnsi="Times New Roman;sans-serif"/>
                <w:b w:val="false"/>
                <w:color w:val="000000"/>
                <w:sz w:val="12"/>
              </w:rPr>
              <w:t>(2)</w:t>
            </w:r>
          </w:p>
        </w:tc>
        <w:tc>
          <w:tcPr>
            <w:tcW w:w="2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Diluted </w:t>
            </w:r>
            <w:r>
              <w:rPr>
                <w:rFonts w:ascii="Times New Roman;sans-serif" w:hAnsi="Times New Roman;sans-serif"/>
                <w:b w:val="false"/>
                <w:color w:val="000000"/>
                <w:sz w:val="12"/>
              </w:rPr>
              <w:t>(2)</w:t>
            </w:r>
          </w:p>
        </w:tc>
        <w:tc>
          <w:tcPr>
            <w:tcW w:w="2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Paid-in-kind preferred dividend is allocated between redeemable non-controlling interests and Class A common stockholders basis their weighted average percentage of ownership. Please see Note.14</w:t>
      </w:r>
      <w:r>
        <w:rPr>
          <w:color w:val="000000"/>
        </w:rPr>
        <w:t xml:space="preserve"> </w:t>
      </w:r>
      <w:r>
        <w:rPr>
          <w:rFonts w:ascii="Times New Roman;sans-serif" w:hAnsi="Times New Roman;sans-serif"/>
          <w:b w:val="false"/>
          <w:i/>
          <w:color w:val="000000"/>
          <w:sz w:val="18"/>
        </w:rPr>
        <w:t>Redeemable non-controlling interests, redeemable preferred non-controlling interests and stockholders' equity</w:t>
      </w:r>
      <w:r>
        <w:rPr>
          <w:color w:val="000000"/>
        </w:rPr>
        <w:t xml:space="preserve"> </w:t>
      </w:r>
      <w:r>
        <w:rPr>
          <w:rFonts w:ascii="Times New Roman;sans-serif" w:hAnsi="Times New Roman;sans-serif"/>
          <w:b w:val="false"/>
          <w:color w:val="000000"/>
          <w:sz w:val="18"/>
        </w:rPr>
        <w:t xml:space="preserve">for additional information. </w:t>
      </w:r>
    </w:p>
    <w:p>
      <w:pPr>
        <w:pStyle w:val="TextBody"/>
        <w:bidi w:val="0"/>
        <w:spacing w:lineRule="auto" w:line="288" w:before="200" w:after="20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Income per share information has not been presented for the year ended December 31, 2021</w:t>
      </w:r>
      <w:r>
        <w:rPr>
          <w:color w:val="000000"/>
        </w:rPr>
        <w:t xml:space="preserve"> </w:t>
      </w:r>
      <w:r>
        <w:rPr>
          <w:rFonts w:ascii="Times New Roman;sans-serif" w:hAnsi="Times New Roman;sans-serif"/>
          <w:b w:val="false"/>
          <w:color w:val="000000"/>
          <w:sz w:val="18"/>
        </w:rPr>
        <w:t xml:space="preserve">as it would not be meaningful to the users of these consolidated financial statements, Refer to Note 3. </w:t>
      </w:r>
      <w:r>
        <w:rPr>
          <w:rFonts w:ascii="Times New Roman;sans-serif" w:hAnsi="Times New Roman;sans-serif"/>
          <w:b w:val="false"/>
          <w:i/>
          <w:color w:val="000000"/>
          <w:sz w:val="18"/>
        </w:rPr>
        <w:t>Business Combination</w:t>
      </w:r>
      <w:r>
        <w:rPr>
          <w:rFonts w:ascii="Times New Roman;sans-serif" w:hAnsi="Times New Roman;sans-serif"/>
          <w:b w:val="false"/>
          <w:i/>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17"/>
        <w:gridCol w:w="2118"/>
        <w:gridCol w:w="2137"/>
        <w:gridCol w:w="109"/>
        <w:gridCol w:w="109"/>
        <w:gridCol w:w="109"/>
        <w:gridCol w:w="275"/>
        <w:gridCol w:w="941"/>
        <w:gridCol w:w="142"/>
        <w:gridCol w:w="142"/>
        <w:gridCol w:w="142"/>
        <w:gridCol w:w="142"/>
        <w:gridCol w:w="275"/>
        <w:gridCol w:w="941"/>
        <w:gridCol w:w="206"/>
      </w:tblGrid>
      <w:tr>
        <w:trPr/>
        <w:tc>
          <w:tcPr>
            <w:tcW w:w="241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comprehensive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preferred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CHANGES IN REDEEMABLE NON-CONTROLLING INTEREST, REDEEMABLE PREFERRED NON-CONTROLLING INTEREST AND STOCKHOLDERS' (DEFICIT)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unit data)</w:t>
      </w:r>
    </w:p>
    <w:p>
      <w:pPr>
        <w:pStyle w:val="TextBody"/>
        <w:bidi w:val="0"/>
        <w:spacing w:before="0" w:after="0"/>
        <w:jc w:val="center"/>
        <w:rPr/>
      </w:pPr>
      <w:r>
        <w:rPr/>
      </w:r>
    </w:p>
    <w:tbl>
      <w:tblPr>
        <w:tblW w:w="17690" w:type="dxa"/>
        <w:jc w:val="center"/>
        <w:tblInd w:w="0" w:type="dxa"/>
        <w:tblLayout w:type="fixed"/>
        <w:tblCellMar>
          <w:top w:w="28" w:type="dxa"/>
          <w:left w:w="28" w:type="dxa"/>
          <w:bottom w:w="28" w:type="dxa"/>
          <w:right w:w="28" w:type="dxa"/>
        </w:tblCellMar>
      </w:tblPr>
      <w:tblGrid>
        <w:gridCol w:w="690"/>
        <w:gridCol w:w="277"/>
        <w:gridCol w:w="279"/>
        <w:gridCol w:w="109"/>
        <w:gridCol w:w="109"/>
        <w:gridCol w:w="109"/>
        <w:gridCol w:w="190"/>
        <w:gridCol w:w="167"/>
        <w:gridCol w:w="109"/>
        <w:gridCol w:w="109"/>
        <w:gridCol w:w="109"/>
        <w:gridCol w:w="109"/>
        <w:gridCol w:w="229"/>
        <w:gridCol w:w="229"/>
        <w:gridCol w:w="233"/>
        <w:gridCol w:w="109"/>
        <w:gridCol w:w="109"/>
        <w:gridCol w:w="109"/>
        <w:gridCol w:w="306"/>
        <w:gridCol w:w="306"/>
        <w:gridCol w:w="304"/>
        <w:gridCol w:w="109"/>
        <w:gridCol w:w="109"/>
        <w:gridCol w:w="109"/>
        <w:gridCol w:w="225"/>
        <w:gridCol w:w="225"/>
        <w:gridCol w:w="226"/>
        <w:gridCol w:w="109"/>
        <w:gridCol w:w="109"/>
        <w:gridCol w:w="109"/>
        <w:gridCol w:w="336"/>
        <w:gridCol w:w="336"/>
        <w:gridCol w:w="334"/>
        <w:gridCol w:w="109"/>
        <w:gridCol w:w="109"/>
        <w:gridCol w:w="109"/>
        <w:gridCol w:w="225"/>
        <w:gridCol w:w="225"/>
        <w:gridCol w:w="226"/>
        <w:gridCol w:w="109"/>
        <w:gridCol w:w="109"/>
        <w:gridCol w:w="109"/>
        <w:gridCol w:w="280"/>
        <w:gridCol w:w="280"/>
        <w:gridCol w:w="281"/>
        <w:gridCol w:w="109"/>
        <w:gridCol w:w="109"/>
        <w:gridCol w:w="109"/>
        <w:gridCol w:w="340"/>
        <w:gridCol w:w="340"/>
        <w:gridCol w:w="341"/>
        <w:gridCol w:w="109"/>
        <w:gridCol w:w="109"/>
        <w:gridCol w:w="109"/>
        <w:gridCol w:w="385"/>
        <w:gridCol w:w="385"/>
        <w:gridCol w:w="386"/>
        <w:gridCol w:w="109"/>
        <w:gridCol w:w="109"/>
        <w:gridCol w:w="109"/>
        <w:gridCol w:w="420"/>
        <w:gridCol w:w="420"/>
        <w:gridCol w:w="421"/>
        <w:gridCol w:w="327"/>
        <w:gridCol w:w="1036"/>
        <w:gridCol w:w="327"/>
        <w:gridCol w:w="1201"/>
        <w:gridCol w:w="327"/>
        <w:gridCol w:w="1246"/>
      </w:tblGrid>
      <w:tr>
        <w:trPr/>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Legacy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previously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$30,459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Retroactive application of recapitalization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(49,170)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25,396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 as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142,377,450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6,699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23,760</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41,573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56,231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3,158</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Redeemable preferred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(29,913)</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(332)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(9,124)</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7,531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(3,695)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639</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(30,679)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(210)</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1,202</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63,545</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29,597</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1,093</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preferred non-controlling interest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(267)</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the reverse recapitalization and PIPE Investments, net of warrant liability, put option and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22,611,857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68,359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Note Payable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30,595</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Private and 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3,806,376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7,859</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18,061</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(103,804)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(804,204)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908,008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23,234</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(132)</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on payment to acquire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(183)</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170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1,299</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(744)</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(7,188)</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29,477,766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144,399,037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$26,445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$(774,156)</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$138,142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$1,013,833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before="0" w:after="0"/>
        <w:jc w:val="center"/>
        <w:rPr/>
      </w:pPr>
      <w:r>
        <w:rPr/>
      </w:r>
    </w:p>
    <w:tbl>
      <w:tblPr>
        <w:tblW w:w="8739" w:type="dxa"/>
        <w:jc w:val="left"/>
        <w:tblInd w:w="0" w:type="dxa"/>
        <w:tblLayout w:type="fixed"/>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64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(used in)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exchange of Warrants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PPA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the earnout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Gain on repayment of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18"/>
              </w:rPr>
              <w:t>Gain on acquisition of equity method investment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businesses acquired: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on previously recorded paid-in-kind 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acquired on acquisition of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Deconsolidation of VIEs, net of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short term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Capitalized interest attributable to equity method investments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83"/>
        <w:gridCol w:w="2516"/>
        <w:gridCol w:w="2530"/>
        <w:gridCol w:w="196"/>
        <w:gridCol w:w="646"/>
        <w:gridCol w:w="109"/>
        <w:gridCol w:w="109"/>
        <w:gridCol w:w="109"/>
        <w:gridCol w:w="109"/>
        <w:gridCol w:w="196"/>
        <w:gridCol w:w="646"/>
        <w:gridCol w:w="156"/>
      </w:tblGrid>
      <w:tr>
        <w:trPr/>
        <w:tc>
          <w:tcPr>
            <w:tcW w:w="2883"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repayment of Note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Sunoma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received from Business Combination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 - working capital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Trustar Revolver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non-redeemable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redeemable preferred non-controlling interests, related party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members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members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$3,678 and $861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Convertible Note Payable related to business acquisition, excluding paid-in-kind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Convertible Note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Class A common stock issued for redemption of Public and Private warrants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Derivative warrant liabilities assumed related to Business Combination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Earnout liabilities related to Business Combination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put option on a forward purchase agreement related to Business Combination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dividend on redeemable preferred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for finance leases as of January 1, 2022 included in Property, Plant and equipment, net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for finance leases as of January 1, 2022 included in Other long-term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deferred financing costs included in Accrued expenses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(formerly known as ArcLight Clean Transition Corp. II) was incorporated as a Cayman Islands exempted company on January 13, 2021. The Company was incorporated for the purpose of effecting a merger, share exchange, asset acquisition, share purchase, reorganization or similar business combination with one or more businesses.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On December 2, 2021, the Company, OPAL HoldCo LLC ("OPAL Holdco") and OPAL Fuels LLC, a Delaware limited liability company ("OPAL Fuels" or "Opco" ), entered into a business combination agreement </w:t>
      </w:r>
      <w:r>
        <w:rPr>
          <w:rFonts w:ascii="Times New Roman;sans-serif" w:hAnsi="Times New Roman;sans-serif"/>
          <w:b w:val="false"/>
          <w:color w:val="000000"/>
          <w:sz w:val="20"/>
          <w:shd w:fill="FFFFFF" w:val="clear"/>
        </w:rPr>
        <w:t>(as it may be amended, supplemented or otherwise modified from time to time, the “Business Combination Agreement”)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On July 21, 2022, we closed the Business Combination Agreement and consummated the transactions contemplated thereby (the “Business Combination”). The Business Combination Agreement and the Business Combination were unanimously approved by the boards of directors of the Company and OPAL Fuels, and also approved by OPAL Holdco, the sole member of OPAL Fuels.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Pursuant to the Business Combination Agreement, on July 21, 2022, (the "Closing Date"),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p>
    <w:p>
      <w:pPr>
        <w:pStyle w:val="TextBody"/>
        <w:bidi w:val="0"/>
        <w:spacing w:before="0" w:after="0"/>
        <w:ind w:left="0" w:right="0" w:firstLine="360"/>
        <w:jc w:val="both"/>
        <w:rPr/>
      </w:pPr>
      <w:r>
        <w:rPr/>
      </w:r>
    </w:p>
    <w:p>
      <w:pPr>
        <w:pStyle w:val="TextBody"/>
        <w:bidi w:val="0"/>
        <w:spacing w:lineRule="auto" w:line="288"/>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 the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to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(such amendment, the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Amendment”). On December 22, 2022, the Company closed on the Offer and the Consent Solicitation. The Company issued 3,309,296 and 497,080 shares of Class A common stock in exchange for the 100% of the outstanding Warrants and recorded $25,920 as fair value of shares of Class A common stock issued based on the weighted average closing share price of $6.80 and $6.87 on December 22, 2022 and December 23, 2022, respectively. The Company recorded $3,368 as loss on exchange of warrants in its consolidated statement of operations for the year ended December 31, 2022. </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categorized the coronavirus disease 2019 ("COVID-19") as a pandemic and the President of the 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 of operations as of, and for the year ended December 31,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impact of the COVID-19 pandemic on the Company's business will depend on a number of factors, including, but not limited to, the duration and severity of the pandemic and its impact on our customers, all of which are uncertain and cannot be predicted.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prepared in accordance with generally accepted accounting principles in the United States ("U.S. GAAP") and includes the accounts of the Company and all other entities in which the Company has a controlling financial interest: Fortistar Methane 3 LLC (“FM3”), Fortistar Methane 4 LLC, Beacon RNG LLC (“Beacon”) Sunoma Holdings, LLC (“Sunoma”), Emerald RNG LLC (“Emerald”), Sapphire RNG LLC (“Sapphire”), New River LLC (“New River”), Reynolds NRG LLC (“Reynolds”), Central Valley LLC (“Central Valley”), Prince William RNG LLC (“Prince William”), Fortistar Contracting LLC, Fortistar RNG LLC, and OPAL Fuel station services LLC (“Fuel station services”).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equity in the consolidated balance sheets and as a non-redeemable non-controlling interests in the consolidated statements of changes in redeemable non-controlling interests, redeemable preferred non-controlling interests and Stockholders' (deficit) equity.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 balance sheets as “Investments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Sunoma, GREP BTB Holdings LLC (“GREP”), Emerald RNG LLC (“Emerald”), Sapphire RNG LLC (“Sapphire”) and Central Valley. GREP has been presented as an equity method investment and the remaining four VIEs Sunoma,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Emerald, Sapphire and Central Valley are consolidated by the Company. Investments in unconsolidated entities in which the Company can influence the operating or financial decisions are accounted for under the equity method. As of December 31, 2022 and 2021, the Company accounted for its ownership interests in Pine Bend RNG LLC ("Pine Bend"), Noble Road RNG LLC ("Noble Road") and GREP BTB Holdings LLC ("GREP") under the equity method. The Company's interests in Beacon for the period between January 1, 2021 and April 30, 2021 were accounted for under the equity method. Beacon was consolidated after acquisition of remaining ownership interests increasing the ownership interest from 44.3% to 100% on May 1, 2021.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Financial Accounting Standards Board's ("FASB") Accounting Standards Codification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 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 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recapitalization had no effect on reported net loss and comprehensive income, cash flows, total assets or members' equity as previously reported.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resulted in an umbrella partnership corporation (“Up-C”) structure, which is often used by partnerships and limited liability companies (operating as partnerships) undertaking an initial public offering. The Up-C structure allowed OPAL Fuels equity holders to retain their equity ownership in OPAL Fuels, an entity that is classified as a partnership for U.S. federal income tax purposes, and provides potential future tax benefits for the Company when the OPAL Fuels equity holders ultimately redeem their pass-through interests for shares of Class A common stock in OPAL Fuels Inc.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fair value of the Convertible Note Payable (as defined below), the impairment assessment of goodwill, and the fair value of derivative instruments. Actual results could differ from those estimates.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Leases (Topic 842) requiring lessees to record the assets and liabilities for operating leases on the balance sheet. This standard is effective for fiscal years beginning after December 15, 2020, with early adoption permitted. In April 2020, the FASB voted to defer the effective date for Leases for private companies and certain not-for-profit entities for one year.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ASC 842 as of January 1, 2022 and evaluated all of its contracts and recorded right-of-use assets and corresponding lease liabilities on its consolidated balance sheet as of December 31, 2022.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adopted ASC 842 using the modified retrospective transition method of adoption. Under this method, the cumulative effect of applying the new lease standard is recorded with no restatement of any comparative prior periods presented. As provided by ASC 842, the Company elected to record the required cumulative effect adjustments to the opening balance sheet in the period of adoption rather than in the earliest comparative period presented. As a result, prior periods as reported by the Company have not been impacted by the adoption.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its adoption of ASC 842, the Company elected the "package of 3" practical expedients permitted under the transition guidance which are described below in which the Company is:</w:t>
      </w:r>
    </w:p>
    <w:p>
      <w:pPr>
        <w:pStyle w:val="TextBody"/>
        <w:bidi w:val="0"/>
        <w:spacing w:lineRule="auto" w:line="288" w:before="240" w:after="283"/>
        <w:ind w:left="0" w:right="0" w:firstLine="720"/>
        <w:jc w:val="both"/>
        <w:rPr>
          <w:color w:val="000000"/>
        </w:rPr>
      </w:pPr>
      <w:r>
        <w:rPr>
          <w:color w:val="000000"/>
        </w:rPr>
        <w:t xml:space="preserve">• </w:t>
      </w:r>
      <w:r>
        <w:rPr>
          <w:rFonts w:ascii="Times New Roman;sans-serif" w:hAnsi="Times New Roman;sans-serif"/>
          <w:b w:val="false"/>
          <w:color w:val="000000"/>
          <w:sz w:val="20"/>
        </w:rPr>
        <w:t>Allowed not to reassess whether any expired or existing contracts are or contain leases.</w:t>
      </w:r>
    </w:p>
    <w:p>
      <w:pPr>
        <w:pStyle w:val="TextBody"/>
        <w:bidi w:val="0"/>
        <w:spacing w:lineRule="auto" w:line="288" w:before="0" w:after="0"/>
        <w:ind w:left="0" w:right="0" w:firstLine="720"/>
        <w:jc w:val="left"/>
        <w:rPr>
          <w:color w:val="000000"/>
        </w:rPr>
      </w:pPr>
      <w:r>
        <w:rPr>
          <w:color w:val="000000"/>
        </w:rPr>
        <w:t xml:space="preserve">• </w:t>
      </w:r>
      <w:r>
        <w:rPr>
          <w:rFonts w:ascii="Times New Roman;sans-serif" w:hAnsi="Times New Roman;sans-serif"/>
          <w:b w:val="false"/>
          <w:color w:val="000000"/>
          <w:sz w:val="20"/>
        </w:rPr>
        <w:t>Allowed not to reassess any expired or existing lease classifications.</w:t>
      </w:r>
    </w:p>
    <w:p>
      <w:pPr>
        <w:pStyle w:val="TextBody"/>
        <w:bidi w:val="0"/>
        <w:spacing w:lineRule="auto" w:line="288" w:before="0" w:after="0"/>
        <w:ind w:left="0" w:right="0" w:firstLine="720"/>
        <w:jc w:val="left"/>
        <w:rPr>
          <w:color w:val="000000"/>
        </w:rPr>
      </w:pPr>
      <w:r>
        <w:rPr>
          <w:color w:val="000000"/>
        </w:rPr>
        <w:t xml:space="preserve">• </w:t>
      </w:r>
      <w:r>
        <w:rPr>
          <w:rFonts w:ascii="Times New Roman;sans-serif" w:hAnsi="Times New Roman;sans-serif"/>
          <w:b w:val="false"/>
          <w:color w:val="000000"/>
          <w:sz w:val="20"/>
        </w:rPr>
        <w:t>Allowed not to reassess initial direct costs for any existing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elected the practical expedient allowed under the transition guidance of ASC 842 to not separate the lease and non-lease components related to a lease contract and to account for them as a single lease component for the purposes of the recognition and measurement requirements of ASC 842.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not to use the practical expedient of hindsight in determining the lease term and in assessing the impairment of the Company's lease right-of-use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not to recognize right-of-use assets and related lease liabilities for short term leases with the original lease term of less than 12 months. </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As required by ASC 842, the Company's disclosures around its leasing activities have been significantly expanded to enable users of our consolidated financial statements to assess the amount, timing and uncertainty of cash flows arising from lease arrangements. Please see Note 9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FASB issued ASU 2016-13, Financial Instruments — Credit Losses, with the objective of providing financial statement users information about the credit risk inherent in an entity’s financial statements as well as to explain management’s estimate of expected credit losses and the changes in the allowance for such losses. This standard is effective for the Company from March 31, 2023. The Company does not expect to have a material impact to its financial statements upon adoption. </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In June 2022, the FASB issued Accounting Standards Update ("ASU") 2022-03,</w:t>
      </w:r>
      <w:r>
        <w:rPr>
          <w:color w:val="000000"/>
        </w:rPr>
        <w:t xml:space="preserve"> </w:t>
      </w:r>
      <w:r>
        <w:rPr>
          <w:rFonts w:ascii="Times New Roman;sans-serif" w:hAnsi="Times New Roman;sans-serif"/>
          <w:b w:val="false"/>
          <w:i/>
          <w:color w:val="000000"/>
          <w:sz w:val="20"/>
        </w:rPr>
        <w:t xml:space="preserve">Fair Value Measurement of Equity Securities Subject to Contractual Sale Restrictions </w:t>
      </w:r>
      <w:r>
        <w:rPr>
          <w:rFonts w:ascii="Times New Roman;sans-serif" w:hAnsi="Times New Roman;sans-serif"/>
          <w:b w:val="false"/>
          <w:color w:val="000000"/>
          <w:sz w:val="20"/>
        </w:rPr>
        <w:t>which states that a contractual restriction on the sale of an equity security is not considered part of the unit of account of the equity security and therefore, is not considered in measuring fair value. The ASU clarifies that an entity cannot, as a separate unit of account, recognize and measure a contractual sale restriction. The ASU requires an entity to disclose (i) the fair value of equity securities subject to contractual sale restrictions reflected in the balance sheet (ii) the nature and remaining duration of the restriction and (iii) the circumstances that could cause a lapse in the restriction. The amendments in this ASU are effective for fiscal years beginning after December 15, 2023, and interim periods within those fiscal years for public entities and fiscal year beginning December 15, 2024 for all other entities. The Company is currently evaluating the impact on its financial statements of adopting this standard.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December 31, 2022 and December 31, 2021</w:t>
      </w:r>
    </w:p>
    <w:tbl>
      <w:tblPr>
        <w:tblW w:w="6459" w:type="dxa"/>
        <w:jc w:val="left"/>
        <w:tblInd w:w="0" w:type="dxa"/>
        <w:tblLayout w:type="fixed"/>
        <w:tblCellMar>
          <w:top w:w="28" w:type="dxa"/>
          <w:left w:w="28" w:type="dxa"/>
          <w:bottom w:w="28" w:type="dxa"/>
          <w:right w:w="28" w:type="dxa"/>
        </w:tblCellMar>
      </w:tblPr>
      <w:tblGrid>
        <w:gridCol w:w="1259"/>
        <w:gridCol w:w="1105"/>
        <w:gridCol w:w="1116"/>
        <w:gridCol w:w="109"/>
        <w:gridCol w:w="109"/>
        <w:gridCol w:w="109"/>
        <w:gridCol w:w="235"/>
        <w:gridCol w:w="775"/>
        <w:gridCol w:w="130"/>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left"/>
              <w:rPr>
                <w:color w:val="000000"/>
              </w:rPr>
            </w:pPr>
            <w:r>
              <w:rPr>
                <w:color w:val="000000"/>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primarily consists of (i) $16,849 held in escrow to secure the Company's purchase obligations under the forward purchase agreement with Meteora (See Note.3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for additional information). (ii) $5,845 equity contribution to a joint venture in connection with the closing of OPAL Term Loan II (iii) $1,127 relates to interest reserve on Sunoma Loan and (iv) $8,581 held in a restricted account for funding one of our RNG projects. </w:t>
      </w:r>
    </w:p>
    <w:p>
      <w:pPr>
        <w:pStyle w:val="TextBody"/>
        <w:bidi w:val="0"/>
        <w:spacing w:lineRule="auto" w:line="288" w:before="16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$64,976 consists of cash received upon closing of the Business Combination invested in money market accounts with maturities ranging between 1 and 12 months as of December 31, 2022. The amounts in these money market accounts are liquid and available for general use.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Transaction costs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costs consists of direct legal, consulting, audit and other fees related to the consummation of the Business Combination and other debt facilities. These costs were initially capitalized as incurred and recorded as Deferred financing costs in the consolidated balance sheet. Upon the completion of the Business Combination, transaction costs directly related to the issuance of shares were recognized as an offset to additional paid-in capital within the consolidated statements of changes in redeemable non-controlling interest, redeemable preferred non-controlling interest and stockholders' (deficit) equity. The Company incurred $8,097 in transaction costs consisting of legal and professional fees, which were recorded as an offset to additional paid-in capital. As of December 31, 2022, the Company recorded $3,013 as deferred financing costs related to OPAL Term Loan II on its consolidated balance sheet. There have been no borrowings to date under that debt facility.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Derivative warrant liabilities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the Public Warrants and Private Warrants upon the completion of the Business Combination. The Company accounted for warrants for shares of the Company's stock that are not indexed to its own stock as liabilities at fair value on the consolidated balance sheet. The warrants were remeasured at each balance sheet date and any change in fair value is recognized in the Company's consolidated statement of operations as part of change in fair value of derivative instruments, net. In December 2022, the Warrants were exchanged in an exchange offer for shares of Class A common stock. The loss on the exchange of $3,368 was recorded as part of Other (expense) income in its consolidated statement of operations for the year ended December 31, 2022. The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incurred $1147 in third party legal fees and advisor fees relating to the transaction which were expensed as incurred and included in Selling, general and administrative expenses in the consolidated statement of operations for the year ended December 31, 2022.</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Earnout Awards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and pursuant to a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2022, the Company recorded a total gain of $37,111 from the Sponsor and OPAL earn-out awards in its consolidated statement of operations.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Put option on forward purchase agreement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 xml:space="preserve">Prior to the closing of Business Combination, the Company entered into a forward purchase agreement with Meteora Capital Partners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 change in the fair market value recognized in the consolidated statement of operations as part of change in fair value of derivative instruments, net. For the year ended December 31, 2022, the Company recorded a gain of $134 in its consolidated statement of operations. See Note.3</w:t>
      </w:r>
      <w:r>
        <w:rPr>
          <w:color w:val="000000"/>
        </w:rPr>
        <w:t xml:space="preserve">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and Note 10.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was created as a result of the Business Combination and represents 144,399,037 Class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December 31, 2022, the Company recorded an adjustment of $908,008.</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issues stock-based compensation utilizing both stock options and stock grants.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Please see Note 17.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 for additional information. Forfeitures are recognized as they occur.</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Business Combination was accounted for as a reverse recapitalization as OPAL Fuels was determined to be the accounting acquirer under FASB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Accordingly, for accounting purposes, the transaction is treated as the equivalent of OPAL Fuels issuing stock for the net assets of ArcLight, accompanied by a recapitalization.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doubtful accounts was $0 and $0 at December 31, 2022 and December 31, 2021.</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Fuel Tax Credit Receivable/Payable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accrued federal fuel tax credits of $0.50 per gasoline gallon equivalent of CNG that the Company sold as vehicle fuel in 2022. At December 31, 2022 and 2021, fuel tax credits receivable were $4,144 and $2,393, respectively. Under the terms of its fuel sales agreements with certain of its customers, the Company is obligated to share portions of these tax credits. At December 31, 2022 and 2021, the amounts of fuel tax credits owed to customers were $3,320 and $1,978, respectively. The Company recorded its portion of tax credits earned as a reduction to cost of sales — RNG fuel in the consolidated statements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estimated the value of its total asset retirement obligations to be $6,256 and $5,738,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December 31, 2022:</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tbl>
      <w:tblPr>
        <w:tblW w:w="5143" w:type="dxa"/>
        <w:jc w:val="left"/>
        <w:tblInd w:w="0" w:type="dxa"/>
        <w:tblLayout w:type="fixed"/>
        <w:tblCellMar>
          <w:top w:w="28" w:type="dxa"/>
          <w:left w:w="28" w:type="dxa"/>
          <w:bottom w:w="28" w:type="dxa"/>
          <w:right w:w="28" w:type="dxa"/>
        </w:tblCellMar>
      </w:tblPr>
      <w:tblGrid>
        <w:gridCol w:w="1433"/>
        <w:gridCol w:w="1258"/>
        <w:gridCol w:w="1268"/>
        <w:gridCol w:w="256"/>
        <w:gridCol w:w="727"/>
        <w:gridCol w:w="201"/>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00"/>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RECs, and LCFS are generally recorded as revenue when the certificates related to them are delivered to a buyer. However, the Company may recognize revenue from the sale of such environmental attributes at the time of the related RNG or renewable power sales when the contract provides that title to the environmental attributes transfers at the time of production, the Company's price to the buyer is fixed, and collection of the sales proceeds occurs within 60 days after generation of the renewable power.</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9. </w:t>
      </w:r>
      <w:r>
        <w:rPr>
          <w:rFonts w:ascii="Times New Roman;sans-serif" w:hAnsi="Times New Roman;sans-serif"/>
          <w:b w:val="false"/>
          <w:i/>
          <w:color w:val="000000"/>
          <w:sz w:val="20"/>
        </w:rPr>
        <w:t>Leases.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tbl>
      <w:tblPr>
        <w:tblW w:w="6051"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196"/>
        <w:gridCol w:w="736"/>
        <w:gridCol w:w="109"/>
        <w:gridCol w:w="109"/>
        <w:gridCol w:w="109"/>
        <w:gridCol w:w="109"/>
        <w:gridCol w:w="196"/>
        <w:gridCol w:w="736"/>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 The Company classified them as operating leases under ASC 840 and made the election not to re-assess the classification upon adoption of ASC 842 on January 1, 2022. On August 25, 2022, one of the above fuel purchase agreements was amended which required the Company to re-assess the contract under ASC 842. The Company determined that the contract is no longer considered a lease under ASC 842. The lease revenue line above includes revenue for that contract only from January 1, 2022 to August 31, 2022. Please see Note.9 Leases for additional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and 2021, 21% and 28.9%, respectively of revenue was recognized over time, and the remainder was for products and services transferred at a point in time.</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4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tbl>
      <w:tblPr>
        <w:tblW w:w="5135" w:type="dxa"/>
        <w:jc w:val="left"/>
        <w:tblInd w:w="0" w:type="dxa"/>
        <w:tblLayout w:type="fixed"/>
        <w:tblCellMar>
          <w:top w:w="28" w:type="dxa"/>
          <w:left w:w="28" w:type="dxa"/>
          <w:bottom w:w="28" w:type="dxa"/>
          <w:right w:w="28" w:type="dxa"/>
        </w:tblCellMar>
      </w:tblPr>
      <w:tblGrid>
        <w:gridCol w:w="1038"/>
        <w:gridCol w:w="910"/>
        <w:gridCol w:w="916"/>
        <w:gridCol w:w="109"/>
        <w:gridCol w:w="109"/>
        <w:gridCol w:w="109"/>
        <w:gridCol w:w="196"/>
        <w:gridCol w:w="556"/>
        <w:gridCol w:w="109"/>
        <w:gridCol w:w="109"/>
        <w:gridCol w:w="109"/>
        <w:gridCol w:w="109"/>
        <w:gridCol w:w="196"/>
        <w:gridCol w:w="40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redemption of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Contract Assets</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267" w:type="dxa"/>
        <w:jc w:val="left"/>
        <w:tblInd w:w="0" w:type="dxa"/>
        <w:tblLayout w:type="fixed"/>
        <w:tblCellMar>
          <w:top w:w="28" w:type="dxa"/>
          <w:left w:w="28" w:type="dxa"/>
          <w:bottom w:w="28" w:type="dxa"/>
          <w:right w:w="28" w:type="dxa"/>
        </w:tblCellMar>
      </w:tblPr>
      <w:tblGrid>
        <w:gridCol w:w="1311"/>
        <w:gridCol w:w="1148"/>
        <w:gridCol w:w="1156"/>
        <w:gridCol w:w="235"/>
        <w:gridCol w:w="775"/>
        <w:gridCol w:w="130"/>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twelve months ended December 31, 2022, the Company recognized revenue of $9,785 that was included in "Contract liabilities" at December 31, 2021. During the twelve months ended December 31, 2021, the Company recognized revenue of $4,678 that was included in "Contract liabilities" at December 31, 2020.</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Parts Inventory</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0"/>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 and $— as of December 31, 2022 and 2021, respectively. Cost is determined using the average cost method.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 Spares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 expensed when placed into service as part of a routine maintenance project or capitalized when part of a plant improvement project.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 net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pStyle w:val="TextBody"/>
        <w:bidi w:val="0"/>
        <w:spacing w:before="0" w:after="0"/>
        <w:jc w:val="left"/>
        <w:rPr/>
      </w:pPr>
      <w:r>
        <w:rPr/>
      </w:r>
    </w:p>
    <w:tbl>
      <w:tblPr>
        <w:tblW w:w="5831" w:type="dxa"/>
        <w:jc w:val="left"/>
        <w:tblInd w:w="0" w:type="dxa"/>
        <w:tblLayout w:type="fixed"/>
        <w:tblCellMar>
          <w:top w:w="28" w:type="dxa"/>
          <w:left w:w="28" w:type="dxa"/>
          <w:bottom w:w="28" w:type="dxa"/>
          <w:right w:w="28" w:type="dxa"/>
        </w:tblCellMar>
      </w:tblPr>
      <w:tblGrid>
        <w:gridCol w:w="951"/>
        <w:gridCol w:w="834"/>
        <w:gridCol w:w="840"/>
        <w:gridCol w:w="109"/>
        <w:gridCol w:w="109"/>
        <w:gridCol w:w="109"/>
        <w:gridCol w:w="842"/>
        <w:gridCol w:w="842"/>
        <w:gridCol w:w="119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5 - 30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CNG/RNG fueling stations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10-20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40 years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shorter of lease term or useful life </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software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years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RNG inventory relates to storage of an equivalent amount of RNG production from our new RNG facilities during their RIN and LCFS certification period. It is sold to various customers at market prices upon obtaining RIN or LCFS certification. It is recorded at cost and adjusted to its net realizable value at each balance sheet date.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December 31, 2022, the Company had a backlog of $65,657 of which $58,258 is anticipated to be recognized as revenue in the next 12 months.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Major maintenance is a component of maintenance expense and encompasses overhauls of internal combustion engines, gas compressors and electrical generators. Major maintenance is expensed as incurred. Major maintenance expense was $4,701 and $5,946 for the years ended December 31, 2022 and 2021 respectively, and is included in cost of sales — renewable power in the consolidated statements of operations.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2022. As a result of these tests, the Company determined that the fair value of its reporting unit exceeded its carrying value and, thus, the Company determined that goodwill was not impaired.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Intangible Assets and Liabilities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2022 and 2021.</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w:t>
      </w:r>
    </w:p>
    <w:p>
      <w:pPr>
        <w:pStyle w:val="TextBody"/>
        <w:bidi w:val="0"/>
        <w:spacing w:before="0" w:after="0"/>
        <w:ind w:left="0" w:right="0" w:firstLine="720"/>
        <w:jc w:val="both"/>
        <w:rPr/>
      </w:pPr>
      <w:r>
        <w:rPr/>
      </w:r>
    </w:p>
    <w:p>
      <w:pPr>
        <w:pStyle w:val="TextBody"/>
        <w:bidi w:val="0"/>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Derivative Instruments</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color w:val="000000"/>
        </w:rPr>
      </w:pPr>
      <w:r>
        <w:rPr>
          <w:color w:val="000000"/>
        </w:rPr>
        <w:t>    </w:t>
      </w:r>
      <w:r>
        <w:rPr>
          <w:rFonts w:ascii="Times New Roman;sans-serif" w:hAnsi="Times New Roman;sans-serif"/>
          <w:b w:val="false"/>
          <w:color w:val="000000"/>
          <w:sz w:val="20"/>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2022. Please see Note 10. Derivative Financial Instruments and fair value measurements for additional information.</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2022 and 2021.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two customers accounted for 49% of revenue. For the year ended 2021, three customers accounted for 45% of revenue. At December 31, 2022, two customers accounted for 44% of accounts receivable. At December 31, 2021, two customers accounted for 26%, of accounts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As of December 31, 2022</w:t>
      </w:r>
      <w:r>
        <w:rPr>
          <w:color w:val="000000"/>
        </w:rPr>
        <w:t xml:space="preserve"> </w:t>
      </w:r>
      <w:r>
        <w:rPr>
          <w:rFonts w:ascii="Times New Roman;sans-serif" w:hAnsi="Times New Roman;sans-serif"/>
          <w:b w:val="false"/>
          <w:color w:val="000000"/>
          <w:sz w:val="20"/>
        </w:rPr>
        <w:t xml:space="preserve">one vendor accounted for 18.7% of the accounts payable. As of December 31, 2021, no vendors accounted for greater than 10% of the accounts payable.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2022 and 2021, the Company did not identify any impairments on its investments in other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3.Business Combination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 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 $11.50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consummation of the Business Combination, the events summarized below, among others, occurred: </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consolidated financial statements. Each Class B unit is paired with 1 non-economic share of Class D common stock issued by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both"/>
        <w:rPr/>
      </w:pPr>
      <w:r>
        <w:rPr>
          <w:color w:val="000000"/>
        </w:rPr>
        <w:t xml:space="preserve">• </w:t>
      </w:r>
      <w:r>
        <w:rPr>
          <w:rFonts w:ascii="Times New Roman;sans-serif" w:hAnsi="Times New Roman;sans-serif"/>
          <w:b w:val="false"/>
          <w:color w:val="000000"/>
          <w:sz w:val="20"/>
        </w:rPr>
        <w:t>ArcLight (i) contributed to OPAL Fuels $138,850 in cash net of transaction expenses of $9,770,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pStyle w:val="TextBody"/>
        <w:bidi w:val="0"/>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OPAL Fuels issued 25,671,390 Class A Units of OPAL Fuels to the Company; and</w:t>
      </w:r>
    </w:p>
    <w:p>
      <w:pPr>
        <w:pStyle w:val="TextBody"/>
        <w:bidi w:val="0"/>
        <w:spacing w:lineRule="auto" w:line="288" w:before="240" w:after="283"/>
        <w:ind w:left="0" w:right="0" w:firstLine="360"/>
        <w:jc w:val="both"/>
        <w:rPr/>
      </w:pPr>
      <w:r>
        <w:rPr>
          <w:color w:val="000000"/>
        </w:rPr>
        <w:t xml:space="preserve">• </w:t>
      </w:r>
      <w:r>
        <w:rPr>
          <w:rFonts w:ascii="Times New Roman;sans-serif" w:hAnsi="Times New Roman;sans-serif"/>
          <w:b w:val="false"/>
          <w:color w:val="000000"/>
          <w:sz w:val="20"/>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pStyle w:val="TextBody"/>
        <w:bidi w:val="0"/>
        <w:spacing w:before="0" w:after="0"/>
        <w:jc w:val="left"/>
        <w:rPr/>
      </w:pPr>
      <w:r>
        <w:rPr/>
      </w:r>
    </w:p>
    <w:p>
      <w:pPr>
        <w:pStyle w:val="TextBody"/>
        <w:bidi w:val="0"/>
        <w:spacing w:lineRule="auto" w:line="240" w:before="0" w:after="0"/>
        <w:ind w:left="0" w:right="0" w:firstLine="360"/>
        <w:jc w:val="both"/>
        <w:rPr/>
      </w:pPr>
      <w:r>
        <w:rPr>
          <w:rFonts w:ascii="Times New Roman;sans-serif" w:hAnsi="Times New Roman;sans-serif"/>
          <w:b w:val="false"/>
          <w:color w:val="000000"/>
          <w:sz w:val="20"/>
        </w:rPr>
        <w:t xml:space="preserve">Pursuant to a forward share purchase agreement (the “Forward Purchase Agreement”) entered into between ArcLight and Meteora and its affiliates (collectively, “Meteora”), prior to the closing of the Business Combination Meteora purchased 2,000,000 Class A common stock of ArcLight from shareholders who had previously tendered such shares for redemption but agreed to reverse their redemption and sell such shares to Meteora at the redemption price, resulting in Meteora holding a total of 2,000,000 Class A common stock, which Meteora agreed not to redeem in connection with the Business Combination. Additionally, ArcLight placed $20,040 in escrow at the closing of the Business Combination to secure its purchase obligation to repurchase these 2,000,000 shares at Meteora’s option for a price of $10.02 per share on the date that is six months after closing of the Business Combination. The cash plus earned interest is recorded as Restricted cash - current in the Company's consolidated balance sheet as of December 31, 2022. The put option written to Meteora on 2,000,000 shares of Class A common stock is recorded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 xml:space="preserve">the change in the fair market value recognized in the statement of operations. As of December 31, 2022, Meteora sold 364,217 shares. Subsequent to the year end, the agreement terminated and the Company performed on its obligation to repurchase the 1,635,783 shares. Please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The fair value of the put option for the remaining 1,635,783 as of December 31, 2022 was estimated at $4,466. For the year ended December 31, 2022, the Company recorded a gain of $134 as change in fair value of derivative instruments, net in its Consolidated Statement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Pursuant to the terms of the Sponsor Letter Agreement entered into on December 2, 2021 among ArcLight, ArcLight CTC Holdings II, L.P. (“Sponsor”), OPAL Fuels and certain other persons concurrently with the execution of the Business Combination Agreement (the “Sponsor Letter Agreement”),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(“Sponsor Earnout Awards”). The Company accounted for the potential earnout shares as a liability at fair value with the change in the fair market value recognized in the statement of operations. The Sponsor Earnout Awards were classified as liability as their settlement terms contained certain variables that precluded them from being considered index to the Company's common stock under the "fixed-for-fixed" requirement per ASC 815 D</w:t>
      </w:r>
      <w:r>
        <w:rPr>
          <w:rFonts w:ascii="Times New Roman;sans-serif" w:hAnsi="Times New Roman;sans-serif"/>
          <w:b w:val="false"/>
          <w:i/>
          <w:color w:val="000000"/>
          <w:sz w:val="20"/>
        </w:rPr>
        <w:t>erivatives and Hedging</w:t>
      </w:r>
      <w:r>
        <w:rPr>
          <w:rFonts w:ascii="Times New Roman;sans-serif" w:hAnsi="Times New Roman;sans-serif"/>
          <w:b w:val="false"/>
          <w:color w:val="000000"/>
          <w:sz w:val="20"/>
        </w:rPr>
        <w:t>. The fair value of Sponsor Earnout Awards as of December 31, 2022 was estimated at $3,790. For the year ended December 31, 2022, the Company recorded a gain of $1,910 as change in fair value of derivative instruments, net in its consolidated statement of operations.</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Effective immediately after the closing, and upon the date on which the Company's annual adjusted EBITDA for the calendar year 2023 exceeds $238,000, (i) the Company will issue to OPAL Fuels equity holders (the “Earnout Participants”) an aggregate of 5,000,000 shares of the Company's Class B common stock and Class D common stock and corresponding OPAL Fuels Common Units in accordance with the allocations set forth in the Business Combination Agreement. Additionally, upon the date on which the Company's annual adjusted EBITDA for the calendar year 2024 exceeds $446,000, (i) the Company will issue to the Earnout Participants an aggregate of 5,000,000 additional shares of the Company's Class B common stock and Class D common stock and corresponding OPAL Fuels Common Units in accordance with the allocations set forth in the Business Combination Agreement (“OPAL Earnout Awards”). OPAL Earnout Awards were classified as a liability under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because they are considered indexed to an obligation to repurchase shares by delivering cash or other assets as a result of certain settlement provisions. The fair value of OPAL Earnout Awards as of December 31, 2022 was estimated at $5,000. For the year ended December 31, 2022, the Company recorded a gain of $35,200 as change in fair value of derivative instruments,net in its consolidated statements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Upon the completion of the business combination, the Company assumed the Public Warrants and Private Warrants. In December 2022, the Company successfully converted all the outstanding Warrants and issued shares of Class A common stock. Please see Note 1, </w:t>
      </w:r>
      <w:r>
        <w:rPr>
          <w:rFonts w:ascii="Times New Roman;sans-serif" w:hAnsi="Times New Roman;sans-serif"/>
          <w:b w:val="false"/>
          <w:i/>
          <w:color w:val="000000"/>
          <w:sz w:val="20"/>
        </w:rPr>
        <w:t>Description of Business</w:t>
      </w:r>
      <w:r>
        <w:rPr>
          <w:rFonts w:ascii="Times New Roman;sans-serif" w:hAnsi="Times New Roman;sans-serif"/>
          <w:b w:val="false"/>
          <w:color w:val="000000"/>
          <w:sz w:val="20"/>
        </w:rPr>
        <w:t xml:space="preserve">, for additional information. As of December 31, 2022, there are no Warrants outstanding.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elements of the Business Combination to the consolidated statements of cash flows and the consolidated statements of stockholders' equity for the year ended December 31, 2022:</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8912" w:type="dxa"/>
        <w:jc w:val="left"/>
        <w:tblInd w:w="0" w:type="dxa"/>
        <w:tblLayout w:type="fixed"/>
        <w:tblCellMar>
          <w:top w:w="28" w:type="dxa"/>
          <w:left w:w="28" w:type="dxa"/>
          <w:bottom w:w="28" w:type="dxa"/>
          <w:right w:w="28" w:type="dxa"/>
        </w:tblCellMar>
      </w:tblPr>
      <w:tblGrid>
        <w:gridCol w:w="2718"/>
        <w:gridCol w:w="2384"/>
        <w:gridCol w:w="2397"/>
        <w:gridCol w:w="109"/>
        <w:gridCol w:w="109"/>
        <w:gridCol w:w="109"/>
        <w:gridCol w:w="211"/>
        <w:gridCol w:w="721"/>
        <w:gridCol w:w="154"/>
      </w:tblGrid>
      <w:tr>
        <w:trPr/>
        <w:tc>
          <w:tcPr>
            <w:tcW w:w="2718"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proceeds from Arclight, net of redemptions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proceeds from 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 escrow account for the Forward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transaction costs and under writing fees paid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warrant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put option with Meteora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Deferred financing costs recorded in additional paid-in-capital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additional paid-in capital from Business Combination recorded in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$8,041 of Sponsor specific transaction costs paid at closing. </w:t>
      </w:r>
    </w:p>
    <w:p>
      <w:pPr>
        <w:pStyle w:val="TextBody"/>
        <w:bidi w:val="0"/>
        <w:spacing w:before="0" w:after="0"/>
        <w:ind w:left="0" w:right="0" w:firstLine="360"/>
        <w:jc w:val="left"/>
        <w:rPr/>
      </w:pPr>
      <w:r>
        <w:rPr/>
      </w:r>
    </w:p>
    <w:p>
      <w:pPr>
        <w:pStyle w:val="TextBody"/>
        <w:bidi w:val="0"/>
        <w:spacing w:lineRule="auto" w:line="240" w:before="0" w:after="0"/>
        <w:ind w:left="0" w:right="0" w:firstLine="36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Excludes $1,630 of transaction costs paid at closing and recorded on OPAL Fuels' consolidated balance sheet prior to closing.</w:t>
      </w:r>
    </w:p>
    <w:p>
      <w:pPr>
        <w:pStyle w:val="TextBody"/>
        <w:bidi w:val="0"/>
        <w:spacing w:before="0" w:after="0"/>
        <w:ind w:left="0" w:right="0" w:firstLine="36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the Company's Class A common stock outstanding immediately following the closing of the Business Combination was 25,671,390, consisting of the following:</w:t>
      </w:r>
    </w:p>
    <w:p>
      <w:pPr>
        <w:pStyle w:val="TextBody"/>
        <w:bidi w:val="0"/>
        <w:spacing w:before="0" w:after="0"/>
        <w:ind w:left="0" w:right="0" w:firstLine="360"/>
        <w:jc w:val="left"/>
        <w:rPr/>
      </w:pPr>
      <w:r>
        <w:rPr/>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tbl>
      <w:tblPr>
        <w:tblW w:w="6372" w:type="dxa"/>
        <w:jc w:val="left"/>
        <w:tblInd w:w="0" w:type="dxa"/>
        <w:tblLayout w:type="fixed"/>
        <w:tblCellMar>
          <w:top w:w="28" w:type="dxa"/>
          <w:left w:w="28" w:type="dxa"/>
          <w:bottom w:w="28" w:type="dxa"/>
          <w:right w:w="28" w:type="dxa"/>
        </w:tblCellMar>
      </w:tblPr>
      <w:tblGrid>
        <w:gridCol w:w="1761"/>
        <w:gridCol w:w="1546"/>
        <w:gridCol w:w="1552"/>
        <w:gridCol w:w="109"/>
        <w:gridCol w:w="109"/>
        <w:gridCol w:w="109"/>
        <w:gridCol w:w="345"/>
        <w:gridCol w:w="345"/>
        <w:gridCol w:w="496"/>
      </w:tblGrid>
      <w:tr>
        <w:trPr/>
        <w:tc>
          <w:tcPr>
            <w:tcW w:w="17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Public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1,752,181</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Class A - Sponsor shares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7,779,076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11,080,600</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 Forward Purchase Agreement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2,000,000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 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3,059,533</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25,671,390</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Class D - Opal Fuels equity holders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issued upon closing of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170,070,427</w:t>
            </w:r>
          </w:p>
        </w:tc>
      </w:tr>
    </w:tbl>
    <w:p>
      <w:pPr>
        <w:pStyle w:val="TextBody"/>
        <w:bidi w:val="0"/>
        <w:spacing w:before="0" w:after="0"/>
        <w:ind w:left="0" w:right="0" w:firstLine="360"/>
        <w:jc w:val="left"/>
        <w:rPr/>
      </w:pPr>
      <w:r>
        <w:rPr/>
      </w:r>
    </w:p>
    <w:p>
      <w:pPr>
        <w:pStyle w:val="TextBody"/>
        <w:bidi w:val="0"/>
        <w:spacing w:lineRule="auto" w:line="240" w:before="0" w:after="0"/>
        <w:jc w:val="left"/>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Includes 763,908 Sponsor Earnout Awards subject to vesting and forfeiture conditions.</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$8,097 in transaction costs relating to the Business Combination which were recorded as an offset to additional paid-in capital in the consolidated Statements of Changes in Redeemable preferred units and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Investment in Other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(loss) income, if any, is included in the Company's consolidated statements of operations as (loss) income from equity method investments.</w:t>
      </w:r>
    </w:p>
    <w:p>
      <w:pPr>
        <w:pStyle w:val="TextBody"/>
        <w:bidi w:val="0"/>
        <w:spacing w:before="160" w:after="283"/>
        <w:ind w:left="0" w:right="0" w:firstLine="360"/>
        <w:jc w:val="left"/>
        <w:rPr/>
      </w:pPr>
      <w:r>
        <w:rPr/>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of Investment in other entities:</w:t>
      </w:r>
    </w:p>
    <w:tbl>
      <w:tblPr>
        <w:tblW w:w="10205" w:type="dxa"/>
        <w:jc w:val="left"/>
        <w:tblInd w:w="0" w:type="dxa"/>
        <w:tblLayout w:type="fixed"/>
        <w:tblCellMar>
          <w:top w:w="28" w:type="dxa"/>
          <w:left w:w="28" w:type="dxa"/>
          <w:bottom w:w="28" w:type="dxa"/>
          <w:right w:w="28" w:type="dxa"/>
        </w:tblCellMar>
      </w:tblPr>
      <w:tblGrid>
        <w:gridCol w:w="1678"/>
        <w:gridCol w:w="1350"/>
        <w:gridCol w:w="1357"/>
        <w:gridCol w:w="109"/>
        <w:gridCol w:w="109"/>
        <w:gridCol w:w="109"/>
        <w:gridCol w:w="314"/>
        <w:gridCol w:w="305"/>
        <w:gridCol w:w="274"/>
        <w:gridCol w:w="109"/>
        <w:gridCol w:w="109"/>
        <w:gridCol w:w="109"/>
        <w:gridCol w:w="359"/>
        <w:gridCol w:w="316"/>
        <w:gridCol w:w="312"/>
        <w:gridCol w:w="109"/>
        <w:gridCol w:w="109"/>
        <w:gridCol w:w="109"/>
        <w:gridCol w:w="224"/>
        <w:gridCol w:w="224"/>
        <w:gridCol w:w="228"/>
        <w:gridCol w:w="109"/>
        <w:gridCol w:w="109"/>
        <w:gridCol w:w="109"/>
        <w:gridCol w:w="261"/>
        <w:gridCol w:w="261"/>
        <w:gridCol w:w="266"/>
        <w:gridCol w:w="109"/>
        <w:gridCol w:w="109"/>
        <w:gridCol w:w="109"/>
        <w:gridCol w:w="243"/>
        <w:gridCol w:w="243"/>
        <w:gridCol w:w="355"/>
      </w:tblGrid>
      <w:tr>
        <w:trPr/>
        <w:tc>
          <w:tcPr>
            <w:tcW w:w="167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Beacon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$25,573</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1,570</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2,268</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of remaining ownership interest in Beacon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(27,965)</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Deconsolidation of VIEs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45,704</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47,150</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Additional investment representing capitalized interest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597</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comprehensive income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334</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from equity method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5,784</w:t>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return of investment in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(2,100)</w:t>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$51,765</w:t>
            </w:r>
          </w:p>
        </w:tc>
      </w:tr>
    </w:tbl>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Company acquired 50% of the remaining ownership in Beacon in May 2021 and fully consolidated the entity in the consolidated financial statements after May 1, 2021.</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Company re-assessed its equity interests in Pine Bend and Noble Road under ASC 810, </w:t>
      </w:r>
      <w:r>
        <w:rPr>
          <w:rFonts w:ascii="Times New Roman;sans-serif" w:hAnsi="Times New Roman;sans-serif"/>
          <w:b w:val="false"/>
          <w:i/>
          <w:color w:val="000000"/>
          <w:sz w:val="20"/>
        </w:rPr>
        <w:t xml:space="preserve">Consolidation </w:t>
      </w:r>
      <w:r>
        <w:rPr>
          <w:rFonts w:ascii="Times New Roman;sans-serif" w:hAnsi="Times New Roman;sans-serif"/>
          <w:b w:val="false"/>
          <w:color w:val="000000"/>
          <w:sz w:val="20"/>
        </w:rPr>
        <w:t xml:space="preserve">and determined that entities no longer met any of the characteristics of a variable interest entity primarily because the projects were fully funded and there is sufficient equity at risk as of December 31, 2021. The Company determined that it should account for its interests in both entities under equity method of accounting pursuant to ASC 323, Investments Equity Method and Joint Ventures, as the Company has the ability to exercise significant influence, but not control, over both entities. </w:t>
      </w:r>
    </w:p>
    <w:p>
      <w:pPr>
        <w:pStyle w:val="TextBody"/>
        <w:bidi w:val="0"/>
        <w:spacing w:lineRule="auto" w:line="288" w:before="200" w:after="20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capitalized interest is incurred by the Company increasing our basis in Pine Bend. The Company will amortize this amount in future periods over the useful life of the asset. </w:t>
      </w:r>
    </w:p>
    <w:p>
      <w:pPr>
        <w:pStyle w:val="TextBody"/>
        <w:bidi w:val="0"/>
        <w:spacing w:lineRule="auto" w:line="288" w:before="200" w:after="20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It represents our portion of the other comprehensive income recorded by the equity method investee.</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Note receivable</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2022, Biotown repaid the total amount outstanding under the Note receivable including paid-in-kind interest and prepayment penalty. The total proceeds received were $11,555 which included $701 paid-in-kind interest accrued from August 2021 to July 15, 2022 and $545 of prepayment penalty. The paid-in-kind interest income accrued during the year ended December 31, 2021 of $288 is shown as cash flow from operations for the year ended December 31, 2022. The Company recorded a gain on repayment of $1,943 as part of Other income in the consolidated statement of operations for the year ended December 31,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$286 and $406 as a reduction to interest and financing expense, net in its consolidated statements of operations for the years ended December 31, 2022 and 2021, respectively.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$285 as a reduction to interest and financing expense, net in the consolidated statement of operations for the year ended December 31, 2022,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receivable - variable fee component of $1,942 and $1,656 is recorded as a long-term asset on its consolidated balance sheets as of December 31, 2022 and December 31, 2021, respectively.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information of the unconsolidated entities:</w:t>
      </w:r>
    </w:p>
    <w:tbl>
      <w:tblPr>
        <w:tblW w:w="6066" w:type="dxa"/>
        <w:jc w:val="left"/>
        <w:tblInd w:w="0" w:type="dxa"/>
        <w:tblLayout w:type="fixed"/>
        <w:tblCellMar>
          <w:top w:w="28" w:type="dxa"/>
          <w:left w:w="28" w:type="dxa"/>
          <w:bottom w:w="28" w:type="dxa"/>
          <w:right w:w="28" w:type="dxa"/>
        </w:tblCellMar>
      </w:tblPr>
      <w:tblGrid>
        <w:gridCol w:w="694"/>
        <w:gridCol w:w="610"/>
        <w:gridCol w:w="615"/>
        <w:gridCol w:w="109"/>
        <w:gridCol w:w="109"/>
        <w:gridCol w:w="109"/>
        <w:gridCol w:w="574"/>
        <w:gridCol w:w="574"/>
        <w:gridCol w:w="576"/>
        <w:gridCol w:w="109"/>
        <w:gridCol w:w="109"/>
        <w:gridCol w:w="109"/>
        <w:gridCol w:w="517"/>
        <w:gridCol w:w="517"/>
        <w:gridCol w:w="735"/>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$21,342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44,250</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4,235</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61,358</w:t>
            </w:r>
          </w:p>
        </w:tc>
      </w:tr>
    </w:tbl>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income from equity method investments: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tbl>
      <w:tblPr>
        <w:tblW w:w="7709" w:type="dxa"/>
        <w:jc w:val="left"/>
        <w:tblInd w:w="0" w:type="dxa"/>
        <w:tblLayout w:type="fixed"/>
        <w:tblCellMar>
          <w:top w:w="28" w:type="dxa"/>
          <w:left w:w="28" w:type="dxa"/>
          <w:bottom w:w="28" w:type="dxa"/>
          <w:right w:w="28" w:type="dxa"/>
        </w:tblCellMar>
      </w:tblPr>
      <w:tblGrid>
        <w:gridCol w:w="1249"/>
        <w:gridCol w:w="1095"/>
        <w:gridCol w:w="1106"/>
        <w:gridCol w:w="109"/>
        <w:gridCol w:w="109"/>
        <w:gridCol w:w="145"/>
        <w:gridCol w:w="145"/>
        <w:gridCol w:w="145"/>
        <w:gridCol w:w="145"/>
        <w:gridCol w:w="318"/>
        <w:gridCol w:w="1050"/>
        <w:gridCol w:w="177"/>
        <w:gridCol w:w="109"/>
        <w:gridCol w:w="109"/>
        <w:gridCol w:w="109"/>
        <w:gridCol w:w="313"/>
        <w:gridCol w:w="1031"/>
        <w:gridCol w:w="245"/>
      </w:tblGrid>
      <w:tr>
        <w:trPr/>
        <w:tc>
          <w:tcPr>
            <w:tcW w:w="124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r>
          </w:p>
        </w:tc>
        <w:tc>
          <w:tcPr>
            <w:tcW w:w="1916"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Revenue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6,915 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Net income from equity method investments </w:t>
            </w:r>
            <w:r>
              <w:rPr>
                <w:rFonts w:ascii="Times New Roman;sans-serif" w:hAnsi="Times New 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Revenues include a realized gain of $32,796 from commodity swap contracts on our equity method investment, GREP for the year ended December 31, 2022.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Net income from equity method investments represents our portion of the net income from equity method investments in Pine Bend, Noble Road and GREP for the year ended December 31, 2022 and GREP and Beacon ( January to April 2021) for the year ended December 31, 2021.</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December 31, 2022 and December 31, 2021:</w:t>
      </w:r>
    </w:p>
    <w:p>
      <w:pPr>
        <w:pStyle w:val="TextBody"/>
        <w:bidi w:val="0"/>
        <w:spacing w:before="120" w:after="283"/>
        <w:ind w:left="0" w:right="0" w:firstLine="360"/>
        <w:jc w:val="left"/>
        <w:rPr/>
      </w:pPr>
      <w:r>
        <w:rPr/>
      </w:r>
    </w:p>
    <w:tbl>
      <w:tblPr>
        <w:tblW w:w="5245" w:type="dxa"/>
        <w:jc w:val="left"/>
        <w:tblInd w:w="0" w:type="dxa"/>
        <w:tblLayout w:type="fixed"/>
        <w:tblCellMar>
          <w:top w:w="28" w:type="dxa"/>
          <w:left w:w="28" w:type="dxa"/>
          <w:bottom w:w="28" w:type="dxa"/>
          <w:right w:w="28" w:type="dxa"/>
        </w:tblCellMar>
      </w:tblPr>
      <w:tblGrid>
        <w:gridCol w:w="940"/>
        <w:gridCol w:w="824"/>
        <w:gridCol w:w="830"/>
        <w:gridCol w:w="214"/>
        <w:gridCol w:w="806"/>
        <w:gridCol w:w="119"/>
        <w:gridCol w:w="109"/>
        <w:gridCol w:w="109"/>
        <w:gridCol w:w="109"/>
        <w:gridCol w:w="214"/>
        <w:gridCol w:w="803"/>
        <w:gridCol w:w="168"/>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Plant and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(89,710)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297,323 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169,770 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$3,081 of interest capitalized from our general borrowings for the year ended December 31, 2022 and $861 of interest capitalized on our Sunoma Loan for the year ended December 31, 2021.</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there has been an increase in property, plant and equipment as a result of an increase in the construction of RNG generation facilities including, but not limited to Emerald, Sapphire, and Central Valley RNG dispensing facilities. The majority of these facilities, for which costs are in construction in progress as of December 31, 2022, are expected to be operational during the fourth quarter of 2023 and early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years ended December 31, 2022 and December 31, 2021 was $11,892 and $9,501,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6. Intangible Assets, Net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December 31, 2022 and December 31, 2021:</w:t>
      </w:r>
    </w:p>
    <w:p>
      <w:pPr>
        <w:pStyle w:val="TextBody"/>
        <w:bidi w:val="0"/>
        <w:spacing w:before="120" w:after="283"/>
        <w:ind w:left="0" w:right="0" w:firstLine="360"/>
        <w:jc w:val="left"/>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before="240" w:after="200"/>
        <w:ind w:left="0" w:right="0" w:hanging="480"/>
        <w:jc w:val="both"/>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 sales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transmission/distribution interconnection represents an interconnector for one of the Company's LFG recovery facilities. The interconnection construction was initially funded by a municipality. The Company is scheduled to repay the costs of this construction through April 1, 2023. The remaining liability of $76 under the Municipality loan is shown as part of current liabilities on its consolidated balance sheet as of December 31, 2022. Please see Note 8.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twelve months ended December 31, 2022 and 2021 was $694 and $346, respectively. At December 31, 2022, estimated future amortization expense for intangible assets is as follows:</w:t>
      </w:r>
    </w:p>
    <w:tbl>
      <w:tblPr>
        <w:tblW w:w="1835" w:type="dxa"/>
        <w:jc w:val="left"/>
        <w:tblInd w:w="0" w:type="dxa"/>
        <w:tblLayout w:type="fixed"/>
        <w:tblCellMar>
          <w:top w:w="28" w:type="dxa"/>
          <w:left w:w="28" w:type="dxa"/>
          <w:bottom w:w="28" w:type="dxa"/>
          <w:right w:w="28" w:type="dxa"/>
        </w:tblCellMar>
      </w:tblPr>
      <w:tblGrid>
        <w:gridCol w:w="337"/>
        <w:gridCol w:w="295"/>
        <w:gridCol w:w="297"/>
        <w:gridCol w:w="196"/>
        <w:gridCol w:w="55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tbl>
      <w:tblPr>
        <w:tblW w:w="6695" w:type="dxa"/>
        <w:jc w:val="left"/>
        <w:tblInd w:w="0" w:type="dxa"/>
        <w:tblLayout w:type="fixed"/>
        <w:tblCellMar>
          <w:top w:w="28" w:type="dxa"/>
          <w:left w:w="28" w:type="dxa"/>
          <w:bottom w:w="28" w:type="dxa"/>
          <w:right w:w="28" w:type="dxa"/>
        </w:tblCellMar>
      </w:tblPr>
      <w:tblGrid>
        <w:gridCol w:w="869"/>
        <w:gridCol w:w="764"/>
        <w:gridCol w:w="766"/>
        <w:gridCol w:w="196"/>
        <w:gridCol w:w="646"/>
        <w:gridCol w:w="109"/>
        <w:gridCol w:w="109"/>
        <w:gridCol w:w="109"/>
        <w:gridCol w:w="109"/>
        <w:gridCol w:w="386"/>
        <w:gridCol w:w="1095"/>
        <w:gridCol w:w="214"/>
        <w:gridCol w:w="109"/>
        <w:gridCol w:w="109"/>
        <w:gridCol w:w="109"/>
        <w:gridCol w:w="196"/>
        <w:gridCol w:w="64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December 31, 2022 and December 31, 2021:</w:t>
      </w:r>
    </w:p>
    <w:tbl>
      <w:tblPr>
        <w:tblW w:w="8679" w:type="dxa"/>
        <w:jc w:val="left"/>
        <w:tblInd w:w="0" w:type="dxa"/>
        <w:tblLayout w:type="fixed"/>
        <w:tblCellMar>
          <w:top w:w="28" w:type="dxa"/>
          <w:left w:w="28" w:type="dxa"/>
          <w:bottom w:w="28" w:type="dxa"/>
          <w:right w:w="28" w:type="dxa"/>
        </w:tblCellMar>
      </w:tblPr>
      <w:tblGrid>
        <w:gridCol w:w="1769"/>
        <w:gridCol w:w="1557"/>
        <w:gridCol w:w="1564"/>
        <w:gridCol w:w="109"/>
        <w:gridCol w:w="109"/>
        <w:gridCol w:w="109"/>
        <w:gridCol w:w="318"/>
        <w:gridCol w:w="1050"/>
        <w:gridCol w:w="177"/>
        <w:gridCol w:w="109"/>
        <w:gridCol w:w="109"/>
        <w:gridCol w:w="109"/>
        <w:gridCol w:w="287"/>
        <w:gridCol w:w="1078"/>
        <w:gridCol w:w="225"/>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(73,145)</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working capital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(13,425)</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59,090 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Municipality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88,312 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principal maturities of debt are expected as follows, excluding any undrawn debt facilities as of the date of the consolidated balance sheet: </w:t>
      </w:r>
    </w:p>
    <w:tbl>
      <w:tblPr>
        <w:tblW w:w="9699" w:type="dxa"/>
        <w:jc w:val="left"/>
        <w:tblInd w:w="0" w:type="dxa"/>
        <w:tblLayout w:type="fixed"/>
        <w:tblCellMar>
          <w:top w:w="28" w:type="dxa"/>
          <w:left w:w="28" w:type="dxa"/>
          <w:bottom w:w="28" w:type="dxa"/>
          <w:right w:w="28" w:type="dxa"/>
        </w:tblCellMar>
      </w:tblPr>
      <w:tblGrid>
        <w:gridCol w:w="337"/>
        <w:gridCol w:w="295"/>
        <w:gridCol w:w="297"/>
        <w:gridCol w:w="196"/>
        <w:gridCol w:w="646"/>
        <w:gridCol w:w="109"/>
        <w:gridCol w:w="109"/>
        <w:gridCol w:w="109"/>
        <w:gridCol w:w="109"/>
        <w:gridCol w:w="312"/>
        <w:gridCol w:w="1029"/>
        <w:gridCol w:w="173"/>
        <w:gridCol w:w="109"/>
        <w:gridCol w:w="109"/>
        <w:gridCol w:w="109"/>
        <w:gridCol w:w="247"/>
        <w:gridCol w:w="815"/>
        <w:gridCol w:w="137"/>
        <w:gridCol w:w="109"/>
        <w:gridCol w:w="109"/>
        <w:gridCol w:w="109"/>
        <w:gridCol w:w="268"/>
        <w:gridCol w:w="886"/>
        <w:gridCol w:w="150"/>
        <w:gridCol w:w="109"/>
        <w:gridCol w:w="109"/>
        <w:gridCol w:w="109"/>
        <w:gridCol w:w="333"/>
        <w:gridCol w:w="562"/>
        <w:gridCol w:w="186"/>
        <w:gridCol w:w="109"/>
        <w:gridCol w:w="109"/>
        <w:gridCol w:w="109"/>
        <w:gridCol w:w="196"/>
        <w:gridCol w:w="73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Senior</w:t>
              <w:br/>
              <w:t>Secured</w:t>
              <w:br/>
              <w:t>Credit</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Convertible</w:t>
            </w:r>
          </w:p>
          <w:p>
            <w:pPr>
              <w:pStyle w:val="TableContents"/>
              <w:bidi w:val="0"/>
              <w:spacing w:lineRule="auto" w:line="288" w:before="0" w:after="0"/>
              <w:jc w:val="center"/>
              <w:rPr/>
            </w:pPr>
            <w:r>
              <w:rPr>
                <w:rFonts w:ascii="Times New Roman;sans-serif" w:hAnsi="Times New Roman;sans-serif"/>
                <w:b/>
                <w:color w:val="000000"/>
                <w:sz w:val="18"/>
              </w:rPr>
              <w:t xml:space="preserve">Note Payable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Municipality</w:t>
              <w:b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1,883</w:t>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firstLine="360"/>
        <w:jc w:val="left"/>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The Convertible Note Payable is redeemable on demand at the option of the Company or the lender.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 "Term Loan Facility") and a (ii) working capital letter of credit facility (the "Working Capital Facility") of up to $19,000 and a (iii) debt service reserve and liquidity facility of up to $6,000. The Company paid $14,300 to the lenders in connection with the transaction. As of December 31, 2022 and December 31, 2021, $15,250 and $73,869, respectively, was outstanding under the Senior Secured Credit Facility- term loan.</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Senior Secured Credit Facility bear an interest rate of a fixed margin plus LIBOR for the relevant interest period. The fixed margin is 2.75% for the first four years, then 3.0% until October 8, 2021, and 3.25% thereafter. Pursuant to the terms of the facility, FM3 is required to repay 1.0% of the outstanding debt under the Term Loan Facility amounting to $125,000 on a quarterly basis which is then adjusted based on available cash and a target debt balance that declines each quarter. The Working Capital Facility contains a provision whereby the Company is obligated to reduce the amount borrowed to $7,500 or less for a period of ten days consecutive business days annually. As of both December 31, 2022 and December 31, 2021, the total amount outstanding under the Working Capital Facility was $7,500. Additionally, the Company pays commitment fee of 0.75% on the unused portion of the facility.</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On October 8, 2021, the Company entered into the Amendment to Second Amended and Restated Credit Agreement (the “Amendment”) which 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 restricted payments. In exchange for these accommodations, the Company agreed to repay $5,182 as a permanent reduction of the Working Capital Facility and to increase the interest rate on the credit facility by 25 basis points</w:t>
      </w:r>
      <w:r>
        <w:rPr>
          <w:rFonts w:ascii="Times New Roman;sans-serif" w:hAnsi="Times New Roman;sans-serif"/>
          <w:b/>
          <w:color w:val="000000"/>
          <w:sz w:val="20"/>
        </w:rPr>
        <w:t>.</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credit agreement. Upon consummation of the FM3 Amendment, the Company repaid $54,929 of the outstanding term loan. On March 20, 2023, the Company repaid in full the remaining outstanding loan under this facility. Please see Note.19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December 31, 2021, FM3 had outstanding letters of credit that support obligations of the Company and its subsidiaries of $1,932 and $7,823, respectively. The Senior Secured Credit Facility is collateralized by substantially all the assets of FM3 and assignment of FM3's rights, title, and interests in purchase and sale agreements and LFG rights agreements.</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Facility contains certain warranties and financial covenants including but not limited to debt service coverage ratio to not be less than 1.0 and restrictions on distributions and additional indebtedness. The lenders only have recourse to the assets of FM3. For the twelve months ended December 31, 2022, FM3 was in compliance with all debt covenants.</w:t>
      </w:r>
    </w:p>
    <w:p>
      <w:pPr>
        <w:pStyle w:val="TextBody"/>
        <w:bidi w:val="0"/>
        <w:spacing w:before="0" w:after="0"/>
        <w:ind w:left="0" w:right="0" w:firstLine="36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Patronage dividends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eligible to receive annual patronage dividends from one of its lenders, Cobank ACB under a profit sharing program made available to the borrowers. For the year ended December 31, 2022 and 2021, the Company received cash dividends of $126 and $139, respectively, which were recorded as credits to interest expense in its consolidated statements of operations. Additionally, the Company recorded $489 as a long-term asset on its consolidated balance sheet at December 31, 2022 and December 31, 2021, which represents the Company's equity interest in Cobank SCB which will be redeemed for cash beginning in 2024.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Of the $125,000, the Company had $90,000 available for borrowing upon closing and the remaining $35,000 to be made available as three more RNG facilities become operational. The OPAL Term Loan is secured by a pledge in the equity interest of Beacon Holdco LLC, OPAL Environmental Credit Marketing LLC, OPAL Fuel Station Services LLC (f/k/a Trustar Energy LLC), and OPAL Fuels Services LLC along with cash bank accounts and a security interest in the Company’s environmental credits. A portion of the proceeds of the OPAL Term Loan were used to pay off the outstanding balance under the TruStar revolver credit facility in October 2021 and the remainder will be used for general corporate purposes, including investments in RNG projects being developed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OPAL Term Loan, the Company borrowed $75,000 in October 2021 and an another $15,000 in February 2022 pursuant to an amendment allowing the Company to drawdown later than the original commitment date.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29, 2022, OPAL Intermediate Holdco entered into Amendment No. 3 to the OPAL Term Loan (“Amendment No. 3”) that (a) extended the availability period from (i) September 30, 2022 to October 31, 2022 for the borrowing under the Term A-2 Commitments of up to an aggregate of $25 million in Term A-2 Loans, and (ii) March 31, 2023 for the borrowing under the Term A-2 Commitments of a single final borrowing of Term A-2 Loans not to exceed $10 million and (b) amended the principal repayment amortization schedule.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and fourth quarter of 2022, two of the RNG projects went operational and the Company borrowed $25,000 under the OPAL Term Loan with an additional commitment of $10,000 remaining under this debt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matures April 22, 2025 and bears interest at 3.0% plus SOFR. In accordance to the terms of the facility, OPAL Intermediate Holdco is required to repay 1.79% or $1,611 per month beginning March 2022 and an additional $700 per month beginning September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OPAL Term Loan contains customary warranties and representations and certain financial covenants which require OPAL Intermediate Holdco to maintain (i) minimum liquidity of $15,000 until March 31, 2022 and $10,000 thereafter and (ii) a leverage ratio not to exceed 4:1. As of December 31, 2022, the Company is in compliance with the financial covenants under the OPAL Term Loan. Additionally, the OPAL Term Loan contains restrictions on distributions and additional indebtedness.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loan bears interest at the greater of prime rate plus 3.50%, or 7.75%. The amounts outstanding under the Sunoma Loan are secured by the assets of Sunoma.</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be less than 1.0 and (iii) minimum debt service coverage ratio of trailing four quarters not be less than 1.25. On July 19, 2022, Sunoma completed the conversion of the construction loan into a permanent loan and increased the commitment from $20,000 to $23,000.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a rate of 7.68% and have a maturity date of July 19, 2033. The Company is required to pay a quarterly amortization of principal of $380 beginning in October 2023. The Company paid $2,798 into interest and debt reserve accounts. This cash is recorded as Restricted cash - current and non-current in the consolidated balance sheet as of December 31, 2022.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significant assets of Sunoma are parenthesized in the consolidated balance sheets as December 31, 2022 and 2021. See Note 13.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1, 2021, the Company acquired the remaining ownership interests in Beacon and signed an unsecured, contingently convertible note (the "Convertible Note") with Ares for a total aggregate amount for $50,000 at an interest rate of 8.00% per annum. The Company has the option to pay interest on the Convertible Note in cash on a quarterly basis or payment-in-kind. The Company chose the option of payment-in-kind interest.</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Convertible Note Payable matures earlier of December 31, 2026 or the date on which a change in control occurs as defined in the terms of the Convertible Note. 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Therefore, the Company issued 3,059,533 shares of Class A common stock and redeemed outstanding debt of $30,595. </w:t>
      </w:r>
    </w:p>
    <w:p>
      <w:pPr>
        <w:pStyle w:val="TextBody"/>
        <w:bidi w:val="0"/>
        <w:spacing w:lineRule="auto" w:line="288" w:before="140" w:after="283"/>
        <w:ind w:left="0" w:right="0" w:firstLine="360"/>
        <w:jc w:val="both"/>
        <w:rPr/>
      </w:pPr>
      <w:r>
        <w:rPr>
          <w:rFonts w:ascii="Times New Roman;sans-serif" w:hAnsi="Times New Roman;sans-serif"/>
          <w:b w:val="false"/>
          <w:color w:val="000000"/>
          <w:sz w:val="20"/>
        </w:rPr>
        <w:t xml:space="preserve">The Company elected to account for the Convertible Note using the fair value option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on May 1, 2021, which was determined to be $55,410. The fair value was subsequently remeasured on each reporting date and the change in fair value recorded as interest expense in the consolidated statement of operations for each reporting period. At December 31, 2022, the Convertible Note was classified as a current liability in the consolidated balance sheet at a fair value of $28,528 as it is redeemable on demand by the Company or Ares. At December 31,2021, the Convertible Note was classified as a non-current liability in the consolidated balance sheet at a fair value of $58,710. </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$413 as change in fair value of Convertible Note for the year ended December 31, 2022, as interest and financing expense, net. Upon completion of the Business Combination, the Convertible Note no longer provided for the 10% prepayment penalty. Therefore, the change in fair value attributable to cancellation of prepayment penalty for the year ended December 31, 2022 was ($2,906). The Company recorded $3,319 and $3,300 as payment-in-kind interest expense in the consolidated statement of operations for the years ended December 31, 2022 and 2021, respectively.</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Company is scheduled to make payments to a municipality in the amount of $1,600 plus interest at a fixed annual rate of 3.00% through April 1, 2023. At December 31, 2022 and December 31, 2021, $76 and $278, respectively, were outstanding on the loan.</w:t>
      </w:r>
    </w:p>
    <w:p>
      <w:pPr>
        <w:pStyle w:val="TextBody"/>
        <w:bidi w:val="0"/>
        <w:spacing w:lineRule="auto" w:line="28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OPAL Term Loan II</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2022, OPAL Fuels Intermediate Holdco 2 LLC ("OPAL Intermediate Holdco 2"), an indirect wholly-owned subsidiary the Company, entered into a new Senior Secured Credit Facility (the "OPAL Term Loan II") with a syndicate of lenders. The indebtedness is guaranteed by certain of the direct and indirect subsidiaries of OPAL Intermediate Holdco 2. The OPAL Term Loan II provides for an approximately two year delayed term loan facility (the "DDTL Facility") of up to a maximum aggregate principal amount of $100,000 and debt service reserve facility (the "DSR Facility") of up to a maximum aggregate principal amount of $5,000. The proceeds of the DDTL Facility are to be used to fund a portion of the construction of the RNG projects owned, either in full or through a joint venture with a third party, by the subsidiary guarantors and the proceeds of the DSR Facility are to be used solely to satisfy the balance to be maintained in the debt service reserve account. In connection with the transaction, the Company paid $2,200 as financing fees to the lenders and incurred $1,376 as third party fees. The transaction costs have been recorded as Deferred financing costs on the consolidated balance sheet as of December 31, 2022.</w:t>
      </w:r>
    </w:p>
    <w:p>
      <w:pPr>
        <w:pStyle w:val="TextBody"/>
        <w:bidi w:val="0"/>
        <w:spacing w:lineRule="auto" w:line="288" w:before="1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OPAL Term Loan II will bear interest at the benchmark rate of adjusted Term SOFR plus (i) for the period from closing to the earlier of the date of conversion of the construction loan to a term loan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Date") or September 30, 2024, a spread of 3.5%, and (ii) thereafter a spread of 3.75%. Accrued interest on amounts outstanding under the DDTL Facility must be paid on the last day of each applicable interest period. The outstanding principal amount of the DDTL Facility is subject to quarterly amortization payments commencing September 30, 2024 equal to 2.5% of the aggregate principal amount of the outstanding term loan balance as of the Conversion Date, subject to adjustment based on certain mandatory prepayments, with the balance due at maturity. The DSR Facility is due at maturity. The OPAL Term Loan II matures on August 4, 2027. </w:t>
      </w:r>
    </w:p>
    <w:p>
      <w:pPr>
        <w:pStyle w:val="TextBody"/>
        <w:bidi w:val="0"/>
        <w:spacing w:lineRule="auto" w:line="288" w:before="1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there was no principal amount outstanding under the OPAL Term Loan II. </w:t>
      </w:r>
    </w:p>
    <w:p>
      <w:pPr>
        <w:pStyle w:val="TextBody"/>
        <w:bidi w:val="0"/>
        <w:spacing w:lineRule="auto" w:line="268" w:before="24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TruStar revolver credit facility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TruStar, an indirect wholly-owned subsidiary of the Company, renewed its existing revolving credit arrangement (the "TruStar revolver credit facility") with JP Morgan Chase Bank, N.A., for an aggregate amount of $10,000. The amounts outstanding under this credit facility had an interest rate of 1.00% plus one month LIBOR. In the fourth quarter of 2021, the outstanding balance under this credit facility was fully repaid and the revolving credit facility was cancelled.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weighted average effective interest rate including amortization of debt issuance costs on Senior Secured Credit Facility was 6.9% including a margin plus LIBOR.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effective interest rate including amortization of debt issuance costs on OPAL Term Loan was 6.1%.</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interest rate on Sunoma Loan was 8.90%.</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payment-in-kind interest rate on Convertible Note Payable was 8.00%.</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weighted average interest rate on Municipality loan was 3.6%.</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2021</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Senior Secured Facility included a margin plus LIBOR and commitment fees of 0.75% on unused portion of the Working Capital Facility. The weighted average effective interest rate including the amortization of debt issuance costs for this period was 3.00%.</w:t>
      </w:r>
    </w:p>
    <w:p>
      <w:pPr>
        <w:pStyle w:val="TextBody"/>
        <w:bidi w:val="0"/>
        <w:spacing w:before="0" w:after="0"/>
        <w:jc w:val="left"/>
        <w:rPr/>
      </w:pPr>
      <w:r>
        <w:rPr/>
      </w:r>
    </w:p>
    <w:p>
      <w:pPr>
        <w:pStyle w:val="TextBody"/>
        <w:bidi w:val="0"/>
        <w:spacing w:lineRule="auto" w:line="240"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interest rate on TruStar Revolver Credit Facility including a margin plus LIBOR was 1.52%.</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paid-in-kind interest rate on Convertible note payable was 8%. The change in fair value of the Note recorded as interest expense between May 1, 2021 and December 31, 2021 was $3,300.</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 December 31, 2021, the interest rate on OPAL term loan was 4% and commitment fees of 0.5% on the undrawn portion of the facility. The weighted average effective interest rate including the amortization of debt issuance costs for this period was 4.9%.</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effective interest rate on the Sunoma Credit Facility was 7.75%.</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weighted average interest rate on Municipality Loan was 3.0%.</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year ended December 31, 2022 and 2021:</w:t>
      </w:r>
    </w:p>
    <w:tbl>
      <w:tblPr>
        <w:tblW w:w="6290" w:type="dxa"/>
        <w:jc w:val="left"/>
        <w:tblInd w:w="0" w:type="dxa"/>
        <w:tblLayout w:type="fixed"/>
        <w:tblCellMar>
          <w:top w:w="28" w:type="dxa"/>
          <w:left w:w="28" w:type="dxa"/>
          <w:bottom w:w="28" w:type="dxa"/>
          <w:right w:w="28" w:type="dxa"/>
        </w:tblCellMar>
      </w:tblPr>
      <w:tblGrid>
        <w:gridCol w:w="1345"/>
        <w:gridCol w:w="1185"/>
        <w:gridCol w:w="1189"/>
        <w:gridCol w:w="109"/>
        <w:gridCol w:w="109"/>
        <w:gridCol w:w="109"/>
        <w:gridCol w:w="211"/>
        <w:gridCol w:w="616"/>
        <w:gridCol w:w="109"/>
        <w:gridCol w:w="109"/>
        <w:gridCol w:w="109"/>
        <w:gridCol w:w="109"/>
        <w:gridCol w:w="211"/>
        <w:gridCol w:w="616"/>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br/>
              <w:t>December 31,</w:t>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Municipality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TruStar revolver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Convertible Note Payable mark-to-market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Sunoma Loan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OPAL Term Loan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and other finance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 xml:space="preserve">The mark-to-market on the Convertible Note Payable is inclusive of fair value change in the Convertible Note due to cancellation of prepayment penalty post Business Combination of ( $2,906). </w:t>
      </w:r>
    </w:p>
    <w:p>
      <w:pPr>
        <w:pStyle w:val="TextBody"/>
        <w:bidi w:val="0"/>
        <w:spacing w:lineRule="auto" w:line="288" w:before="200" w:after="20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The interest on Sunoma Loan was capitalized during the construction phase of the RNG facility. Sunoma became operational in December 2021. Therefore, the interest for the year ended December 31, 2022 has been expensed. </w:t>
      </w:r>
    </w:p>
    <w:p>
      <w:pPr>
        <w:pStyle w:val="TextBody"/>
        <w:bidi w:val="0"/>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Excludes $3,678 and $861 of interest capitalized and recorded as part of Property, plant and equipment, net for the years ended December 31,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2022 (the "Adoption Date"), the Company adopted ASC 842. Under the new lease standard, lessees are required to recognize a right-of-use asset and a lease liability for substantially all leases. The new lease standard will continue to classify leases as either financing or operating, with classification affecting the pattern of expense recognition. The accounting applied by a lessor under the new guidance will be substantially equivalent to current lease accounting guidance.</w:t>
      </w:r>
    </w:p>
    <w:p>
      <w:pPr>
        <w:pStyle w:val="TextBody"/>
        <w:bidi w:val="0"/>
        <w:spacing w:lineRule="auto" w:line="288" w:before="24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bidi w:val="0"/>
        <w:spacing w:lineRule="auto" w:line="288" w:before="24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before="0" w:after="0"/>
        <w:ind w:left="0" w:right="0" w:hanging="480"/>
        <w:jc w:val="left"/>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currently has two FPAs which have minimum volume requirements. The Company evaluated these two contracts under ASC 840 and classified them as operating leases. The Company elected not to reassess the lease classification on January 1, 2022 due to change in criteria under ASC 842 for these two FPAs. There were no amendments to one of the contracts after the Adoption Date. </w:t>
      </w:r>
    </w:p>
    <w:p>
      <w:pPr>
        <w:pStyle w:val="TextBody"/>
        <w:bidi w:val="0"/>
        <w:spacing w:before="0" w:after="0"/>
        <w:ind w:left="0" w:right="0" w:firstLine="360"/>
        <w:jc w:val="both"/>
        <w:rPr/>
      </w:pPr>
      <w:r>
        <w:rPr/>
      </w:r>
    </w:p>
    <w:p>
      <w:pPr>
        <w:pStyle w:val="TextBody"/>
        <w:bidi w:val="0"/>
        <w:spacing w:lineRule="auto" w:line="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one of the FPAs was amended on August 25, 2022. The amendment specifically changed the counter party to another affiliate of our customer and amended the rate for fuel dispensed amongst other things. The Company reassessed the contract under ASC 842 on August 25, 2022 and determined that the contract no longer is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considered a lease under ASC 842 because the customer does not substantially get all the economic benefits of the use of the fuel station. This conclusion was reached because the Company retained the right to keep all the environmental attributes and monetize by selling them to a unrelated third party. Therefore, the Company included only the portion of revenue earned from this FPA from January 1, 2022 till August 25, 2022 as part of the lease revenue. </w:t>
      </w:r>
    </w:p>
    <w:p>
      <w:pPr>
        <w:pStyle w:val="TextBody"/>
        <w:bidi w:val="0"/>
        <w:spacing w:lineRule="auto" w:line="288" w:before="240" w:after="283"/>
        <w:ind w:left="0" w:right="0" w:hanging="4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ASC 842 did not materially impact the revenue recognition for the above contracts. Included in RNG fuel revenues are $3,510 and $3561 related to the lease portion of the FPAs for the years ended December 31, 2022 and 2021, respectively. Included in Renewable Power revenues are $1,364 and $1,890 related to the lease element of the PPAs for the years ended December 31, 2022 and 2021, respectively.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 </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at Beacon facility is for 20 years at a monthly rent of $11,050. </w:t>
      </w:r>
    </w:p>
    <w:p>
      <w:pPr>
        <w:pStyle w:val="TextBody"/>
        <w:bidi w:val="0"/>
        <w:spacing w:lineRule="auto" w:line="288" w:before="240" w:after="283"/>
        <w:ind w:left="0" w:right="0" w:firstLine="360"/>
        <w:jc w:val="both"/>
        <w:rPr/>
      </w:pPr>
      <w:r>
        <w:rPr>
          <w:color w:val="000000"/>
        </w:rPr>
        <w:t>•</w:t>
      </w:r>
      <w:r>
        <w:rPr>
          <w:rFonts w:ascii="Times New Roman;sans-serif" w:hAnsi="Times New Roman;sans-serif"/>
          <w:b w:val="false"/>
          <w:color w:val="000000"/>
          <w:sz w:val="20"/>
        </w:rPr>
        <w:t xml:space="preserve">As of the Adoption Date, the lease term for MD and VS is for a period of 20 years from their commercial operation date at a quarterly rent of $125,000. As of the Adoption Date, the commercial operation date for MD and VS was expected to be December 31, 2022 and February 1, 2023, respectively. However, as of October 1, 2022, the commercial operation date for both projects was extended to February 1, 2024. The Company accounted the change in the lease term as a lease modification and reassessed the right-of-use assets and corresponding lease liabilities as of that date.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shares office space with Fortistar and reimburses Fortistar on a monthly basis at a predetermined rate. The Company determined that this is not a lease under ASC 842 as there is no identifiable asset and the Company does not have the right to control the use of the office space.</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3 site leases and the one office lease as operating leases.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underlying asset for the lease term and the related lease liability represents an obligation to make lease payments pursuant to the contractual terms of the lease agreement.</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consolidated statement of operations for the years ended December 31, 2022 and 2021. The lease expense for the office lease is recorded as part Selling, general and administrative expenses in its consolidated statement of operations for the years ended December 31, 2022 and 2021. </w:t>
      </w:r>
    </w:p>
    <w:p>
      <w:pPr>
        <w:pStyle w:val="TextBody"/>
        <w:bidi w:val="0"/>
        <w:spacing w:lineRule="auto" w:line="26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65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2022.</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Adoption of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ASC 842 on January 1, 2022, which resulted in the recognition of operating lease right-of-use assets of $13,590 and related lease liabilities for operating leases of $13,302 in Total Assets and Total Liabilities, respectively, on our consolidated balance sheet on January 1, 2022. The Company also recognized $796 of finance lease right-of-use assets and related f lease liabilities for finance leases of $766 in Total Assets and Total Liabilities, respectively, on our consolidated balance sheet on January 1, 2022.</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The Company adopted ASC 842 using the adoption date transition method. Under this method, the Company will apply the guidance to </w:t>
      </w:r>
      <w:r>
        <w:rPr>
          <w:rFonts w:ascii="Times New Roman;sans-serif" w:hAnsi="Times New Roman;sans-serif"/>
          <w:b w:val="false"/>
          <w:color w:val="2D2D2D"/>
          <w:sz w:val="20"/>
        </w:rPr>
        <w:t>each lease that had commenced as of the beginning of the reporting period in which the entity first applies the leases standard (referred to as the “application date” or the “effective date” under this method) with a cumulative-effect adjustment as of that date. Prior comparative periods would be not be adjusted under this method. The Company will provide necessary disclosures for the comparative periods</w:t>
      </w:r>
      <w:r>
        <w:rPr>
          <w:rFonts w:ascii="Georgia;serif" w:hAnsi="Georgia;serif"/>
          <w:b w:val="false"/>
          <w:color w:val="2D2D2D"/>
          <w:sz w:val="24"/>
        </w:rPr>
        <w:t xml:space="preserve">.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Determination of incremental borrowing rate</w:t>
      </w:r>
    </w:p>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at lease commencement, a lessee must develop a discount rate to calculate the present value of the lease payments so that it can determine lease classification and measure the lease liability. When determining the discount rate to be used at lease commencement, a lessee must use the rate implicit in the lease unless that rate cannot be readily determined. When the rate implicit in the lease cannot be readily determined, the lessee should use its incremental borrowing rate. The incremental borrowing rate is the rate that reflects the interest a lessee would have to pay to borrow funds on a collateralized basis over a similar term and in a similar economic environment. The Company determined that its' lease contracts do not contain an implicit borrowing rate. Therefore, the Company arrived at the incremental borrowing rate by determining the Company's implied credit rating and interest rates on its current collateralized borrowings as of January 1, 2022. The Company then determined the incremental borrowing rate for each lease based on the remaining lease term on the specific lease. Based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above methodology, the Company's incremental borrowing rates ranged from 2.3% to 5.4% for the lease contracts for which the Company recorded right-of-use assets and corresponding lease liabilities. The Company updated the incremental borrowing rate at the end of each reporting period and applied that rate to any new leases entered into in the applicable reporting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calculated the net present value of the remaining lease payments as of January 1, 2022 for existing leases as of that date and recorded the right-of-use assets and corresponding liabilities on the Adoption Date. For the leases entered into during 2022, the Company recorded the right-of-use asset and lease liabilities in the reporting period the lease term began. Additionally, the Company recorded lease modifications on three leases where the lease term was extended.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2022, the Company recognized lease expense in accordance with then-existing ASC 840. Because both ASC 842 and ASC 840 generally recognize operating lease expense as a single line expense on a straight-line basis over the term of the lease arrangement, there were no material differences between the timing and amount of lease expense recognized for the operating leases under the two accounting methodologies for the years ended December 31, 2022 and 2021.</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the adoption of ASC 842 changed the expense recognition on finance leases by splitting the lease expense into its individual elements - amortization expense and interest expense. Although there was no material difference in the total expense recognized in its statement of operations for the years ended December 31, 2022 and 2021, the lease expense on finance leases for the year ended December 31, 2022 has been presented as part of Depreciation, amortization and accretion expense and interest and financing expense, net in its consolidated statement of operations. </w:t>
      </w:r>
    </w:p>
    <w:p>
      <w:pPr>
        <w:pStyle w:val="TextBody"/>
        <w:bidi w:val="0"/>
        <w:spacing w:lineRule="auto" w:line="268" w:before="24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December 31, 2022 and January 1, 2022 are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tbl>
      <w:tblPr>
        <w:tblW w:w="9769"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1269"/>
        <w:gridCol w:w="1269"/>
        <w:gridCol w:w="1272"/>
        <w:gridCol w:w="109"/>
        <w:gridCol w:w="109"/>
        <w:gridCol w:w="109"/>
        <w:gridCol w:w="574"/>
        <w:gridCol w:w="574"/>
        <w:gridCol w:w="576"/>
        <w:gridCol w:w="109"/>
        <w:gridCol w:w="109"/>
        <w:gridCol w:w="109"/>
        <w:gridCol w:w="509"/>
        <w:gridCol w:w="509"/>
        <w:gridCol w:w="721"/>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January 1, 2022 </w:t>
            </w:r>
            <w:r>
              <w:rPr>
                <w:rFonts w:ascii="Times New Roman;sans-serif" w:hAnsi="Times New Roman;sans-serif"/>
                <w:b/>
                <w:color w:val="000000"/>
                <w:sz w:val="13"/>
              </w:rPr>
              <w:t>(1)</w:t>
            </w:r>
          </w:p>
        </w:tc>
      </w:tr>
      <w:tr>
        <w:trPr/>
        <w:tc>
          <w:tcPr>
            <w:tcW w:w="1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Site leases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$13,242</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Office lease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13,590</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Vehicle leases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796</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14,386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12,895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458</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$13,381</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Operating lease right-of-use asset and Operating lease liabilities represent the present value of lease payments for the remaining term of the lease. The discount rate used ranged from 2.30% to 5.40%. </w:t>
      </w:r>
    </w:p>
    <w:p>
      <w:pPr>
        <w:pStyle w:val="TextBody"/>
        <w:bidi w:val="0"/>
        <w:spacing w:lineRule="auto" w:line="268" w:before="24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recorded lease modifications on two of site leases on October 1, 2022 where the lease term was extended and reduced the right-of-use asset and the corresponding lease liabilities by $2,550 as the incremental borrowing rates increased in the fourth quarter of 2022 when the lease modification was recorded.</w:t>
      </w:r>
    </w:p>
    <w:p>
      <w:pPr>
        <w:pStyle w:val="TextBody"/>
        <w:bidi w:val="0"/>
        <w:spacing w:lineRule="auto" w:line="268" w:before="24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The Company exercised its option to extend the lease in March 2022 which the Company recorded as a lease modification. The Company increased the right-of-use asset and the corresponding lease liability by $1,829. </w:t>
      </w:r>
    </w:p>
    <w:p>
      <w:pPr>
        <w:pStyle w:val="TextBody"/>
        <w:bidi w:val="0"/>
        <w:spacing w:lineRule="auto" w:line="268" w:before="240" w:after="283"/>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 xml:space="preserve">The Company entered into multiple vehicle leases during 2022 which were recorded as new leases at the beginning of the lease term. The Company recorded an aggregate of $903 right-of-use assets and corresponding lease liabilities. </w: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year ended December 31, 2022:</w:t>
      </w:r>
    </w:p>
    <w:tbl>
      <w:tblPr>
        <w:tblW w:w="10042" w:type="dxa"/>
        <w:jc w:val="left"/>
        <w:tblInd w:w="0" w:type="dxa"/>
        <w:tblLayout w:type="fixed"/>
        <w:tblCellMar>
          <w:top w:w="28" w:type="dxa"/>
          <w:left w:w="28" w:type="dxa"/>
          <w:bottom w:w="28" w:type="dxa"/>
          <w:right w:w="28" w:type="dxa"/>
        </w:tblCellMar>
      </w:tblPr>
      <w:tblGrid>
        <w:gridCol w:w="1533"/>
        <w:gridCol w:w="1346"/>
        <w:gridCol w:w="1350"/>
        <w:gridCol w:w="109"/>
        <w:gridCol w:w="109"/>
        <w:gridCol w:w="109"/>
        <w:gridCol w:w="1374"/>
        <w:gridCol w:w="1374"/>
        <w:gridCol w:w="1377"/>
        <w:gridCol w:w="109"/>
        <w:gridCol w:w="109"/>
        <w:gridCol w:w="109"/>
        <w:gridCol w:w="303"/>
        <w:gridCol w:w="303"/>
        <w:gridCol w:w="428"/>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Amount </w:t>
            </w:r>
            <w:r>
              <w:rPr>
                <w:rFonts w:ascii="Times New Roman;sans-serif" w:hAnsi="Times New Roman;sans-serif"/>
                <w:b/>
                <w:color w:val="000000"/>
                <w:sz w:val="13"/>
              </w:rPr>
              <w:t>(1)</w:t>
            </w:r>
          </w:p>
        </w:tc>
      </w:tr>
      <w:tr>
        <w:trPr/>
        <w:tc>
          <w:tcPr>
            <w:tcW w:w="4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429</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$2,002</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does not have material short term lease expense for the year ended December 31, 2022</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year ended December 31, 2022.</w:t>
      </w:r>
    </w:p>
    <w:p>
      <w:pPr>
        <w:pStyle w:val="TextBody"/>
        <w:bidi w:val="0"/>
        <w:spacing w:before="240" w:after="283"/>
        <w:jc w:val="both"/>
        <w:rPr/>
      </w:pPr>
      <w:r>
        <w:rPr/>
      </w:r>
    </w:p>
    <w:tbl>
      <w:tblPr>
        <w:tblW w:w="6191" w:type="dxa"/>
        <w:jc w:val="left"/>
        <w:tblInd w:w="0" w:type="dxa"/>
        <w:tblLayout w:type="fixed"/>
        <w:tblCellMar>
          <w:top w:w="28" w:type="dxa"/>
          <w:left w:w="28" w:type="dxa"/>
          <w:bottom w:w="28" w:type="dxa"/>
          <w:right w:w="28" w:type="dxa"/>
        </w:tblCellMar>
      </w:tblPr>
      <w:tblGrid>
        <w:gridCol w:w="1498"/>
        <w:gridCol w:w="1317"/>
        <w:gridCol w:w="1325"/>
        <w:gridCol w:w="109"/>
        <w:gridCol w:w="109"/>
        <w:gridCol w:w="109"/>
        <w:gridCol w:w="504"/>
        <w:gridCol w:w="504"/>
        <w:gridCol w:w="716"/>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18.6 years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7.87%</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5.82%</w:t>
            </w:r>
          </w:p>
        </w:tc>
      </w:tr>
    </w:tbl>
    <w:p>
      <w:pPr>
        <w:pStyle w:val="TextBody"/>
        <w:bidi w:val="0"/>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December 31, 2022:</w:t>
      </w:r>
    </w:p>
    <w:tbl>
      <w:tblPr>
        <w:tblW w:w="9420" w:type="dxa"/>
        <w:jc w:val="left"/>
        <w:tblInd w:w="0" w:type="dxa"/>
        <w:tblLayout w:type="fixed"/>
        <w:tblCellMar>
          <w:top w:w="28" w:type="dxa"/>
          <w:left w:w="28" w:type="dxa"/>
          <w:bottom w:w="28" w:type="dxa"/>
          <w:right w:w="28" w:type="dxa"/>
        </w:tblCellMar>
      </w:tblPr>
      <w:tblGrid>
        <w:gridCol w:w="1396"/>
        <w:gridCol w:w="1225"/>
        <w:gridCol w:w="1233"/>
        <w:gridCol w:w="109"/>
        <w:gridCol w:w="109"/>
        <w:gridCol w:w="109"/>
        <w:gridCol w:w="319"/>
        <w:gridCol w:w="319"/>
        <w:gridCol w:w="321"/>
        <w:gridCol w:w="109"/>
        <w:gridCol w:w="109"/>
        <w:gridCol w:w="109"/>
        <w:gridCol w:w="399"/>
        <w:gridCol w:w="399"/>
        <w:gridCol w:w="401"/>
        <w:gridCol w:w="109"/>
        <w:gridCol w:w="109"/>
        <w:gridCol w:w="109"/>
        <w:gridCol w:w="424"/>
        <w:gridCol w:w="424"/>
        <w:gridCol w:w="426"/>
        <w:gridCol w:w="109"/>
        <w:gridCol w:w="109"/>
        <w:gridCol w:w="109"/>
        <w:gridCol w:w="240"/>
        <w:gridCol w:w="240"/>
        <w:gridCol w:w="346"/>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 upon 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$2,059</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1,918</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1,247</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beyond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17,913</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25,140</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1,079</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12,070</w:t>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$13,149</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based on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$11,991</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office rent expense for the year ended December 31, 2021 was $1,098.</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Derivative Financial Instruments and Fair Value Measurements</w:t>
      </w:r>
    </w:p>
    <w:p>
      <w:pPr>
        <w:pStyle w:val="TextBody"/>
        <w:bidi w:val="0"/>
        <w:spacing w:lineRule="auto" w:line="288" w:before="16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entry into the Senior Secured Credit Facility, the Company entered into certain interest rate swap agreements. These transactions involved the exchange of fixed and floating rate interest payment obligations without the exchange of the underlying principal amounts. The average annual fixed rate ranged from 2.38% in 2020 to 2.50% in 2022. The Company has accounted for these instruments as economic hedges and has included changes in their fair market value in the consolidated statements of operations. The swaps expired in September 2022.</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August 2022, the Company entered into two interest rate swaps for the notional amount of $61,926 of OPAL Term Loan II at a fixed interest rate of 2.47% to hedge the SOFR-based floating interest rate. On August 16, 2022, the Company entered into a swaption for a notional amount of $13,074 with fixed rate of 2.32% with a maturity date of December 30, 2022. The maturity date was extended to March 30, 2023. The Company accounted for the swaption as an economic hedge and included the change in the fair market value in the consolidated statement of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fair value of the interest rate swap as an asset or liability on its consolidated balance sheet. The effective portion of the swap is recorded in Accumulated other comprehensive income. No portion of the cash flow hedges were ineffective during the year ended December 31, 2022. There are no amounts that would be released from the Other comprehensive income in the next twelve months.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interest rate swaps in place as of December 31, 2022 and December 31, 2021:</w:t>
      </w:r>
    </w:p>
    <w:p>
      <w:pPr>
        <w:pStyle w:val="TextBody"/>
        <w:bidi w:val="0"/>
        <w:spacing w:before="120" w:after="283"/>
        <w:ind w:left="0" w:right="0" w:firstLine="360"/>
        <w:jc w:val="both"/>
        <w:rPr/>
      </w:pPr>
      <w:r>
        <w:rPr/>
      </w:r>
    </w:p>
    <w:tbl>
      <w:tblPr>
        <w:tblW w:w="9383" w:type="dxa"/>
        <w:jc w:val="left"/>
        <w:tblInd w:w="0" w:type="dxa"/>
        <w:tblLayout w:type="fixed"/>
        <w:tblCellMar>
          <w:top w:w="28" w:type="dxa"/>
          <w:left w:w="28" w:type="dxa"/>
          <w:bottom w:w="28" w:type="dxa"/>
          <w:right w:w="28" w:type="dxa"/>
        </w:tblCellMar>
      </w:tblPr>
      <w:tblGrid>
        <w:gridCol w:w="532"/>
        <w:gridCol w:w="466"/>
        <w:gridCol w:w="471"/>
        <w:gridCol w:w="324"/>
        <w:gridCol w:w="324"/>
        <w:gridCol w:w="326"/>
        <w:gridCol w:w="415"/>
        <w:gridCol w:w="415"/>
        <w:gridCol w:w="415"/>
        <w:gridCol w:w="450"/>
        <w:gridCol w:w="450"/>
        <w:gridCol w:w="450"/>
        <w:gridCol w:w="109"/>
        <w:gridCol w:w="109"/>
        <w:gridCol w:w="109"/>
        <w:gridCol w:w="574"/>
        <w:gridCol w:w="574"/>
        <w:gridCol w:w="576"/>
        <w:gridCol w:w="175"/>
        <w:gridCol w:w="175"/>
        <w:gridCol w:w="175"/>
        <w:gridCol w:w="517"/>
        <w:gridCol w:w="517"/>
        <w:gridCol w:w="735"/>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038"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swap detail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Notional Amount </w:t>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 date</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Fixed rate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Start date</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$41,284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4,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$61,926</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derivatives fair values in the consolidated balance sheets are:</w:t>
      </w:r>
    </w:p>
    <w:tbl>
      <w:tblPr>
        <w:tblW w:w="10205" w:type="dxa"/>
        <w:jc w:val="left"/>
        <w:tblInd w:w="0" w:type="dxa"/>
        <w:tblLayout w:type="fixed"/>
        <w:tblCellMar>
          <w:top w:w="28" w:type="dxa"/>
          <w:left w:w="28" w:type="dxa"/>
          <w:bottom w:w="28" w:type="dxa"/>
          <w:right w:w="28" w:type="dxa"/>
        </w:tblCellMar>
      </w:tblPr>
      <w:tblGrid>
        <w:gridCol w:w="1179"/>
        <w:gridCol w:w="1032"/>
        <w:gridCol w:w="1039"/>
        <w:gridCol w:w="270"/>
        <w:gridCol w:w="792"/>
        <w:gridCol w:w="141"/>
        <w:gridCol w:w="109"/>
        <w:gridCol w:w="109"/>
        <w:gridCol w:w="109"/>
        <w:gridCol w:w="316"/>
        <w:gridCol w:w="723"/>
        <w:gridCol w:w="163"/>
        <w:gridCol w:w="109"/>
        <w:gridCol w:w="109"/>
        <w:gridCol w:w="109"/>
        <w:gridCol w:w="1149"/>
        <w:gridCol w:w="1134"/>
        <w:gridCol w:w="1613"/>
      </w:tblGrid>
      <w:tr>
        <w:trPr/>
        <w:tc>
          <w:tcPr>
            <w:tcW w:w="117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3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Location of Fair Value Recognized in Balance Sheet</w:t>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portion of swaption </w:t>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current portion</w:t>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interest swaps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cash flow hedges: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current portion of the interest rate swaps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assets, non-current portion</w:t>
            </w:r>
          </w:p>
        </w:tc>
      </w:tr>
      <w:tr>
        <w:trPr/>
        <w:tc>
          <w:tcPr>
            <w:tcW w:w="32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before="120" w:after="283"/>
        <w:ind w:left="0" w:right="0" w:firstLine="360"/>
        <w:jc w:val="left"/>
        <w:rPr/>
      </w:pPr>
      <w:r>
        <w:rPr/>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consolidated statement of operations were as follows:</w:t>
      </w:r>
    </w:p>
    <w:p>
      <w:pPr>
        <w:pStyle w:val="TextBody"/>
        <w:bidi w:val="0"/>
        <w:spacing w:before="120" w:after="283"/>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21"/>
        <w:gridCol w:w="962"/>
        <w:gridCol w:w="971"/>
        <w:gridCol w:w="196"/>
        <w:gridCol w:w="421"/>
        <w:gridCol w:w="109"/>
        <w:gridCol w:w="109"/>
        <w:gridCol w:w="109"/>
        <w:gridCol w:w="109"/>
        <w:gridCol w:w="196"/>
        <w:gridCol w:w="556"/>
        <w:gridCol w:w="109"/>
        <w:gridCol w:w="109"/>
        <w:gridCol w:w="109"/>
        <w:gridCol w:w="109"/>
        <w:gridCol w:w="1437"/>
        <w:gridCol w:w="1437"/>
        <w:gridCol w:w="2036"/>
      </w:tblGrid>
      <w:tr>
        <w:trPr/>
        <w:tc>
          <w:tcPr>
            <w:tcW w:w="112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3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0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9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 - interest rate swaps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interest rate swaps on the Company's consolidated balance sheets and the effect of netting arrangements and collateral on its financial position:</w:t>
      </w:r>
    </w:p>
    <w:tbl>
      <w:tblPr>
        <w:tblW w:w="7837" w:type="dxa"/>
        <w:jc w:val="left"/>
        <w:tblInd w:w="0" w:type="dxa"/>
        <w:tblLayout w:type="fixed"/>
        <w:tblCellMar>
          <w:top w:w="28" w:type="dxa"/>
          <w:left w:w="28" w:type="dxa"/>
          <w:bottom w:w="28" w:type="dxa"/>
          <w:right w:w="28" w:type="dxa"/>
        </w:tblCellMar>
      </w:tblPr>
      <w:tblGrid>
        <w:gridCol w:w="835"/>
        <w:gridCol w:w="736"/>
        <w:gridCol w:w="739"/>
        <w:gridCol w:w="400"/>
        <w:gridCol w:w="891"/>
        <w:gridCol w:w="223"/>
        <w:gridCol w:w="109"/>
        <w:gridCol w:w="109"/>
        <w:gridCol w:w="109"/>
        <w:gridCol w:w="363"/>
        <w:gridCol w:w="753"/>
        <w:gridCol w:w="204"/>
        <w:gridCol w:w="109"/>
        <w:gridCol w:w="109"/>
        <w:gridCol w:w="109"/>
        <w:gridCol w:w="472"/>
        <w:gridCol w:w="1196"/>
        <w:gridCol w:w="371"/>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 Recognized</w:t>
              <w:br/>
              <w:t>Assets/(Liabilities)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w:t>
              <w:br/>
              <w:t>Offset in the</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Net Amounts of</w:t>
              <w:br/>
              <w:t>Assets/(Liabilities) in the</w:t>
              <w:br/>
              <w:t>Balance Sheet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asset</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 asset</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182</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$1,136</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15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liability</w:t>
            </w:r>
          </w:p>
        </w:tc>
        <w:tc>
          <w:tcPr>
            <w:tcW w:w="4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collateral balances with counterparties outstanding as of the period-end dates.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2018, the Company signed an amendment that converted an existing PPA into a commodity swap contract to allow the Company flexibility to sell the capacity separately and schedule the sale of electricity to independent third parties. Following the amendment, the Company agreed to net settle the contract in cash on a monthly basis based on the difference between the contract price and market price. The contract has a default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minimum of 34,554 MWh per year. The commodity swap contract ended in September 2022 when the facility was shut down.</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will continue to assess its normal purchase and normal sale election on a quarterly basis.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commodity swaps in place as of December 31, 2022 and December 31, 2021. </w:t>
      </w:r>
    </w:p>
    <w:tbl>
      <w:tblPr>
        <w:tblW w:w="10205" w:type="dxa"/>
        <w:jc w:val="left"/>
        <w:tblInd w:w="0" w:type="dxa"/>
        <w:tblLayout w:type="fixed"/>
        <w:tblCellMar>
          <w:top w:w="28" w:type="dxa"/>
          <w:left w:w="28" w:type="dxa"/>
          <w:bottom w:w="28" w:type="dxa"/>
          <w:right w:w="28" w:type="dxa"/>
        </w:tblCellMar>
      </w:tblPr>
      <w:tblGrid>
        <w:gridCol w:w="543"/>
        <w:gridCol w:w="476"/>
        <w:gridCol w:w="477"/>
        <w:gridCol w:w="109"/>
        <w:gridCol w:w="109"/>
        <w:gridCol w:w="109"/>
        <w:gridCol w:w="511"/>
        <w:gridCol w:w="453"/>
        <w:gridCol w:w="430"/>
        <w:gridCol w:w="109"/>
        <w:gridCol w:w="109"/>
        <w:gridCol w:w="109"/>
        <w:gridCol w:w="501"/>
        <w:gridCol w:w="486"/>
        <w:gridCol w:w="493"/>
        <w:gridCol w:w="109"/>
        <w:gridCol w:w="109"/>
        <w:gridCol w:w="109"/>
        <w:gridCol w:w="769"/>
        <w:gridCol w:w="769"/>
        <w:gridCol w:w="771"/>
        <w:gridCol w:w="109"/>
        <w:gridCol w:w="109"/>
        <w:gridCol w:w="109"/>
        <w:gridCol w:w="646"/>
        <w:gridCol w:w="646"/>
        <w:gridCol w:w="926"/>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$68.50</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$65.50</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$81.50</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14,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$66.12</w:t>
            </w:r>
          </w:p>
        </w:tc>
      </w:tr>
      <w:tr>
        <w:trPr/>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28,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$48.75</w:t>
            </w:r>
          </w:p>
        </w:tc>
      </w:tr>
      <w:tr>
        <w:trPr/>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$50.75</w:t>
            </w:r>
          </w:p>
        </w:tc>
      </w:tr>
    </w:tbl>
    <w:p>
      <w:pPr>
        <w:pStyle w:val="TextBody"/>
        <w:bidi w:val="0"/>
        <w:spacing w:before="120" w:after="283"/>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consolidated statements of operations for the years ended December 31, 2022 and 2021:</w:t>
      </w:r>
    </w:p>
    <w:p>
      <w:pPr>
        <w:pStyle w:val="TextBody"/>
        <w:bidi w:val="0"/>
        <w:spacing w:before="0" w:after="0"/>
        <w:ind w:left="0" w:right="0" w:firstLine="360"/>
        <w:jc w:val="left"/>
        <w:rPr/>
      </w:pPr>
      <w:r>
        <w:rPr/>
      </w:r>
    </w:p>
    <w:tbl>
      <w:tblPr>
        <w:tblW w:w="9936" w:type="dxa"/>
        <w:jc w:val="left"/>
        <w:tblInd w:w="0" w:type="dxa"/>
        <w:tblLayout w:type="fixed"/>
        <w:tblCellMar>
          <w:top w:w="28" w:type="dxa"/>
          <w:left w:w="28" w:type="dxa"/>
          <w:bottom w:w="28" w:type="dxa"/>
          <w:right w:w="28" w:type="dxa"/>
        </w:tblCellMar>
      </w:tblPr>
      <w:tblGrid>
        <w:gridCol w:w="1446"/>
        <w:gridCol w:w="1268"/>
        <w:gridCol w:w="1275"/>
        <w:gridCol w:w="884"/>
        <w:gridCol w:w="884"/>
        <w:gridCol w:w="887"/>
        <w:gridCol w:w="109"/>
        <w:gridCol w:w="109"/>
        <w:gridCol w:w="109"/>
        <w:gridCol w:w="315"/>
        <w:gridCol w:w="315"/>
        <w:gridCol w:w="315"/>
        <w:gridCol w:w="315"/>
        <w:gridCol w:w="315"/>
        <w:gridCol w:w="315"/>
        <w:gridCol w:w="315"/>
        <w:gridCol w:w="315"/>
        <w:gridCol w:w="445"/>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9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loss</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(1,148)</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 (loss)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$(2,269)</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$(1,170)</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December 31, 2022 and December 31, 2021</w:t>
      </w:r>
    </w:p>
    <w:p>
      <w:pPr>
        <w:pStyle w:val="TextBody"/>
        <w:bidi w:val="0"/>
        <w:spacing w:before="0" w:after="0"/>
        <w:ind w:left="0" w:right="0" w:firstLine="360"/>
        <w:jc w:val="left"/>
        <w:rPr/>
      </w:pPr>
      <w:r>
        <w:rPr/>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7"/>
        <w:gridCol w:w="1067"/>
        <w:gridCol w:w="1073"/>
        <w:gridCol w:w="482"/>
        <w:gridCol w:w="482"/>
        <w:gridCol w:w="484"/>
        <w:gridCol w:w="111"/>
        <w:gridCol w:w="111"/>
        <w:gridCol w:w="111"/>
        <w:gridCol w:w="482"/>
        <w:gridCol w:w="482"/>
        <w:gridCol w:w="484"/>
        <w:gridCol w:w="109"/>
        <w:gridCol w:w="109"/>
        <w:gridCol w:w="109"/>
        <w:gridCol w:w="959"/>
        <w:gridCol w:w="959"/>
        <w:gridCol w:w="137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Location of Fair value recognized in Balance Sheet </w:t>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economic hedges</w:t>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gain on commodity swaps</w:t>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asset, current portion</w:t>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unrealized loss on commodity swaps</w:t>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liability, current portion</w:t>
            </w:r>
          </w:p>
        </w:tc>
      </w:tr>
    </w:tbl>
    <w:p>
      <w:pPr>
        <w:pStyle w:val="TextBody"/>
        <w:bidi w:val="0"/>
        <w:spacing w:before="0" w:after="0"/>
        <w:ind w:left="0" w:right="0" w:firstLine="36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On July 21, 2022, the Company recorded derivative liabilities for the outstanding Public Warrants and Private Warrants, put option to Meteora, the Sponsor Earnout Awards and the OPAL Earnout Awards.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for additional information. The change in fair value on these derivative instruments in recorded as change in fair value of derivative instruments, net in the consolidated statement of operations for the year ended December 31, 2022.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consolidated statements of operations for the years ended December 31, 2022 and 2021:</w:t>
      </w:r>
    </w:p>
    <w:tbl>
      <w:tblPr>
        <w:tblW w:w="10205" w:type="dxa"/>
        <w:jc w:val="left"/>
        <w:tblInd w:w="0" w:type="dxa"/>
        <w:tblLayout w:type="fixed"/>
        <w:tblCellMar>
          <w:top w:w="28" w:type="dxa"/>
          <w:left w:w="28" w:type="dxa"/>
          <w:bottom w:w="28" w:type="dxa"/>
          <w:right w:w="28" w:type="dxa"/>
        </w:tblCellMar>
      </w:tblPr>
      <w:tblGrid>
        <w:gridCol w:w="1260"/>
        <w:gridCol w:w="1069"/>
        <w:gridCol w:w="1019"/>
        <w:gridCol w:w="109"/>
        <w:gridCol w:w="109"/>
        <w:gridCol w:w="109"/>
        <w:gridCol w:w="353"/>
        <w:gridCol w:w="339"/>
        <w:gridCol w:w="255"/>
        <w:gridCol w:w="255"/>
        <w:gridCol w:w="255"/>
        <w:gridCol w:w="255"/>
        <w:gridCol w:w="335"/>
        <w:gridCol w:w="255"/>
        <w:gridCol w:w="255"/>
        <w:gridCol w:w="109"/>
        <w:gridCol w:w="109"/>
        <w:gridCol w:w="109"/>
        <w:gridCol w:w="1099"/>
        <w:gridCol w:w="1051"/>
        <w:gridCol w:w="1496"/>
      </w:tblGrid>
      <w:tr>
        <w:trPr/>
        <w:tc>
          <w:tcPr>
            <w:tcW w:w="12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3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liability payable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$4,365</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Put option to Meteora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Earnout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OPAL Earnout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35,200</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(9,027)</w:t>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$32,583</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instruments, net</w:t>
            </w:r>
          </w:p>
        </w:tc>
      </w:tr>
    </w:tbl>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of $88,312 and $134,083 as of December 31, 2022 and December 31, 2021, respectively, represents the total amount to be repaid if the debt has to be discharged in full and therefore approximates its fair value.</w:t>
      </w:r>
    </w:p>
    <w:p>
      <w:pPr>
        <w:pStyle w:val="TextBody"/>
        <w:bidi w:val="0"/>
        <w:spacing w:lineRule="auto" w:line="288" w:before="12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the Convertible Note Payable at fair value at each reporting period. As of December 31, 2022, the Company recorded the Convertible Note Payable at par plus accrued interest as it is payable on demand by either party and therefore represents fair value. The fair value as of December 31, 2021 is valued with a discounted cash flow analysis to estimate the present value of the cash outflows associated with the arrangement. A synthetic credit rating model is utilized to estimate the Company's credit rating based on the Company's financial condition and the Company's forecasts and plans with respect to debt service, which is then used as input to perform a comparable yield analysis with similarly rated companies to obtain an appropriate discount rate. Other significant inputs include the principal amount, the stated coupon rate, the maturity date of the note and the conversion multiple, all of which are directly observable from the contract. This estimate also requires assumptions and judgements regarding the probability and the timing of the event occurring that would lead to automatic conversion. Certain significant assumptions used to determine the fair value of the convertible note represent Level 3 inputs and can regularly change. As such, the fair value measurement of the convertible note is subject to changes in these unobservable inputs as of the measurement date. A significant increase (decrease) in the discount rate in isolation could result in a significantly lower (higher) fair value measurement. The Company estimated the fair value of the Convertible Note Payable as of December 31, 2021 based on discount rates ranging from 7.0% to 7.5%.</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outstanding warrants by recording its fair value of a liability on the Closing Date of the Business Combination and recording the change in the fair value at the balance sheet date in the consolidated statement of operations. The Company redeemed the outstanding Private and Public Warrants by issuing 3,309,296 and 497,080 shares of Class A common stock in exchange for the 100% of the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w10:wrap type="none"/>
              </v:rect>
            </w:pict>
          </mc:Fallback>
        </mc:AlternateConten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and recorded $25,920 as fair value of shares of Class A common stock issued based on the weighted average closing share price of $6.80 on December 22, 2022 and $6.87 on December 23, 2022, respectively. The Company recorded $3,368 as loss on exchange of warrants in its consolidated statement of operations for the year ended December 31, 2022.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December 31, 2022 was determined using a Monte Carlo valuation model with a distribution of potential outcomes on a daily basis over the five year post-close period. Assumptions used in the valuation are as follows: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4.5 year term of the earnout period;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December 31, 2022 was determined using a Monte Carlo valuation model with a distribution of potential outcomes for stock price and EBITDA over the 2-year period commencing on January 1, 2023 and ending on December 31, 2024. </w:t>
      </w:r>
    </w:p>
    <w:p>
      <w:pPr>
        <w:pStyle w:val="TextBody"/>
        <w:bidi w:val="0"/>
        <w:spacing w:before="120" w:after="283"/>
        <w:ind w:left="0" w:right="0" w:firstLine="360"/>
        <w:jc w:val="both"/>
        <w:rPr/>
      </w:pPr>
      <w:r>
        <w:rPr/>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the OPAL Earnout Awards for the year ended December 31, 2022 resulted in a gain of $35,200 due to decrease in stock price and the EBITDA projections over the 2-year period. Assumptions used in the valuation are as follows: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Weighted average cost of capital - 16% based on an average of historical volatilities of selected industry peers deemed to be comparable to our business.</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1.8 year term of the earnout period;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put option with Meteora as of December 31, 2022 was determined using a Monte Carlo valuation model with a distribution of potential outcomes on a daily basis over the 6 month post-close period. Assumptions used in the valuation are as follows: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Current stock price — The Company's closing stock price of $7.28 as of December 31, 2022;</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Expected volatility —65% based on historical and implied volatilities of selected industry peers deemed to be comparable to our business corresponding to the expected term of the awards;</w:t>
      </w:r>
    </w:p>
    <w:p>
      <w:pPr>
        <w:pStyle w:val="TextBody"/>
        <w:bidi w:val="0"/>
        <w:spacing w:lineRule="auto" w:line="240" w:before="0" w:after="0"/>
        <w:ind w:left="0" w:right="0" w:hanging="360"/>
        <w:jc w:val="left"/>
        <w:rPr/>
      </w:pPr>
      <w:r>
        <w:rPr>
          <w:color w:val="000000"/>
        </w:rPr>
        <w:t xml:space="preserve">• </w:t>
      </w:r>
      <w:r>
        <w:rPr>
          <w:rFonts w:ascii="Times New Roman;sans-serif" w:hAnsi="Times New Roman;sans-serif"/>
          <w:b w:val="false"/>
          <w:color w:val="000000"/>
          <w:sz w:val="20"/>
        </w:rPr>
        <w:t>Risk-free interest rate — 4.0% based on the U.S. Treasury yield curve in effect at the time of issuance for zero-coupon U.S. Treasury notes with maturities corresponding to the expected 0.1 year term of the Forward Purchase Agreement;</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December 31, 2022 and December 31, 2021, set forth by level, within the fair value hierarchy:</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w10:wrap type="none"/>
              </v:rect>
            </w:pict>
          </mc:Fallback>
        </mc:AlternateContent>
      </w:r>
    </w:p>
    <w:tbl>
      <w:tblPr>
        <w:tblW w:w="6388" w:type="dxa"/>
        <w:jc w:val="left"/>
        <w:tblInd w:w="0" w:type="dxa"/>
        <w:tblLayout w:type="fixed"/>
        <w:tblCellMar>
          <w:top w:w="28" w:type="dxa"/>
          <w:left w:w="28" w:type="dxa"/>
          <w:bottom w:w="28" w:type="dxa"/>
          <w:right w:w="28" w:type="dxa"/>
        </w:tblCellMar>
      </w:tblPr>
      <w:tblGrid>
        <w:gridCol w:w="772"/>
        <w:gridCol w:w="678"/>
        <w:gridCol w:w="680"/>
        <w:gridCol w:w="210"/>
        <w:gridCol w:w="436"/>
        <w:gridCol w:w="109"/>
        <w:gridCol w:w="109"/>
        <w:gridCol w:w="109"/>
        <w:gridCol w:w="109"/>
        <w:gridCol w:w="205"/>
        <w:gridCol w:w="441"/>
        <w:gridCol w:w="109"/>
        <w:gridCol w:w="109"/>
        <w:gridCol w:w="109"/>
        <w:gridCol w:w="109"/>
        <w:gridCol w:w="196"/>
        <w:gridCol w:w="556"/>
        <w:gridCol w:w="109"/>
        <w:gridCol w:w="109"/>
        <w:gridCol w:w="109"/>
        <w:gridCol w:w="109"/>
        <w:gridCol w:w="196"/>
        <w:gridCol w:w="556"/>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2022</w:t>
            </w:r>
          </w:p>
        </w:tc>
      </w:tr>
      <w:tr>
        <w:trPr/>
        <w:tc>
          <w:tcPr>
            <w:tcW w:w="213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Convertible Note Payable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with Meteora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The fair value of Convertible Note Payable as of December 31, 2022, represents the outstanding principal and paid-in-kind interest. Therefore it did not have any unobservable inputs which required the Company to develop its own assumptions. The methodology for calculating the fair value has changed as of December 31, 2022 as the prepayment penalty was cancelled upon consummation of Business Combination. Therefore, the Convertible Note Payable has been transferred from Level 3 to Level 2.</w:t>
      </w:r>
    </w:p>
    <w:tbl>
      <w:tblPr>
        <w:tblW w:w="9180" w:type="dxa"/>
        <w:jc w:val="left"/>
        <w:tblInd w:w="0" w:type="dxa"/>
        <w:tblLayout w:type="fixed"/>
        <w:tblCellMar>
          <w:top w:w="28" w:type="dxa"/>
          <w:left w:w="28" w:type="dxa"/>
          <w:bottom w:w="28" w:type="dxa"/>
          <w:right w:w="28" w:type="dxa"/>
        </w:tblCellMar>
      </w:tblPr>
      <w:tblGrid>
        <w:gridCol w:w="1817"/>
        <w:gridCol w:w="1594"/>
        <w:gridCol w:w="1599"/>
        <w:gridCol w:w="196"/>
        <w:gridCol w:w="40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2021</w:t>
            </w:r>
          </w:p>
        </w:tc>
      </w:tr>
      <w:tr>
        <w:trPr/>
        <w:tc>
          <w:tcPr>
            <w:tcW w:w="5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Contingent consideration on acquisition of non-controlling interest </w:t>
            </w:r>
            <w:r>
              <w:rPr>
                <w:rFonts w:ascii="Times New Roman;sans-serif" w:hAnsi="Times New Roman;sans-serif"/>
                <w:b w:val="false"/>
                <w:color w:val="000000"/>
                <w:sz w:val="12"/>
              </w:rPr>
              <w:t>(1)</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Payable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During the third quarter of 2022, the Company determined that it is no longer required to pay the contingent consideration as the applicable criteria for payment are no longer met and the Company recognized a gain of $4,365 which was recorded as part of change in fair value of derivative instruments, net. </w:t>
      </w:r>
    </w:p>
    <w:p>
      <w:pPr>
        <w:pStyle w:val="TextBody"/>
        <w:bidi w:val="0"/>
        <w:spacing w:before="200" w:after="6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fair values of the Company’s Level 3 instruments, attributable to asset retirement obligations, for the year ended December 31, 2022 is included in Note 2.</w:t>
      </w:r>
    </w:p>
    <w:p>
      <w:pPr>
        <w:pStyle w:val="TextBody"/>
        <w:bidi w:val="0"/>
        <w:spacing w:lineRule="auto" w:line="268" w:before="0" w:after="0"/>
        <w:jc w:val="both"/>
        <w:rPr/>
      </w:pP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represented by Fortistar and other affiliates, subsidiaries and entities under common control with Fortistar or NextEra. </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contributions and distribution from and to members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and 2021, the Company received contributions from Fortistar of $0 and $7,531, respectively. Additionally, the Company made distributions to Fortistar of $0 and $3,695 for the year ended December 31, 2022 and 2021, respectively.</w:t>
      </w:r>
    </w:p>
    <w:p>
      <w:pPr>
        <w:pStyle w:val="TextBody"/>
        <w:bidi w:val="0"/>
        <w:spacing w:before="0" w:after="0"/>
        <w:ind w:left="0" w:right="0" w:firstLine="480"/>
        <w:jc w:val="both"/>
        <w:rPr/>
      </w:pPr>
      <w:r>
        <w:rPr/>
      </w:r>
    </w:p>
    <w:p>
      <w:pPr>
        <w:pStyle w:val="TextBody"/>
        <w:bidi w:val="0"/>
        <w:spacing w:lineRule="auto" w:line="268"/>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w10:wrap type="none"/>
              </v:rect>
            </w:pict>
          </mc:Fallback>
        </mc:AlternateConten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paid-in-kind preferred dividend of $2,526 and $210 for the years ended December 31, 2022 and 2021, respectively. Please see Note 14. </w:t>
      </w:r>
      <w:r>
        <w:rPr>
          <w:rFonts w:ascii="Times New Roman;sans-serif" w:hAnsi="Times New Roman;sans-serif"/>
          <w:b w:val="false"/>
          <w:i/>
          <w:color w:val="000000"/>
          <w:sz w:val="20"/>
        </w:rPr>
        <w:t>Redeemable Preferred Units and Equity,</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the Company sold non-controlling interests to NextEra in four RNG projects (Pine Bend, Noble Road, Emerald and Sapphire) subsidiaries for 50% ownership interest. For the year ended December 31, 2022, the Company received $23,143 as contributions from the sale of such non-controlling interests in Emerald and Sapphire.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Company received $38,218 as contributions from the sale of non-controlling interests.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lineRule="auto" w:line="288" w:before="160" w:after="283"/>
        <w:ind w:left="0" w:right="0" w:firstLine="48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w:t>
      </w:r>
      <w:r>
        <w:rPr>
          <w:rFonts w:ascii="Times New Roman;sans-serif" w:hAnsi="Times New Roman;sans-serif"/>
          <w:b w:val="false"/>
          <w:i/>
          <w:color w:val="000000"/>
          <w:sz w:val="20"/>
        </w:rPr>
        <w:t>Redeemable non-controlling interests,Redeemable preferred non-controlling interests and Stockholders' Equity,</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bidi w:val="0"/>
        <w:spacing w:lineRule="auto" w:line="288" w:before="160" w:after="283"/>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w:t>
      </w:r>
      <w:r>
        <w:rPr>
          <w:rFonts w:ascii="Times New Roman;sans-serif" w:hAnsi="Times New Roman;sans-serif"/>
          <w:b w:val="false"/>
          <w:i/>
          <w:color w:val="000000"/>
          <w:sz w:val="20"/>
        </w:rPr>
        <w:t>Derivative instruments and Fair value measurements</w:t>
      </w:r>
      <w:r>
        <w:rPr>
          <w:color w:val="000000"/>
        </w:rPr>
        <w:t xml:space="preserve"> </w:t>
      </w:r>
      <w:r>
        <w:rPr>
          <w:rFonts w:ascii="Times New Roman;sans-serif" w:hAnsi="Times New Roman;sans-serif"/>
          <w:b w:val="false"/>
          <w:color w:val="000000"/>
          <w:sz w:val="20"/>
        </w:rPr>
        <w:t>for additional information. The Company recorded $5,495 and $3,008 as revenues earned under the commodity swap contracts.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bidi w:val="0"/>
        <w:spacing w:lineRule="auto" w:line="288" w:before="160" w:after="283"/>
        <w:ind w:left="0" w:right="0" w:firstLine="720"/>
        <w:jc w:val="both"/>
        <w:rPr/>
      </w:pPr>
      <w:r>
        <w:rPr>
          <w:rFonts w:ascii="Times New Roman;sans-serif" w:hAnsi="Times New Roman;sans-serif"/>
          <w:b w:val="false"/>
          <w:color w:val="000000"/>
          <w:sz w:val="20"/>
        </w:rPr>
        <w:t>In July 2022, the Company raised</w:t>
      </w:r>
      <w:r>
        <w:rPr>
          <w:color w:val="000000"/>
        </w:rPr>
        <w:t xml:space="preserve"> </w:t>
      </w:r>
      <w:r>
        <w:rPr>
          <w:rFonts w:ascii="Times New Roman;sans-serif" w:hAnsi="Times New Roman;sans-serif"/>
          <w:b w:val="false"/>
          <w:color w:val="000000"/>
          <w:sz w:val="20"/>
        </w:rPr>
        <w:t xml:space="preserve">$138,850 in cash net of transaction expenses of $9,700 representing cash received from the closing of Business Combination and PIPE Investment. NextEra subscribed to the PIPE investment and was issued 2,500,000 shares of Class A common stock at $10.0 per share. Please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xml:space="preserve">, for additional information. </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Company acquired a 100% of the ownership interests in Reynolds, an RNG production facility for $12,020 which was funded with cash on hand. Reynolds held an equity investment of 1,570 Class B units in GREP representing 10% interest for a cash consideration of $1,570 which owns 50% of Biotown, a power generation facility under development to convert to an RNG facility. The Reynolds transaction was an asset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4"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from an affiliate under common control. The Company accounts for its 20% equity investment in GREP under the equity method. The Company recorded an income of $2,302 and net loss of $(124) as its share of net income (loss) for the years ended December 31, 2022 and 2021. </w:t>
      </w:r>
    </w:p>
    <w:p>
      <w:pPr>
        <w:pStyle w:val="TextBody"/>
        <w:bidi w:val="0"/>
        <w:spacing w:before="160" w:after="283"/>
        <w:ind w:left="0" w:right="0" w:firstLine="360"/>
        <w:jc w:val="both"/>
        <w:rPr/>
      </w:pPr>
      <w:r>
        <w:rPr/>
      </w:r>
    </w:p>
    <w:p>
      <w:pPr>
        <w:pStyle w:val="TextBody"/>
        <w:bidi w:val="0"/>
        <w:spacing w:lineRule="auto" w:line="268" w:before="0" w:after="0"/>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contracts with Related Parties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OPAL Fuel Station Services ("OFSS"), an indirect wholly-owned subsidiary of the Company, contracted with Beacon to dispense Beacon’s RNG and to generate and market the resulting RINs created on behalf of Beacon. The term of this contract runs from September 1, 2020 through October 31, 2030. The Company receives non-cash consideration in the form of RINs or LCFSs for providing these services and recognizes the RINs or LCFSs received as inventory based on their estimated fair value at contract inception. During 2021, the Company acquired the remaining interests in Beacon. Therefore, all environmental fees earned are eliminated in the consolidated statements of operations effective May 1, 2021. The Company accounted for Beacon under equity method for the period between January 1, 2021 and April 30, 2021 prior to the acquisition of remaining interests. Therefore, all environmental fees earned after May 1, 2021 are eliminated in the consolidated statement of operations. For the period between January 1, 2021 and April 30, 2021, the company earned environmental processing fees of $632, net of intersegment elimination.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OFSS contracted with Sunoma to dispense RNG and to generate and market the resulting RINs created on behalf of the entity. Additionally, OFSS contracted with Pine Bend in December 2020 and Noble Road in March 2021 to provide the same services. </w:t>
      </w:r>
    </w:p>
    <w:p>
      <w:pPr>
        <w:pStyle w:val="TextBody"/>
        <w:bidi w:val="0"/>
        <w:spacing w:before="160" w:after="283"/>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Sunoma came online in the fourth quarter For the year ended December 31, 2022, the Company earned environmental processing fees of $709, net of intersegment elimination, under this agreement which are included in Fuel Station Services revenues in the consolidated statements of operations. For the year ended December 31, 2021, the Company earned $0, net of intersegment elimination under this agreement. </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unless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2022 and 2021, there have been no material services provided by the Company's employees to Fortistar.</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various fees recorded under the agreements described above which are included in "Selling, general, and administrative" expenses except for $1,518 incurred as transaction costs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5"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Business Combination recorded in additional paid-in capital and $29 recorded as Deferred financing costs as of December 31, 2022:</w:t>
      </w:r>
    </w:p>
    <w:p>
      <w:pPr>
        <w:pStyle w:val="TextBody"/>
        <w:bidi w:val="0"/>
        <w:spacing w:before="0" w:after="0"/>
        <w:ind w:left="0" w:right="0" w:firstLine="480"/>
        <w:jc w:val="both"/>
        <w:rPr/>
      </w:pPr>
      <w:r>
        <w:rPr/>
      </w:r>
    </w:p>
    <w:tbl>
      <w:tblPr>
        <w:tblW w:w="7597" w:type="dxa"/>
        <w:jc w:val="left"/>
        <w:tblInd w:w="0" w:type="dxa"/>
        <w:tblLayout w:type="fixed"/>
        <w:tblCellMar>
          <w:top w:w="28" w:type="dxa"/>
          <w:left w:w="28" w:type="dxa"/>
          <w:bottom w:w="28" w:type="dxa"/>
          <w:right w:w="28" w:type="dxa"/>
        </w:tblCellMar>
      </w:tblPr>
      <w:tblGrid>
        <w:gridCol w:w="1468"/>
        <w:gridCol w:w="1289"/>
        <w:gridCol w:w="1293"/>
        <w:gridCol w:w="109"/>
        <w:gridCol w:w="109"/>
        <w:gridCol w:w="109"/>
        <w:gridCol w:w="342"/>
        <w:gridCol w:w="342"/>
        <w:gridCol w:w="342"/>
        <w:gridCol w:w="342"/>
        <w:gridCol w:w="342"/>
        <w:gridCol w:w="342"/>
        <w:gridCol w:w="342"/>
        <w:gridCol w:w="342"/>
        <w:gridCol w:w="484"/>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 December 31,</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Staffing,management services and office costs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$8,393</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2,205</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1,497</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processing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$4,963</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$10,953</w:t>
            </w:r>
          </w:p>
        </w:tc>
      </w:tr>
    </w:tbl>
    <w:p>
      <w:pPr>
        <w:pStyle w:val="TextBody"/>
        <w:bidi w:val="0"/>
        <w:spacing w:before="0" w:after="0"/>
        <w:ind w:left="0" w:right="0" w:firstLine="480"/>
        <w:jc w:val="both"/>
        <w:rPr/>
      </w:pPr>
      <w:r>
        <w:rPr/>
      </w:r>
    </w:p>
    <w:p>
      <w:pPr>
        <w:pStyle w:val="TextBody"/>
        <w:bidi w:val="0"/>
        <w:spacing w:lineRule="auto" w:line="268" w:before="0" w:after="0"/>
        <w:ind w:left="0" w:right="0" w:firstLine="4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reimbursement of $600 and $378 for the use of office space for the years ended December 31, 2022 and 2021, respectively.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had Accounts payable, related party in the amounts of $1,346 and $166, respectively. As of December 31, 2022 and 2021, the Company had Accounts receivable, related party of $12,421 and $0,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Reportable Segments and Geographic Information</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During the second quarter of 2022, the Company changed its' internal reporting to its executive leadership team ("Chief Operating Decision Makers"). 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68" w:before="12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and dispensing activities directly related to the generation and sale of brown gas and environmental credits, and consists of</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the Company has accounted for its interests in Pine Bend, Reynolds and Noble Road under the equity method of accounting and the results of operations of Beacon, New River, Central Valley, Emerald, Sapphire and Sunoma were consolidated in its consolidated statement of operations. The Company has accounted for its interest in Beacon under the equity method of accounting for the period between January 1, 2021 and April 30, 2021 and had consolidated for the period between May 1, 2021 and September 30, 2021. The results of operations of Noble Road, Pine Bend, Sunoma and Beacon for the year ended December 31, 2021 were consolidated in its consolidated statement of operations. As of December 31, 2022, Central Valley, Emerald, and Sapphire are not operational. Sunoma became operational in December 2021, Noble Road in January 2022, Pine Bend in September 2022 and New River in April 2022. </w:t>
      </w:r>
    </w:p>
    <w:p>
      <w:pPr>
        <w:pStyle w:val="TextBody"/>
        <w:bidi w:val="0"/>
        <w:spacing w:lineRule="auto" w:line="288" w:before="16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This segment includes:</w:t>
      </w:r>
    </w:p>
    <w:p>
      <w:pPr>
        <w:pStyle w:val="TextBody"/>
        <w:bidi w:val="0"/>
        <w:spacing w:lineRule="auto" w:line="268" w:before="16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6"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w10:wrap type="none"/>
              </v:rect>
            </w:pict>
          </mc:Fallback>
        </mc:AlternateContent>
      </w:r>
    </w:p>
    <w:p>
      <w:pPr>
        <w:pStyle w:val="TextBody"/>
        <w:bidi w:val="0"/>
        <w:spacing w:lineRule="auto" w:line="240" w:before="0" w:after="0"/>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typically lasting less than one year. </w:t>
      </w:r>
    </w:p>
    <w:p>
      <w:pPr>
        <w:pStyle w:val="TextBody"/>
        <w:bidi w:val="0"/>
        <w:spacing w:before="0" w:after="0"/>
        <w:ind w:left="0" w:right="0" w:hanging="180"/>
        <w:jc w:val="left"/>
        <w:rPr/>
      </w:pPr>
      <w:r>
        <w:rPr/>
      </w:r>
    </w:p>
    <w:p>
      <w:pPr>
        <w:pStyle w:val="TextBody"/>
        <w:bidi w:val="0"/>
        <w:spacing w:lineRule="auto" w:line="240" w:before="0" w:after="0"/>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before="0" w:after="0"/>
        <w:ind w:left="0" w:right="0" w:hanging="180"/>
        <w:jc w:val="left"/>
        <w:rPr/>
      </w:pPr>
      <w:r>
        <w:rPr/>
      </w:r>
    </w:p>
    <w:p>
      <w:pPr>
        <w:pStyle w:val="TextBody"/>
        <w:bidi w:val="0"/>
        <w:spacing w:lineRule="auto" w:line="240" w:before="0" w:after="0"/>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68" w:before="0" w:after="0"/>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68" w:before="0" w:after="0"/>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tbl>
      <w:tblPr>
        <w:tblW w:w="4985" w:type="dxa"/>
        <w:jc w:val="left"/>
        <w:tblInd w:w="0" w:type="dxa"/>
        <w:tblLayout w:type="fixed"/>
        <w:tblCellMar>
          <w:top w:w="28" w:type="dxa"/>
          <w:left w:w="28" w:type="dxa"/>
          <w:bottom w:w="28" w:type="dxa"/>
          <w:right w:w="28" w:type="dxa"/>
        </w:tblCellMar>
      </w:tblPr>
      <w:tblGrid>
        <w:gridCol w:w="797"/>
        <w:gridCol w:w="699"/>
        <w:gridCol w:w="708"/>
        <w:gridCol w:w="109"/>
        <w:gridCol w:w="109"/>
        <w:gridCol w:w="109"/>
        <w:gridCol w:w="196"/>
        <w:gridCol w:w="736"/>
        <w:gridCol w:w="109"/>
        <w:gridCol w:w="109"/>
        <w:gridCol w:w="109"/>
        <w:gridCol w:w="109"/>
        <w:gridCol w:w="196"/>
        <w:gridCol w:w="73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Other includes revenues of Fortistar Contracting LLC.</w:t>
      </w:r>
    </w:p>
    <w:tbl>
      <w:tblPr>
        <w:tblW w:w="5300"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196"/>
        <w:gridCol w:w="631"/>
        <w:gridCol w:w="109"/>
        <w:gridCol w:w="109"/>
        <w:gridCol w:w="109"/>
        <w:gridCol w:w="109"/>
        <w:gridCol w:w="196"/>
        <w:gridCol w:w="63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72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7"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w10:wrap type="none"/>
              </v:rect>
            </w:pict>
          </mc:Fallback>
        </mc:AlternateContent>
      </w:r>
    </w:p>
    <w:tbl>
      <w:tblPr>
        <w:tblW w:w="5765" w:type="dxa"/>
        <w:jc w:val="left"/>
        <w:tblInd w:w="0" w:type="dxa"/>
        <w:tblLayout w:type="fixed"/>
        <w:tblCellMar>
          <w:top w:w="28" w:type="dxa"/>
          <w:left w:w="28" w:type="dxa"/>
          <w:bottom w:w="28" w:type="dxa"/>
          <w:right w:w="28" w:type="dxa"/>
        </w:tblCellMar>
      </w:tblPr>
      <w:tblGrid>
        <w:gridCol w:w="1146"/>
        <w:gridCol w:w="1006"/>
        <w:gridCol w:w="1012"/>
        <w:gridCol w:w="109"/>
        <w:gridCol w:w="109"/>
        <w:gridCol w:w="109"/>
        <w:gridCol w:w="196"/>
        <w:gridCol w:w="646"/>
        <w:gridCol w:w="109"/>
        <w:gridCol w:w="109"/>
        <w:gridCol w:w="109"/>
        <w:gridCol w:w="109"/>
        <w:gridCol w:w="196"/>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(1)Other includes amortization of intangible assets and depreciation expense not allocated to any segment.</w:t>
      </w:r>
    </w:p>
    <w:tbl>
      <w:tblPr>
        <w:tblW w:w="4805" w:type="dxa"/>
        <w:jc w:val="left"/>
        <w:tblInd w:w="0" w:type="dxa"/>
        <w:tblLayout w:type="fixed"/>
        <w:tblCellMar>
          <w:top w:w="28" w:type="dxa"/>
          <w:left w:w="28" w:type="dxa"/>
          <w:bottom w:w="28" w:type="dxa"/>
          <w:right w:w="28" w:type="dxa"/>
        </w:tblCellMar>
      </w:tblPr>
      <w:tblGrid>
        <w:gridCol w:w="797"/>
        <w:gridCol w:w="701"/>
        <w:gridCol w:w="706"/>
        <w:gridCol w:w="109"/>
        <w:gridCol w:w="109"/>
        <w:gridCol w:w="109"/>
        <w:gridCol w:w="196"/>
        <w:gridCol w:w="646"/>
        <w:gridCol w:w="109"/>
        <w:gridCol w:w="109"/>
        <w:gridCol w:w="109"/>
        <w:gridCol w:w="109"/>
        <w:gridCol w:w="196"/>
        <w:gridCol w:w="64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tbl>
      <w:tblPr>
        <w:tblW w:w="7040" w:type="dxa"/>
        <w:jc w:val="left"/>
        <w:tblInd w:w="0" w:type="dxa"/>
        <w:tblLayout w:type="fixed"/>
        <w:tblCellMar>
          <w:top w:w="28" w:type="dxa"/>
          <w:left w:w="28" w:type="dxa"/>
          <w:bottom w:w="28" w:type="dxa"/>
          <w:right w:w="28" w:type="dxa"/>
        </w:tblCellMar>
      </w:tblPr>
      <w:tblGrid>
        <w:gridCol w:w="1576"/>
        <w:gridCol w:w="1384"/>
        <w:gridCol w:w="1389"/>
        <w:gridCol w:w="109"/>
        <w:gridCol w:w="109"/>
        <w:gridCol w:w="109"/>
        <w:gridCol w:w="196"/>
        <w:gridCol w:w="736"/>
        <w:gridCol w:w="109"/>
        <w:gridCol w:w="109"/>
        <w:gridCol w:w="109"/>
        <w:gridCol w:w="109"/>
        <w:gridCol w:w="196"/>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cash paid for finance leases of $863 and $0 for the years ended December 31, 2022 and 2021. </w:t>
      </w:r>
    </w:p>
    <w:tbl>
      <w:tblPr>
        <w:tblW w:w="4855" w:type="dxa"/>
        <w:jc w:val="left"/>
        <w:tblInd w:w="0" w:type="dxa"/>
        <w:tblLayout w:type="fixed"/>
        <w:tblCellMar>
          <w:top w:w="28" w:type="dxa"/>
          <w:left w:w="28" w:type="dxa"/>
          <w:bottom w:w="28" w:type="dxa"/>
          <w:right w:w="28" w:type="dxa"/>
        </w:tblCellMar>
      </w:tblPr>
      <w:tblGrid>
        <w:gridCol w:w="795"/>
        <w:gridCol w:w="701"/>
        <w:gridCol w:w="708"/>
        <w:gridCol w:w="214"/>
        <w:gridCol w:w="806"/>
        <w:gridCol w:w="119"/>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43,728 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644,856 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80"/>
        <w:jc w:val="both"/>
        <w:rPr/>
      </w:pPr>
      <w:r>
        <w:rPr/>
      </w:r>
    </w:p>
    <w:p>
      <w:pPr>
        <w:pStyle w:val="TextBody"/>
        <w:bidi w:val="0"/>
        <w:spacing w:lineRule="auto" w:line="288" w:before="160" w:after="283"/>
        <w:ind w:left="0" w:right="0" w:firstLine="480"/>
        <w:jc w:val="left"/>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hanging="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8"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w10:wrap type="none"/>
              </v:rect>
            </w:pict>
          </mc:Fallback>
        </mc:AlternateContent>
      </w: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13. Variable Interest Entities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December 31, 2021, the Company held equity interests in five VIEs — Sunoma, GREP, Emerald, Sapphire, and Central Valley. GREP has been presented as an equity method investment and the remaining four VIEs Sunoma, Emerald, Sapphire, and Central Valley are consolidated by the Company.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determined that it will no longer be liable to pay $4,365, which was previously recorded as part of other liabilities - long term, to a non-controlling interest in one of our VIEs as the applicable criteria for payment are no longer met. Therefore, the Company reversed the liability on its consolidated balance sheet as of December 31, 2022 and recorded $4,365 as change in fair value of derivative instruments,net in its consolidated statement of operations for the year ended December 31, 2022.</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2022 and December 31, 2021.</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are VIEs and in its capacity as a managing member except for Emerald and Sapphire, the Company is the primary beneficiary. The Company is deemed as a primary beneficiary based on two conditions:</w:t>
      </w:r>
    </w:p>
    <w:p>
      <w:pPr>
        <w:pStyle w:val="TextBody"/>
        <w:bidi w:val="0"/>
        <w:spacing w:lineRule="auto" w:line="288" w:before="160" w:after="283"/>
        <w:ind w:left="0" w:right="0" w:hanging="540"/>
        <w:jc w:val="both"/>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four entities including establishment of strategic, operating, and capital decisions for each of these entities; and</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TextBody"/>
        <w:bidi w:val="0"/>
        <w:spacing w:lineRule="auto" w:line="288" w:before="16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VIEs, Emerald and Sapphire are organized as 50/50 joint ventures managed by an independent board consisting of four members appointed by the Company and the joint venture partner. The board of managers has sole power and authority to conduct, direct and exercise control over the joint venture's activities except with respect to certain terms under certain operating agreements. The Company determined that it is the primary beneficiary as a result of its economic exposure and incremental power to direct certain key economic activities of the joint venture and therefore consolidated the VIEs in its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9"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consolidated balance sheet items for consolidated VIEs as of December 31, 2022 and December 31, 2021. The information below is presented on an aggregate basis based on similar risk and reward characteristics and the nature of our involvement with the VIEs, such as: </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16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consolidated balance sheets and are included in the asset totals listed in the table below.</w:t>
      </w:r>
    </w:p>
    <w:tbl>
      <w:tblPr>
        <w:tblW w:w="5907" w:type="dxa"/>
        <w:jc w:val="left"/>
        <w:tblInd w:w="0" w:type="dxa"/>
        <w:tblLayout w:type="fixed"/>
        <w:tblCellMar>
          <w:top w:w="28" w:type="dxa"/>
          <w:left w:w="28" w:type="dxa"/>
          <w:bottom w:w="28" w:type="dxa"/>
          <w:right w:w="28" w:type="dxa"/>
        </w:tblCellMar>
      </w:tblPr>
      <w:tblGrid>
        <w:gridCol w:w="1178"/>
        <w:gridCol w:w="1034"/>
        <w:gridCol w:w="1043"/>
        <w:gridCol w:w="235"/>
        <w:gridCol w:w="775"/>
        <w:gridCol w:w="130"/>
        <w:gridCol w:w="109"/>
        <w:gridCol w:w="109"/>
        <w:gridCol w:w="109"/>
        <w:gridCol w:w="233"/>
        <w:gridCol w:w="769"/>
        <w:gridCol w:w="183"/>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2021</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capital expenses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Non-redeemable non-controlling interests </w:t>
            </w:r>
            <w:r>
              <w:rPr>
                <w:rFonts w:ascii="Times New Roman;sans-serif" w:hAnsi="Times New Roman;sans-serif"/>
                <w:b w:val="false"/>
                <w:color w:val="000000"/>
                <w:sz w:val="12"/>
              </w:rPr>
              <w:t>(1)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96,921 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00"/>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 August 2022, the Company paid $5,845 as prepayment of its share of equity contribution in a joint venture to meet the equity requirements. As of December 31, 2022, $2,922 of the payment has been reflected as part of non-redeemable non-controlling interest in the consolidated statement of changes in Redeemable non-controlling interests, redeemable preferred non-controlling interests and stockholders'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14. Redeemable non-controlling interests, Redeemable preferred non-controlling interests and Stockholders' Equity</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The consolidated statements of change in Redeemable non-controlling interests, Redeemable preferred non-controlling interests and stockholders' equity reflect the reverse recapitalization and Business Combination as mentioned in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 xml:space="preserve">As OPAL Fuels was deemed to be the acquirer in the Business Combination, all periods prior to the completion of the Business Combination reflect the balances and activity of OPAL Fuels. The consolidated balances as of December 31, 2021 from the audited financial statements of OPAL Fuels as of that date, share activity (Redeemable preferred units and common units) and per share amounts in the consolidated statement of change in redeemable preferred units and stockholders' equity were retroactively adjusted.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Business Combination, there were (i) 25,671,390 shares of Class A common stock issued and outstanding, (ii) 144,399,037 shares of New OPAL Class D common stock issued and outstanding, (iii) no shares of Class B common stock, par value $0.0001 per share, of (“Class B common stock”) issued and outstanding (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 xml:space="preserve">As part of the Business Combination, $68,359 of Class A common stock and Additional paid-in capital was recorded, net of transaction costs of $6,467. Please see Note 3.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for additional information</w:t>
      </w:r>
      <w:r>
        <w:rPr>
          <w:rFonts w:ascii="Times New Roman;sans-serif" w:hAnsi="Times New Roman;sans-serif"/>
          <w:b w:val="false"/>
          <w:i/>
          <w:color w:val="000000"/>
          <w:sz w:val="20"/>
        </w:rPr>
        <w:t>.</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2022, the Company announced the commencement of an exchange offer (the “Offer”) and consent solicitation relating to its outstanding (i) public warrants to purchase shares of Class A common stock of the Company, par value $0.0001 per share which warrants trade on The Nasdaq Capital Market under the symbol “OPALW”(the “Public Warrants”), and (ii) private placement warrants to purchase shares of Class A common stock (the “Private Placement Warrants”) and together with the public warrants, the (“Warrants”). The Company offered all holders of the Warrants the opportunity to receive 0.250 shares of Class A common stock in exchange for each outstanding Warrant tendered by the holder and exchanged pursuant to the Offer. Concurrently with the Offer, the Company solicited consents from holders of the Warrants to amend the warrant agreement that governs all of the warrants (the “Warrant Agreement”) to permit the Company to require that each warrant that is outstanding upon the closing of the Offer be exchanged for 0.225 shares of Class A common stock, which is a ratio 10% less than the exchange ratio applicable to the Offer (the “Warrant Amendment”).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2022, the Company completed the exchange offer and issued 3,309,296 shares of Class A common stock in exchange for the warrants tendered in the Offer. Pursuant to the Warrant Amendment dated December 21, 2022, the Company exercised its right to exchange the Warrants remaining outstanding at the closing of the Offer for 0.225 shares of Class A common stock per Warrant (the “Post-Offer Exchange”) and issued 497,080 shares of Class A common stock on December 23, 2022. Following the completion of the Offer and the Post-Offer Exchange the Public Warrants were suspended from trading on the Nasdaq and delisted. There are no longer any Warrants outstanding. The Company recorded $3,368 as loss on exchange of Warrants.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 common stock</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Company's Certificate of Incorporation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B common stock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Class B common stock may, together with the corresponding Class B Units, be exchanged for shares of Class A common stock.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B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B common stock will not be entitled to receive, with respect to such shares, any assets of the Company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or for the consideration payable in respect of shares of Class A common stock in such voluntary or involuntary liquidation, dissolution or winding-up.</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C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Shares of Class C common stock may be converted to shares of Class A common stock, as discussed further below</w:t>
      </w:r>
      <w:r>
        <w:rPr>
          <w:rFonts w:ascii="Times New Roman;sans-serif" w:hAnsi="Times New Roman;sans-serif"/>
          <w:b w:val="false"/>
          <w:i/>
          <w:color w:val="000000"/>
          <w:sz w:val="20"/>
        </w:rPr>
        <w:t>.</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 xml:space="preserve">• </w:t>
      </w:r>
      <w:r>
        <w:rPr>
          <w:rFonts w:ascii="Times New Roman;sans-serif" w:hAnsi="Times New Roman;sans-serif"/>
          <w:b w:val="false"/>
          <w:i/>
          <w:color w:val="000000"/>
          <w:sz w:val="20"/>
        </w:rPr>
        <w:t xml:space="preserve">Voluntary Conversion. </w:t>
      </w:r>
      <w:r>
        <w:rPr>
          <w:rFonts w:ascii="Times New Roman;sans-serif" w:hAnsi="Times New Roman;sans-serif"/>
          <w:b w:val="false"/>
          <w:color w:val="000000"/>
          <w:sz w:val="20"/>
        </w:rPr>
        <w:t>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0"/>
        </w:rPr>
        <w:t xml:space="preserve">Automatic Conversion. </w:t>
      </w:r>
      <w:r>
        <w:rPr>
          <w:rFonts w:ascii="Times New Roman;sans-serif" w:hAnsi="Times New Roman;sans-serif"/>
          <w:b w:val="false"/>
          <w:color w:val="000000"/>
          <w:sz w:val="20"/>
        </w:rPr>
        <w:t>Each share of Class C common stock shall automatically, without any further action, convert into one share of Class A common stock upon a transfer, other than a Transfer to a qualified stockholder (as defined in the Charter).</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i/>
          <w:color w:val="000000"/>
          <w:sz w:val="20"/>
        </w:rPr>
        <w:t>Dividends</w:t>
      </w:r>
      <w:r>
        <w:rPr>
          <w:rFonts w:ascii="Times New Roman;sans-serif" w:hAnsi="Times New Roman;sans-serif"/>
          <w:b w:val="false"/>
          <w:color w:val="000000"/>
          <w:sz w:val="20"/>
        </w:rPr>
        <w:t>. Dividends and other distributions of cash, stock or property may be declared and paid on the shares of Class A common stock and the shares of Class C common stock out of the assets of the Company that are by law available therefor, at the times and in the amounts as our board in its discretion may determine.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all outstanding shares of Class A common stock and Class C common stock will be entitled to receive, pari passu, an amount per share equal to the par value thereof, and thereafter the holders of all outstanding shares of Class A common stock and Class C common stock will be entitled to receive the remaining assets of the Company available for distribution ratably in proportion to the number of shares of Class A common stock and Class C common stock, which shall be treated as a single class.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D common stock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D common stock may be converted into shares of Class B common stock pursuant to the Charter. Further, shares of Class D common stock, together with the corresponding Class B Units may be exchanged for shares of Class C common stock or converted into shares of Class A common stock as further discussed below.</w:t>
      </w:r>
    </w:p>
    <w:p>
      <w:pPr>
        <w:pStyle w:val="TextBody"/>
        <w:bidi w:val="0"/>
        <w:spacing w:before="0" w:after="0"/>
        <w:jc w:val="both"/>
        <w:rPr/>
      </w:pPr>
      <w:r>
        <w:rPr/>
      </w:r>
    </w:p>
    <w:p>
      <w:pPr>
        <w:pStyle w:val="TextBody"/>
        <w:bidi w:val="0"/>
        <w:spacing w:lineRule="auto" w:line="240" w:before="0" w:after="0"/>
        <w:jc w:val="both"/>
        <w:rPr/>
      </w:pPr>
      <w:r>
        <w:rPr>
          <w:color w:val="000000"/>
        </w:rPr>
        <w:t>    </w:t>
      </w:r>
      <w:r>
        <w:rPr>
          <w:rFonts w:ascii="Times New Roman;sans-serif" w:hAnsi="Times New Roman;sans-serif"/>
          <w:b w:val="false"/>
          <w:i/>
          <w:color w:val="000000"/>
          <w:sz w:val="20"/>
        </w:rPr>
        <w:t>Voluntary Conversion</w:t>
      </w:r>
      <w:r>
        <w:rPr>
          <w:rFonts w:ascii="Times New Roman;sans-serif" w:hAnsi="Times New Roman;sans-serif"/>
          <w:b w:val="false"/>
          <w:color w:val="000000"/>
          <w:sz w:val="20"/>
        </w:rPr>
        <w:t xml:space="preserve">. Each share of Class D common stock shall be convertible into one share of Class B common stock at the option of the holder thereof at any time upon written notice to the Company; </w:t>
      </w:r>
    </w:p>
    <w:p>
      <w:pPr>
        <w:pStyle w:val="TextBody"/>
        <w:bidi w:val="0"/>
        <w:spacing w:lineRule="auto" w:line="240" w:before="0" w:after="0"/>
        <w:jc w:val="both"/>
        <w:rPr/>
      </w:pPr>
      <w:r>
        <w:rPr>
          <w:color w:val="000000"/>
        </w:rPr>
        <w:t>    </w:t>
      </w:r>
      <w:r>
        <w:rPr>
          <w:rFonts w:ascii="Times New Roman;sans-serif" w:hAnsi="Times New Roman;sans-serif"/>
          <w:b w:val="false"/>
          <w:i/>
          <w:color w:val="000000"/>
          <w:sz w:val="20"/>
        </w:rPr>
        <w:t>Automatic Conversion</w:t>
      </w:r>
      <w:r>
        <w:rPr>
          <w:rFonts w:ascii="Times New Roman;sans-serif" w:hAnsi="Times New Roman;sans-serif"/>
          <w:b w:val="false"/>
          <w:color w:val="000000"/>
          <w:sz w:val="20"/>
        </w:rPr>
        <w:t>. Each share of Class D common stock shall automatically, without any further action, convert into one share of Class B common stock upon a transfer, other than a transfer to a qualified stockholder.</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Voting Rights. </w:t>
      </w:r>
      <w:r>
        <w:rPr>
          <w:rFonts w:ascii="Times New Roman;sans-serif" w:hAnsi="Times New Roman;sans-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Dividends. </w:t>
      </w:r>
      <w:r>
        <w:rPr>
          <w:rFonts w:ascii="Times New Roman;sans-serif" w:hAnsi="Times New Roman;sans-serif"/>
          <w:b w:val="false"/>
          <w:color w:val="000000"/>
          <w:sz w:val="20"/>
        </w:rPr>
        <w:t>Dividends of cash or property may not be declared or paid on shares of Class D common stock.</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Liquidation rights. </w:t>
      </w:r>
      <w:r>
        <w:rPr>
          <w:rFonts w:ascii="Times New Roman;sans-serif" w:hAnsi="Times New Roman;sans-serif"/>
          <w:b w:val="false"/>
          <w:color w:val="000000"/>
          <w:sz w:val="20"/>
        </w:rPr>
        <w:t>In the event of any voluntary or involuntary liquidation, dissolution or winding-up of the affairs of the Company, after payment or provision for payment of the debts and other liabilities and of the preferential and other amounts to which the holders of preferred stock are entitled, if any, the holders of shares of Class D common stock will not be entitled to receive, with respect to such shares, any assets of the Company in excess of the par value thereof. Notwithstanding the foregoing, the holders of Class D common stock will have the right to exchange their shares of Class B common stock, together with the corresponding Class B Units constituting the remainder of any paired interests (as defined in the Charter) in which such shares are included, for shares of Class C common stock or for the consideration payable in respect of shares of Class C common stock in such voluntary or involuntary liquidation, dissolution or winding-up.</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w10:wrap type="none"/>
              </v:rect>
            </w:pict>
          </mc:Fallback>
        </mc:AlternateConten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incurred issuance costs of $267 in third-party legal fees in the fourth quarter of 2021, which was presented as Deferred financing costs in the consolidated balance sheet as of December 31, 2021. The Company has elected to adjust the carrying value of the preferred units to the redemption value at the end of each reporting period by immediately amortizing the issuance costs in the first reporting period after issuance of the preferred units. Therefore, the Company amortized the $267 to Retained earnings component of Members' equity as of December 31, 2022.</w:t>
      </w:r>
    </w:p>
    <w:p>
      <w:pPr>
        <w:pStyle w:val="TextBody"/>
        <w:bidi w:val="0"/>
        <w:spacing w:before="0" w:after="0"/>
        <w:ind w:left="0" w:right="0" w:firstLine="360"/>
        <w:jc w:val="both"/>
        <w:rPr/>
      </w:pPr>
      <w:r>
        <w:rPr/>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2021 to December 31, 2022:</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8"/>
        <w:gridCol w:w="1489"/>
        <w:gridCol w:w="1499"/>
        <w:gridCol w:w="109"/>
        <w:gridCol w:w="109"/>
        <w:gridCol w:w="109"/>
        <w:gridCol w:w="362"/>
        <w:gridCol w:w="261"/>
        <w:gridCol w:w="232"/>
        <w:gridCol w:w="222"/>
        <w:gridCol w:w="222"/>
        <w:gridCol w:w="222"/>
        <w:gridCol w:w="260"/>
        <w:gridCol w:w="260"/>
        <w:gridCol w:w="261"/>
        <w:gridCol w:w="109"/>
        <w:gridCol w:w="109"/>
        <w:gridCol w:w="109"/>
        <w:gridCol w:w="390"/>
        <w:gridCol w:w="352"/>
        <w:gridCol w:w="219"/>
        <w:gridCol w:w="202"/>
        <w:gridCol w:w="202"/>
        <w:gridCol w:w="202"/>
        <w:gridCol w:w="272"/>
        <w:gridCol w:w="272"/>
        <w:gridCol w:w="392"/>
      </w:tblGrid>
      <w:tr>
        <w:trPr/>
        <w:tc>
          <w:tcPr>
            <w:tcW w:w="175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Series A preferred units</w:t>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Series A units issued by OPAL Fuels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Paid-in-kind dividends attributable to OPAL Fuels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4,841</w:t>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kind dividends attributable to Class A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565</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300,000</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1,000,000</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$105,406</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4"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("OPAL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consolidated statements of change in Redeemable non-controlling interests, Redeemable preferred non-controlling interests and stockholders' equity.At each balance sheet date, the Redeemable non-controlling interests are adjusted up to their redemption value if necessary, with an offset in Stockholders' equity. As of December 31, 2022, the Company recorded $908,008 to adjust the carrying value to their redemption value based on a 5 day VWAP of $7.02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Net Income Per Share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attributable to Class A common stockholders by the weighted average number of Class A common stock outstanding during the period. Prior to the Business Combination, the membership structure of OPAL Fuels included common units which shared in the profits and losses of OPAL Fuels LLC. The Company analyzed the calculation of earnings per units for periods prior to the consummation of the Business Combination and determined that such information would not be meaningful to the users of these consolidated financial statements. Therefore net income per share information has not been presented for periods prior to Business Combination on July 21, 2022. The basic and diluted net income per share for the year ended December 31, 2022 represent only the period from July 21, 2022 to December 31, 2022. </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year ended December 31, 2022 does not include Redeemable preferred non-controlling interests, Convertible Note Payable because the substantive contingency for conversion has not been met as of December 31, 2022.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December 31, 2022.</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5"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w10:wrap type="none"/>
              </v:rect>
            </w:pict>
          </mc:Fallback>
        </mc:AlternateConten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D common stock does not participate in the earnings or losses of the Company and are therefore not participating securities. As such, separate presentation of basic and diluted earnings per share of Class D common stock under the two-class method has not been presented.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tbl>
      <w:tblPr>
        <w:tblW w:w="8817" w:type="dxa"/>
        <w:jc w:val="left"/>
        <w:tblInd w:w="0" w:type="dxa"/>
        <w:tblLayout w:type="fixed"/>
        <w:tblCellMar>
          <w:top w:w="28" w:type="dxa"/>
          <w:left w:w="28" w:type="dxa"/>
          <w:bottom w:w="28" w:type="dxa"/>
          <w:right w:w="28" w:type="dxa"/>
        </w:tblCellMar>
      </w:tblPr>
      <w:tblGrid>
        <w:gridCol w:w="2344"/>
        <w:gridCol w:w="2058"/>
        <w:gridCol w:w="2063"/>
        <w:gridCol w:w="109"/>
        <w:gridCol w:w="109"/>
        <w:gridCol w:w="109"/>
        <w:gridCol w:w="591"/>
        <w:gridCol w:w="591"/>
        <w:gridCol w:w="843"/>
      </w:tblGrid>
      <w:tr>
        <w:trPr/>
        <w:tc>
          <w:tcPr>
            <w:tcW w:w="2344"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Twelve Months Ended</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$3,391</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change in fair value of the put option on the forward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3,257</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25,774,312</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14,203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the dilutive put option on a forward purchase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273,883</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of Class A common stock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26,062,398</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$0.12</w:t>
            </w:r>
          </w:p>
        </w:tc>
      </w:tr>
    </w:tbl>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and 2021, the Company recognized federal and state income tax expense of $0 and $0, respectively. </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0% for the year ended December 31, 2022. The difference between the Company's effective tax rate for the year ended December 31, 2022, and the U.S. statutory tax rate of 21% was primarily due to a full valuation allowance recorded on the Company's net U.S. and State deferred tax assets, income (loss) from pass-through entities not attributable to Class A common stock and state and local taxes.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6"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w10:wrap type="none"/>
              </v:rect>
            </w:pict>
          </mc:Fallback>
        </mc:AlternateContent>
      </w:r>
    </w:p>
    <w:tbl>
      <w:tblPr>
        <w:tblW w:w="6347" w:type="dxa"/>
        <w:jc w:val="left"/>
        <w:tblInd w:w="0" w:type="dxa"/>
        <w:tblLayout w:type="fixed"/>
        <w:tblCellMar>
          <w:top w:w="28" w:type="dxa"/>
          <w:left w:w="28" w:type="dxa"/>
          <w:bottom w:w="28" w:type="dxa"/>
          <w:right w:w="28" w:type="dxa"/>
        </w:tblCellMar>
      </w:tblPr>
      <w:tblGrid>
        <w:gridCol w:w="1457"/>
        <w:gridCol w:w="1280"/>
        <w:gridCol w:w="1283"/>
        <w:gridCol w:w="109"/>
        <w:gridCol w:w="109"/>
        <w:gridCol w:w="109"/>
        <w:gridCol w:w="290"/>
        <w:gridCol w:w="227"/>
        <w:gridCol w:w="200"/>
        <w:gridCol w:w="200"/>
        <w:gridCol w:w="200"/>
        <w:gridCol w:w="200"/>
        <w:gridCol w:w="200"/>
        <w:gridCol w:w="200"/>
        <w:gridCol w:w="283"/>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income tax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$6,884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taxes, net of federal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(6,172)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deferred tax assets and liabilities are as follows:</w:t>
      </w:r>
    </w:p>
    <w:tbl>
      <w:tblPr>
        <w:tblW w:w="6277" w:type="dxa"/>
        <w:jc w:val="left"/>
        <w:tblInd w:w="0" w:type="dxa"/>
        <w:tblLayout w:type="fixed"/>
        <w:tblCellMar>
          <w:top w:w="28" w:type="dxa"/>
          <w:left w:w="28" w:type="dxa"/>
          <w:bottom w:w="28" w:type="dxa"/>
          <w:right w:w="28" w:type="dxa"/>
        </w:tblCellMar>
      </w:tblPr>
      <w:tblGrid>
        <w:gridCol w:w="1403"/>
        <w:gridCol w:w="1230"/>
        <w:gridCol w:w="1236"/>
        <w:gridCol w:w="109"/>
        <w:gridCol w:w="109"/>
        <w:gridCol w:w="109"/>
        <w:gridCol w:w="335"/>
        <w:gridCol w:w="263"/>
        <w:gridCol w:w="200"/>
        <w:gridCol w:w="200"/>
        <w:gridCol w:w="200"/>
        <w:gridCol w:w="200"/>
        <w:gridCol w:w="200"/>
        <w:gridCol w:w="200"/>
        <w:gridCol w:w="283"/>
      </w:tblGrid>
      <w:tr>
        <w:trPr/>
        <w:tc>
          <w:tcPr>
            <w:tcW w:w="140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$26,637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163j interest limitation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NOL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NOL carryforward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(30,517)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 of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asset or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2022. For purposes of determining pre-tax income/(loss) for the pre Business Combination period, the Company relied on the historical financial statements of Opal Fuels, LLC as this is the best information to represent the historic pre-tax income/(loss) of Opal Fuels Inc. As of December 31, 2022, the Company is in a three-year cumulative income position, excluding non-recurring items, of approximately $1000. However, the primary driver of the cumulative income position as of December 31, 2022, is the income statement impact of the mark-to-market earnout liability. The Company notes that mark-to-market (“MTM”) adjustments are volatile and can fluctuate over time. As a result, management has determined that due to the fluctuation of this MTM adjustment and the near breakeven nature of the three-year cumulative income, the Company does not have sufficient positive evidence to release the valuation allowance.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Payments under Tax Receivable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7"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w10:wrap type="none"/>
              </v:rect>
            </w:pict>
          </mc:Fallback>
        </mc:AlternateContent>
      </w:r>
    </w:p>
    <w:p>
      <w:pPr>
        <w:pStyle w:val="TextBody"/>
        <w:bidi w:val="0"/>
        <w:spacing w:lineRule="auto" w:line="288" w:before="24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range from approximately $192.0 million depending on OPAL Fuels’ rate of recovery of the tax basis increases associated with the deemed exchange of the OPAL Fuels Common Units (other than those held by us). This estimated Tax Receivable Agreement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 xml:space="preserve">17. Stock-based compensation </w:t>
      </w:r>
    </w:p>
    <w:p>
      <w:pPr>
        <w:pStyle w:val="TextBody"/>
        <w:bidi w:val="0"/>
        <w:spacing w:lineRule="auto" w:line="288" w:before="160" w:after="283"/>
        <w:ind w:left="0" w:right="0" w:hanging="48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2022, the Company granted 428,902 restricted stock units for certain eligible employees and board of directors under the 2022 Plan. The aggregate fair value of the grant was $3,405 based on the closing share price of $7.94 on October 3, 2022. The shares will vest in full on October 3, 2023. The amortization of the above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8"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F-63</w:t>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grants for the year ended December 31, 2022 is $830 which is included in the selling, general and administrative expenses in the consolidated statement of operations.</w:t>
      </w:r>
    </w:p>
    <w:p>
      <w:pPr>
        <w:pStyle w:val="TextBody"/>
        <w:bidi w:val="0"/>
        <w:spacing w:lineRule="auto" w:line="288" w:before="160" w:after="283"/>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outstanding restricted stock units outstanding as of December 31, 2022:</w:t>
      </w:r>
    </w:p>
    <w:tbl>
      <w:tblPr>
        <w:tblW w:w="10205" w:type="dxa"/>
        <w:jc w:val="left"/>
        <w:tblInd w:w="0" w:type="dxa"/>
        <w:tblLayout w:type="fixed"/>
        <w:tblCellMar>
          <w:top w:w="28" w:type="dxa"/>
          <w:left w:w="28" w:type="dxa"/>
          <w:bottom w:w="28" w:type="dxa"/>
          <w:right w:w="28" w:type="dxa"/>
        </w:tblCellMar>
      </w:tblPr>
      <w:tblGrid>
        <w:gridCol w:w="1035"/>
        <w:gridCol w:w="830"/>
        <w:gridCol w:w="833"/>
        <w:gridCol w:w="109"/>
        <w:gridCol w:w="109"/>
        <w:gridCol w:w="109"/>
        <w:gridCol w:w="412"/>
        <w:gridCol w:w="412"/>
        <w:gridCol w:w="413"/>
        <w:gridCol w:w="109"/>
        <w:gridCol w:w="109"/>
        <w:gridCol w:w="109"/>
        <w:gridCol w:w="747"/>
        <w:gridCol w:w="747"/>
        <w:gridCol w:w="750"/>
        <w:gridCol w:w="109"/>
        <w:gridCol w:w="109"/>
        <w:gridCol w:w="109"/>
        <w:gridCol w:w="408"/>
        <w:gridCol w:w="408"/>
        <w:gridCol w:w="410"/>
        <w:gridCol w:w="109"/>
        <w:gridCol w:w="109"/>
        <w:gridCol w:w="109"/>
        <w:gridCol w:w="440"/>
        <w:gridCol w:w="430"/>
        <w:gridCol w:w="622"/>
      </w:tblGrid>
      <w:tr>
        <w:trPr/>
        <w:tc>
          <w:tcPr>
            <w:tcW w:w="103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fair value per restricted unit on 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terms</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during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428,902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vesting on October 3, 2023</w:t>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during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480"/>
        <w:jc w:val="both"/>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Parent Equity Awards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residual equity interest grants during the year ended December 31, 2022.</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66% of the Profit Interests issued vested and there were 34% of Profit Interests unvested. There were no forfeitures during the year ended December 31, 2022.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46% of the Profit Interests issued vested and there were 54% of Profit Interests unvested.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4199" w:type="dxa"/>
        <w:jc w:val="left"/>
        <w:tblInd w:w="0" w:type="dxa"/>
        <w:tblLayout w:type="fixed"/>
        <w:tblCellMar>
          <w:top w:w="28" w:type="dxa"/>
          <w:left w:w="28" w:type="dxa"/>
          <w:bottom w:w="28" w:type="dxa"/>
          <w:right w:w="28" w:type="dxa"/>
        </w:tblCellMar>
      </w:tblPr>
      <w:tblGrid>
        <w:gridCol w:w="679"/>
        <w:gridCol w:w="596"/>
        <w:gridCol w:w="600"/>
        <w:gridCol w:w="109"/>
        <w:gridCol w:w="109"/>
        <w:gridCol w:w="109"/>
        <w:gridCol w:w="257"/>
        <w:gridCol w:w="257"/>
        <w:gridCol w:w="200"/>
        <w:gridCol w:w="200"/>
        <w:gridCol w:w="200"/>
        <w:gridCol w:w="200"/>
        <w:gridCol w:w="200"/>
        <w:gridCol w:w="200"/>
        <w:gridCol w:w="283"/>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w:t>
              <w:br/>
              <w:t>December 31,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stock awards under 2022 Plan for the year ending December 31, 2023 is estimated to be $2,523.</w:t>
      </w:r>
    </w:p>
    <w:p>
      <w:pPr>
        <w:pStyle w:val="TextBody"/>
        <w:bidi w:val="0"/>
        <w:spacing w:before="0" w:after="0"/>
        <w:jc w:val="left"/>
        <w:rPr/>
      </w:pPr>
      <w:r>
        <w:rPr/>
      </w:r>
    </w:p>
    <w:p>
      <w:pPr>
        <w:pStyle w:val="TextBody"/>
        <w:bidi w:val="0"/>
        <w:spacing w:lineRule="auto" w:line="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compensation to be recognized for the Parent Equity Awards as of December 31, 2022 is $1,092 and will be recognized the remaining vesting period which ranges from one to three years.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9"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F-64</w:t>
                      </w:r>
                    </w:p>
                  </w:txbxContent>
                </v:textbox>
                <w10:wrap type="none"/>
              </v:rect>
            </w:pict>
          </mc:Fallback>
        </mc:AlternateContent>
      </w:r>
    </w:p>
    <w:p>
      <w:pPr>
        <w:pStyle w:val="TextBody"/>
        <w:bidi w:val="0"/>
        <w:spacing w:before="160" w:after="283"/>
        <w:ind w:left="0" w:right="0" w:hanging="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18. Commitments and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December 31, 2021, the Company was required to maintain nine standby letters of credit totaling $2,292 and $9,023,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23, 2023, pursuant to the terms of the Forward Purchase Agreement, Meteora exercised its option to sell back 1,635,783 shares to the Company. $16,849 of the funds held in escrow which were previously recorded as part of Restricted Cash - current on its consolidated balance sheet as of December 31, 2022 were released to Meteora excluding interest accrued. In connection with the above, the Sponsor forfeited 197,258 shares of Class A common stock on January 26, 2023 pursuant to the terms of certain letter agreement dated July 21, 2022.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20, 2023, the Company repaid in full, the outstanding principal balance of the term loan as well as the revolver facility of $22,750 under the Senior Secured Credit Facility. </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drew down the remaining $10.0 million available under OPAL Term Loan I. </w:t>
      </w:r>
    </w:p>
    <w:p>
      <w:pPr>
        <w:pStyle w:val="TextBody"/>
        <w:bidi w:val="0"/>
        <w:spacing w:before="16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0"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F-65</w:t>
                      </w:r>
                    </w:p>
                  </w:txbxContent>
                </v:textbox>
                <w10:wrap type="none"/>
              </v:rect>
            </w:pict>
          </mc:Fallback>
        </mc:AlternateContent>
      </w:r>
    </w:p>
    <w:p>
      <w:pPr>
        <w:pStyle w:val="TextBody"/>
        <w:bidi w:val="0"/>
        <w:spacing w:before="160" w:after="283"/>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drawing>
          <wp:inline distT="0" distB="0" distL="0" distR="0">
            <wp:extent cx="2066925" cy="485775"/>
            <wp:effectExtent l="0" t="0" r="0" b="0"/>
            <wp:docPr id="19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2" descr=""/>
                    <pic:cNvPicPr>
                      <a:picLocks noChangeAspect="1" noChangeArrowheads="1"/>
                    </pic:cNvPicPr>
                  </pic:nvPicPr>
                  <pic:blipFill>
                    <a:blip r:embed="rId3"/>
                    <a:stretch>
                      <a:fillRect/>
                    </a:stretch>
                  </pic:blipFill>
                  <pic:spPr bwMode="auto">
                    <a:xfrm>
                      <a:off x="0" y="0"/>
                      <a:ext cx="2066925" cy="48577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48"/>
        </w:rPr>
      </w:pPr>
      <w:r>
        <w:rPr>
          <w:rFonts w:ascii="Times New Roman;sans-serif" w:hAnsi="Times New Roman;sans-serif"/>
          <w:b/>
          <w:color w:val="000000"/>
          <w:sz w:val="48"/>
        </w:rPr>
        <w:t>OPAL FUELS INC.</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166,318,246 Shares of Class A common stock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lineRule="auto" w:line="240"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May 15, 2023</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190</Pages>
  <Words>117536</Words>
  <Characters>639802</Characters>
  <CharactersWithSpaces>754707</CharactersWithSpaces>
  <Paragraphs>6861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