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bdr w:val="single" w:sz="16" w:space="1" w:color="000000"/>
        </w:rPr>
      </w:pPr>
      <w:bookmarkStart w:id="0" w:name="ea177775-13da3arclight2_opal.htm"/>
      <w:bookmarkStart w:id="1" w:name="ksea17777513da3arclight2_opal"/>
      <w:bookmarkEnd w:id="0"/>
      <w:bookmarkEnd w:id="1"/>
      <w:r>
        <w:rPr>
          <w:bdr w:val="single" w:sz="16" w:space="1" w:color="000000"/>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3)*</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OPAL FUELS INC.</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 par value $0.0001 per share</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68347P 103</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Christine M. Miller</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ArcLight CTC Holdings II, L.P.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 Clarendon St, 55th Floor</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 02116</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531-6300</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 a copy to:</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Julian J. Seiguer, P.C.</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Kirkland &amp; Ellis LLP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609 Main Street</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Houston, TX 77002</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(713) 836-3600</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Jennifer Wu</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Kirkland &amp; Ellis LLP</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401 Congress Avenue</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Austin, TX 78701</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(512) 678-9100</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 27, 2023</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that is the subject of this Schedule 13D, and is filing this schedule because of §§ 240.13d-1(e), 240.13d-1(f) or 240.13d-1(g), check the following box.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Schedules filed in paper format shall include a signed original and five copies of the schedule, including all exhibits.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 240.13d-7 for other parties to whom copies are to be sent.</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0"/>
        <w:gridCol w:w="10065"/>
      </w:tblGrid>
      <w:tr>
        <w:trPr/>
        <w:tc>
          <w:tcPr>
            <w:tcW w:w="140" w:type="dxa"/>
            <w:tcBorders/>
            <w:shd w:fill="auto" w:val="clear"/>
            <w:vAlign w:val="center"/>
          </w:tcPr>
          <w:p>
            <w:pPr>
              <w:pStyle w:val="TableContents"/>
              <w:spacing w:before="0" w:after="283"/>
              <w:jc w:val="left"/>
              <w:rPr>
                <w:sz w:val="20"/>
              </w:rPr>
            </w:pPr>
            <w:r>
              <w:rPr>
                <w:sz w:val="20"/>
              </w:rPr>
              <w:t>*</w:t>
            </w:r>
          </w:p>
        </w:tc>
        <w:tc>
          <w:tcPr>
            <w:tcW w:w="10065" w:type="dxa"/>
            <w:tcBorders/>
            <w:shd w:fill="auto" w:val="clear"/>
            <w:vAlign w:val="center"/>
          </w:tcPr>
          <w:p>
            <w:pPr>
              <w:pStyle w:val="TableContents"/>
              <w:spacing w:before="0" w:after="283"/>
              <w:jc w:val="left"/>
              <w:rPr>
                <w:sz w:val="20"/>
              </w:rPr>
            </w:pPr>
            <w:r>
              <w:rPr>
                <w:sz w:val="20"/>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68347P 103</w:t>
      </w:r>
    </w:p>
    <w:p>
      <w:pPr>
        <w:pStyle w:val="TextBody"/>
        <w:spacing w:before="0" w:after="0"/>
        <w:ind w:left="0" w:right="0" w:hanging="0"/>
        <w:rPr>
          <w:caps w:val="false"/>
          <w:smallCaps w:val="false"/>
        </w:rPr>
      </w:pPr>
      <w:r>
        <w:rPr>
          <w:caps w:val="false"/>
          <w:smallCaps w:val="false"/>
        </w:rPr>
        <w:t> </w:t>
      </w:r>
    </w:p>
    <w:tbl>
      <w:tblPr>
        <w:tblW w:w="6925" w:type="dxa"/>
        <w:jc w:val="left"/>
        <w:tblInd w:w="0" w:type="dxa"/>
        <w:tblCellMar>
          <w:top w:w="40" w:type="dxa"/>
          <w:left w:w="40" w:type="dxa"/>
          <w:bottom w:w="40" w:type="dxa"/>
          <w:right w:w="40" w:type="dxa"/>
        </w:tblCellMar>
      </w:tblPr>
      <w:tblGrid>
        <w:gridCol w:w="185"/>
        <w:gridCol w:w="6740"/>
      </w:tblGrid>
      <w:tr>
        <w:trPr/>
        <w:tc>
          <w:tcPr>
            <w:tcW w:w="18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sz w:val="20"/>
              </w:rPr>
            </w:pPr>
            <w:r>
              <w:rPr>
                <w:sz w:val="20"/>
              </w:rPr>
              <w:t>1.</w:t>
            </w:r>
          </w:p>
        </w:tc>
        <w:tc>
          <w:tcPr>
            <w:tcW w:w="6740" w:type="dxa"/>
            <w:tcBorders>
              <w:top w:val="single" w:sz="12" w:space="0" w:color="000000"/>
              <w:bottom w:val="single" w:sz="12" w:space="0" w:color="000000"/>
              <w:right w:val="single" w:sz="12" w:space="0" w:color="000000"/>
            </w:tcBorders>
            <w:shd w:fill="auto" w:val="clear"/>
            <w:tcMar>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ArcLight CTC Holdings II, L.P.</w:t>
            </w:r>
          </w:p>
        </w:tc>
      </w:tr>
      <w:tr>
        <w:trPr/>
        <w:tc>
          <w:tcPr>
            <w:tcW w:w="185" w:type="dxa"/>
            <w:tcBorders>
              <w:left w:val="single" w:sz="12" w:space="0" w:color="000000"/>
              <w:bottom w:val="single" w:sz="12" w:space="0" w:color="000000"/>
              <w:right w:val="single" w:sz="12" w:space="0" w:color="000000"/>
            </w:tcBorders>
            <w:shd w:fill="auto" w:val="clear"/>
            <w:tcMar>
              <w:top w:w="0" w:type="dxa"/>
            </w:tcMar>
            <w:vAlign w:val="center"/>
          </w:tcPr>
          <w:p>
            <w:pPr>
              <w:pStyle w:val="TableContents"/>
              <w:spacing w:before="0" w:after="283"/>
              <w:jc w:val="center"/>
              <w:rPr>
                <w:sz w:val="20"/>
              </w:rPr>
            </w:pPr>
            <w:r>
              <w:rPr>
                <w:sz w:val="20"/>
              </w:rPr>
              <w:t>2.</w:t>
            </w:r>
          </w:p>
        </w:tc>
        <w:tc>
          <w:tcPr>
            <w:tcW w:w="6740" w:type="dxa"/>
            <w:tcBorders>
              <w:bottom w:val="single" w:sz="12" w:space="0" w:color="000000"/>
              <w:right w:val="single" w:sz="12"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w:t>
            </w:r>
          </w:p>
        </w:tc>
      </w:tr>
      <w:tr>
        <w:trPr/>
        <w:tc>
          <w:tcPr>
            <w:tcW w:w="185" w:type="dxa"/>
            <w:tcBorders>
              <w:left w:val="single" w:sz="12" w:space="0" w:color="000000"/>
              <w:bottom w:val="single" w:sz="12" w:space="0" w:color="000000"/>
              <w:right w:val="single" w:sz="12" w:space="0" w:color="000000"/>
            </w:tcBorders>
            <w:shd w:fill="auto" w:val="clear"/>
            <w:tcMar>
              <w:top w:w="0" w:type="dxa"/>
            </w:tcMar>
            <w:vAlign w:val="center"/>
          </w:tcPr>
          <w:p>
            <w:pPr>
              <w:pStyle w:val="TableContents"/>
              <w:spacing w:before="0" w:after="283"/>
              <w:jc w:val="center"/>
              <w:rPr>
                <w:sz w:val="20"/>
              </w:rPr>
            </w:pPr>
            <w:r>
              <w:rPr>
                <w:sz w:val="20"/>
              </w:rPr>
              <w:t>3.</w:t>
            </w:r>
          </w:p>
        </w:tc>
        <w:tc>
          <w:tcPr>
            <w:tcW w:w="6740" w:type="dxa"/>
            <w:tcBorders>
              <w:bottom w:val="single" w:sz="12" w:space="0" w:color="000000"/>
              <w:right w:val="single" w:sz="12" w:space="0" w:color="000000"/>
            </w:tcBorders>
            <w:shd w:fill="auto" w:val="clear"/>
            <w:tcMar>
              <w:top w:w="0" w:type="dxa"/>
              <w:left w:w="0" w:type="dxa"/>
            </w:tcMar>
            <w:vAlign w:val="center"/>
          </w:tcPr>
          <w:p>
            <w:pPr>
              <w:pStyle w:val="TableContents"/>
              <w:rPr>
                <w:sz w:val="20"/>
              </w:rPr>
            </w:pPr>
            <w:r>
              <w:rPr>
                <w:sz w:val="20"/>
              </w:rPr>
              <w:t>SEC Use Only</w:t>
            </w:r>
          </w:p>
          <w:p>
            <w:pPr>
              <w:pStyle w:val="TableContents"/>
              <w:spacing w:before="0" w:after="283"/>
              <w:rPr/>
            </w:pPr>
            <w:r>
              <w:rPr/>
              <w:t> </w:t>
            </w:r>
          </w:p>
        </w:tc>
      </w:tr>
      <w:tr>
        <w:trPr/>
        <w:tc>
          <w:tcPr>
            <w:tcW w:w="185" w:type="dxa"/>
            <w:tcBorders>
              <w:left w:val="single" w:sz="12" w:space="0" w:color="000000"/>
              <w:bottom w:val="single" w:sz="12" w:space="0" w:color="000000"/>
              <w:right w:val="single" w:sz="12" w:space="0" w:color="000000"/>
            </w:tcBorders>
            <w:shd w:fill="auto" w:val="clear"/>
            <w:tcMar>
              <w:top w:w="0" w:type="dxa"/>
            </w:tcMar>
            <w:vAlign w:val="center"/>
          </w:tcPr>
          <w:p>
            <w:pPr>
              <w:pStyle w:val="TableContents"/>
              <w:spacing w:before="0" w:after="283"/>
              <w:jc w:val="center"/>
              <w:rPr>
                <w:sz w:val="20"/>
              </w:rPr>
            </w:pPr>
            <w:r>
              <w:rPr>
                <w:sz w:val="20"/>
              </w:rPr>
              <w:t>4.</w:t>
            </w:r>
          </w:p>
        </w:tc>
        <w:tc>
          <w:tcPr>
            <w:tcW w:w="6740" w:type="dxa"/>
            <w:tcBorders>
              <w:bottom w:val="single" w:sz="12" w:space="0" w:color="000000"/>
              <w:right w:val="single" w:sz="12"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185" w:type="dxa"/>
            <w:tcBorders>
              <w:left w:val="single" w:sz="12" w:space="0" w:color="000000"/>
              <w:bottom w:val="single" w:sz="12" w:space="0" w:color="000000"/>
              <w:right w:val="single" w:sz="12" w:space="0" w:color="000000"/>
            </w:tcBorders>
            <w:shd w:fill="auto" w:val="clear"/>
            <w:tcMar>
              <w:top w:w="0" w:type="dxa"/>
            </w:tcMar>
            <w:vAlign w:val="center"/>
          </w:tcPr>
          <w:p>
            <w:pPr>
              <w:pStyle w:val="TableContents"/>
              <w:spacing w:before="0" w:after="283"/>
              <w:jc w:val="center"/>
              <w:rPr>
                <w:sz w:val="20"/>
              </w:rPr>
            </w:pPr>
            <w:r>
              <w:rPr>
                <w:sz w:val="20"/>
              </w:rPr>
              <w:t>5.</w:t>
            </w:r>
          </w:p>
        </w:tc>
        <w:tc>
          <w:tcPr>
            <w:tcW w:w="6740" w:type="dxa"/>
            <w:tcBorders>
              <w:bottom w:val="single" w:sz="12" w:space="0" w:color="000000"/>
              <w:right w:val="single" w:sz="12"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p>
            <w:pPr>
              <w:pStyle w:val="TableContents"/>
              <w:spacing w:before="0" w:after="0"/>
              <w:ind w:left="0" w:right="0" w:hanging="0"/>
              <w:rPr>
                <w:caps w:val="false"/>
                <w:smallCaps w:val="false"/>
              </w:rPr>
            </w:pPr>
            <w:r>
              <w:rPr>
                <w:caps w:val="false"/>
                <w:smallCaps w:val="false"/>
              </w:rPr>
              <w:t>☐</w:t>
            </w:r>
          </w:p>
        </w:tc>
      </w:tr>
      <w:tr>
        <w:trPr/>
        <w:tc>
          <w:tcPr>
            <w:tcW w:w="185" w:type="dxa"/>
            <w:tcBorders>
              <w:left w:val="single" w:sz="12" w:space="0" w:color="000000"/>
              <w:right w:val="single" w:sz="12" w:space="0" w:color="000000"/>
            </w:tcBorders>
            <w:shd w:fill="auto" w:val="clear"/>
            <w:tcMar>
              <w:top w:w="0" w:type="dxa"/>
              <w:bottom w:w="0" w:type="dxa"/>
            </w:tcMar>
            <w:vAlign w:val="center"/>
          </w:tcPr>
          <w:p>
            <w:pPr>
              <w:pStyle w:val="TableContents"/>
              <w:spacing w:before="0" w:after="283"/>
              <w:jc w:val="center"/>
              <w:rPr>
                <w:sz w:val="20"/>
              </w:rPr>
            </w:pPr>
            <w:r>
              <w:rPr>
                <w:sz w:val="20"/>
              </w:rPr>
              <w:t>6.</w:t>
            </w:r>
          </w:p>
        </w:tc>
        <w:tc>
          <w:tcPr>
            <w:tcW w:w="6740" w:type="dxa"/>
            <w:tcBorders>
              <w:right w:val="single" w:sz="12" w:space="0" w:color="000000"/>
            </w:tcBorders>
            <w:shd w:fill="auto" w:val="clear"/>
            <w:tcMar>
              <w:top w:w="0" w:type="dxa"/>
              <w:left w:w="0" w:type="dxa"/>
              <w:bottom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bl>
    <w:tbl>
      <w:tblPr>
        <w:tblW w:w="3420" w:type="dxa"/>
        <w:jc w:val="left"/>
        <w:tblInd w:w="0" w:type="dxa"/>
        <w:tblCellMar>
          <w:top w:w="40" w:type="dxa"/>
          <w:left w:w="40" w:type="dxa"/>
          <w:bottom w:w="40" w:type="dxa"/>
          <w:right w:w="40" w:type="dxa"/>
        </w:tblCellMar>
      </w:tblPr>
      <w:tblGrid>
        <w:gridCol w:w="1040"/>
        <w:gridCol w:w="275"/>
        <w:gridCol w:w="2105"/>
      </w:tblGrid>
      <w:tr>
        <w:trPr/>
        <w:tc>
          <w:tcPr>
            <w:tcW w:w="1040" w:type="dxa"/>
            <w:vMerge w:val="restart"/>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sz w:val="20"/>
              </w:rPr>
            </w:pPr>
            <w:r>
              <w:rPr>
                <w:sz w:val="20"/>
              </w:rPr>
              <w:t>Number of</w:t>
              <w:br/>
              <w:t>Shares</w:t>
              <w:br/>
              <w:t>Beneficially</w:t>
              <w:br/>
              <w:t>Owned by</w:t>
              <w:br/>
              <w:t>Each</w:t>
              <w:br/>
              <w:t>Reporting</w:t>
              <w:br/>
              <w:t>Person</w:t>
              <w:br/>
              <w:t>With</w:t>
            </w:r>
          </w:p>
        </w:tc>
        <w:tc>
          <w:tcPr>
            <w:tcW w:w="275" w:type="dxa"/>
            <w:tcBorders>
              <w:top w:val="single" w:sz="12" w:space="0" w:color="000000"/>
            </w:tcBorders>
            <w:shd w:fill="auto" w:val="clear"/>
            <w:tcMar>
              <w:left w:w="0" w:type="dxa"/>
              <w:bottom w:w="0" w:type="dxa"/>
              <w:right w:w="0" w:type="dxa"/>
            </w:tcMar>
            <w:vAlign w:val="center"/>
          </w:tcPr>
          <w:p>
            <w:pPr>
              <w:pStyle w:val="TableContents"/>
              <w:spacing w:before="0" w:after="283"/>
              <w:jc w:val="center"/>
              <w:rPr>
                <w:sz w:val="20"/>
              </w:rPr>
            </w:pPr>
            <w:r>
              <w:rPr>
                <w:sz w:val="20"/>
              </w:rPr>
              <w:t>7.</w:t>
            </w:r>
          </w:p>
        </w:tc>
        <w:tc>
          <w:tcPr>
            <w:tcW w:w="2105" w:type="dxa"/>
            <w:tcBorders>
              <w:top w:val="single" w:sz="12" w:space="0" w:color="000000"/>
              <w:left w:val="single" w:sz="12" w:space="0" w:color="000000"/>
              <w:right w:val="single" w:sz="12" w:space="0" w:color="000000"/>
            </w:tcBorders>
            <w:shd w:fill="auto" w:val="clear"/>
            <w:tcMar>
              <w:bottom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040" w:type="dxa"/>
            <w:vMerge w:val="continue"/>
            <w:tcBorders>
              <w:top w:val="single" w:sz="12" w:space="0" w:color="000000"/>
              <w:left w:val="single" w:sz="12" w:space="0" w:color="000000"/>
              <w:bottom w:val="single" w:sz="12" w:space="0" w:color="000000"/>
              <w:right w:val="single" w:sz="12" w:space="0" w:color="000000"/>
            </w:tcBorders>
            <w:shd w:fill="auto" w:val="clear"/>
            <w:vAlign w:val="center"/>
          </w:tcPr>
          <w:p>
            <w:pPr>
              <w:pStyle w:val="Normal"/>
              <w:rPr/>
            </w:pPr>
            <w:r>
              <w:rPr/>
            </w:r>
          </w:p>
        </w:tc>
        <w:tc>
          <w:tcPr>
            <w:tcW w:w="275" w:type="dxa"/>
            <w:tcBorders>
              <w:top w:val="single" w:sz="12" w:space="0" w:color="000000"/>
            </w:tcBorders>
            <w:shd w:fill="auto" w:val="clear"/>
            <w:tcMar>
              <w:left w:w="0" w:type="dxa"/>
              <w:bottom w:w="0" w:type="dxa"/>
              <w:right w:w="0" w:type="dxa"/>
            </w:tcMar>
            <w:vAlign w:val="center"/>
          </w:tcPr>
          <w:p>
            <w:pPr>
              <w:pStyle w:val="TableContents"/>
              <w:spacing w:before="0" w:after="283"/>
              <w:jc w:val="center"/>
              <w:rPr>
                <w:sz w:val="20"/>
              </w:rPr>
            </w:pPr>
            <w:r>
              <w:rPr>
                <w:sz w:val="20"/>
              </w:rPr>
              <w:t>8.</w:t>
            </w:r>
          </w:p>
        </w:tc>
        <w:tc>
          <w:tcPr>
            <w:tcW w:w="2105" w:type="dxa"/>
            <w:tcBorders>
              <w:top w:val="single" w:sz="12" w:space="0" w:color="000000"/>
              <w:left w:val="single" w:sz="12" w:space="0" w:color="000000"/>
              <w:right w:val="single" w:sz="12" w:space="0" w:color="000000"/>
            </w:tcBorders>
            <w:shd w:fill="auto" w:val="clear"/>
            <w:tcMar>
              <w:bottom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2,308,310*</w:t>
            </w:r>
          </w:p>
        </w:tc>
      </w:tr>
      <w:tr>
        <w:trPr/>
        <w:tc>
          <w:tcPr>
            <w:tcW w:w="1040" w:type="dxa"/>
            <w:vMerge w:val="continue"/>
            <w:tcBorders>
              <w:top w:val="single" w:sz="12" w:space="0" w:color="000000"/>
              <w:left w:val="single" w:sz="12" w:space="0" w:color="000000"/>
              <w:bottom w:val="single" w:sz="12" w:space="0" w:color="000000"/>
              <w:right w:val="single" w:sz="12" w:space="0" w:color="000000"/>
            </w:tcBorders>
            <w:shd w:fill="auto" w:val="clear"/>
            <w:vAlign w:val="center"/>
          </w:tcPr>
          <w:p>
            <w:pPr>
              <w:pStyle w:val="Normal"/>
              <w:rPr/>
            </w:pPr>
            <w:r>
              <w:rPr/>
            </w:r>
          </w:p>
        </w:tc>
        <w:tc>
          <w:tcPr>
            <w:tcW w:w="275" w:type="dxa"/>
            <w:tcBorders>
              <w:top w:val="single" w:sz="12" w:space="0" w:color="000000"/>
            </w:tcBorders>
            <w:shd w:fill="auto" w:val="clear"/>
            <w:tcMar>
              <w:left w:w="0" w:type="dxa"/>
              <w:bottom w:w="0" w:type="dxa"/>
              <w:right w:w="0" w:type="dxa"/>
            </w:tcMar>
            <w:vAlign w:val="center"/>
          </w:tcPr>
          <w:p>
            <w:pPr>
              <w:pStyle w:val="TableContents"/>
              <w:spacing w:before="0" w:after="283"/>
              <w:jc w:val="center"/>
              <w:rPr>
                <w:sz w:val="20"/>
              </w:rPr>
            </w:pPr>
            <w:r>
              <w:rPr>
                <w:sz w:val="20"/>
              </w:rPr>
              <w:t>9.</w:t>
            </w:r>
          </w:p>
        </w:tc>
        <w:tc>
          <w:tcPr>
            <w:tcW w:w="2105" w:type="dxa"/>
            <w:tcBorders>
              <w:top w:val="single" w:sz="12" w:space="0" w:color="000000"/>
              <w:left w:val="single" w:sz="12" w:space="0" w:color="000000"/>
              <w:right w:val="single" w:sz="12" w:space="0" w:color="000000"/>
            </w:tcBorders>
            <w:shd w:fill="auto" w:val="clear"/>
            <w:tcMar>
              <w:bottom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040" w:type="dxa"/>
            <w:vMerge w:val="continue"/>
            <w:tcBorders>
              <w:top w:val="single" w:sz="12" w:space="0" w:color="000000"/>
              <w:left w:val="single" w:sz="12" w:space="0" w:color="000000"/>
              <w:bottom w:val="single" w:sz="12" w:space="0" w:color="000000"/>
              <w:right w:val="single" w:sz="12" w:space="0" w:color="000000"/>
            </w:tcBorders>
            <w:shd w:fill="auto" w:val="clear"/>
            <w:vAlign w:val="center"/>
          </w:tcPr>
          <w:p>
            <w:pPr>
              <w:pStyle w:val="Normal"/>
              <w:rPr/>
            </w:pPr>
            <w:r>
              <w:rPr/>
            </w:r>
          </w:p>
        </w:tc>
        <w:tc>
          <w:tcPr>
            <w:tcW w:w="275" w:type="dxa"/>
            <w:tcBorders>
              <w:top w:val="single" w:sz="12" w:space="0" w:color="000000"/>
              <w:bottom w:val="single" w:sz="12" w:space="0" w:color="000000"/>
            </w:tcBorders>
            <w:shd w:fill="auto" w:val="clear"/>
            <w:tcMar>
              <w:left w:w="0" w:type="dxa"/>
              <w:right w:w="0" w:type="dxa"/>
            </w:tcMar>
            <w:vAlign w:val="center"/>
          </w:tcPr>
          <w:p>
            <w:pPr>
              <w:pStyle w:val="TableContents"/>
              <w:spacing w:before="0" w:after="283"/>
              <w:jc w:val="center"/>
              <w:rPr>
                <w:sz w:val="20"/>
              </w:rPr>
            </w:pPr>
            <w:r>
              <w:rPr>
                <w:sz w:val="20"/>
              </w:rPr>
              <w:t>10.</w:t>
            </w:r>
          </w:p>
        </w:tc>
        <w:tc>
          <w:tcPr>
            <w:tcW w:w="210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2,308,310*</w:t>
            </w:r>
          </w:p>
        </w:tc>
      </w:tr>
    </w:tbl>
    <w:tbl>
      <w:tblPr>
        <w:tblW w:w="5920" w:type="dxa"/>
        <w:jc w:val="left"/>
        <w:tblInd w:w="0" w:type="dxa"/>
        <w:tblCellMar>
          <w:top w:w="0" w:type="dxa"/>
          <w:left w:w="40" w:type="dxa"/>
          <w:bottom w:w="40" w:type="dxa"/>
          <w:right w:w="40" w:type="dxa"/>
        </w:tblCellMar>
      </w:tblPr>
      <w:tblGrid>
        <w:gridCol w:w="290"/>
        <w:gridCol w:w="5630"/>
      </w:tblGrid>
      <w:tr>
        <w:trPr/>
        <w:tc>
          <w:tcPr>
            <w:tcW w:w="290" w:type="dxa"/>
            <w:tcBorders>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sz w:val="20"/>
              </w:rPr>
            </w:pPr>
            <w:r>
              <w:rPr>
                <w:sz w:val="20"/>
              </w:rPr>
              <w:t>11.</w:t>
            </w:r>
          </w:p>
        </w:tc>
        <w:tc>
          <w:tcPr>
            <w:tcW w:w="5630" w:type="dxa"/>
            <w:tcBorders>
              <w:bottom w:val="single" w:sz="12" w:space="0" w:color="000000"/>
              <w:right w:val="single" w:sz="12" w:space="0" w:color="000000"/>
            </w:tcBorders>
            <w:shd w:fill="auto" w:val="clear"/>
            <w:tcMar>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2,308,310*</w:t>
            </w:r>
          </w:p>
        </w:tc>
      </w:tr>
      <w:tr>
        <w:trPr/>
        <w:tc>
          <w:tcPr>
            <w:tcW w:w="290" w:type="dxa"/>
            <w:tcBorders>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sz w:val="20"/>
              </w:rPr>
            </w:pPr>
            <w:r>
              <w:rPr>
                <w:sz w:val="20"/>
              </w:rPr>
              <w:t>12.</w:t>
            </w:r>
          </w:p>
        </w:tc>
        <w:tc>
          <w:tcPr>
            <w:tcW w:w="5630" w:type="dxa"/>
            <w:tcBorders>
              <w:bottom w:val="single" w:sz="12" w:space="0" w:color="000000"/>
              <w:right w:val="single" w:sz="12" w:space="0" w:color="000000"/>
            </w:tcBorders>
            <w:shd w:fill="auto" w:val="clear"/>
            <w:tcMar>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w:t>
            </w:r>
          </w:p>
          <w:p>
            <w:pPr>
              <w:pStyle w:val="TableContents"/>
              <w:spacing w:before="0" w:after="0"/>
              <w:ind w:left="0" w:right="0" w:hanging="0"/>
              <w:rPr>
                <w:caps w:val="false"/>
                <w:smallCaps w:val="false"/>
              </w:rPr>
            </w:pPr>
            <w:r>
              <w:rPr>
                <w:caps w:val="false"/>
                <w:smallCaps w:val="false"/>
              </w:rPr>
              <w:t>☐</w:t>
            </w:r>
          </w:p>
        </w:tc>
      </w:tr>
      <w:tr>
        <w:trPr/>
        <w:tc>
          <w:tcPr>
            <w:tcW w:w="290" w:type="dxa"/>
            <w:tcBorders>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sz w:val="20"/>
              </w:rPr>
            </w:pPr>
            <w:r>
              <w:rPr>
                <w:sz w:val="20"/>
              </w:rPr>
              <w:t>13.</w:t>
            </w:r>
          </w:p>
        </w:tc>
        <w:tc>
          <w:tcPr>
            <w:tcW w:w="5630" w:type="dxa"/>
            <w:tcBorders>
              <w:bottom w:val="single" w:sz="12" w:space="0" w:color="000000"/>
              <w:right w:val="single" w:sz="12" w:space="0" w:color="000000"/>
            </w:tcBorders>
            <w:shd w:fill="auto" w:val="clear"/>
            <w:tcMar>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290" w:type="dxa"/>
            <w:tcBorders>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sz w:val="20"/>
              </w:rPr>
            </w:pPr>
            <w:r>
              <w:rPr>
                <w:sz w:val="20"/>
              </w:rPr>
              <w:t>14.</w:t>
            </w:r>
          </w:p>
        </w:tc>
        <w:tc>
          <w:tcPr>
            <w:tcW w:w="5630" w:type="dxa"/>
            <w:tcBorders>
              <w:bottom w:val="single" w:sz="12" w:space="0" w:color="000000"/>
              <w:right w:val="single" w:sz="12" w:space="0" w:color="000000"/>
            </w:tcBorders>
            <w:shd w:fill="auto" w:val="clear"/>
            <w:tcMar>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0"/>
        <w:gridCol w:w="10065"/>
      </w:tblGrid>
      <w:tr>
        <w:trPr/>
        <w:tc>
          <w:tcPr>
            <w:tcW w:w="140" w:type="dxa"/>
            <w:tcBorders/>
            <w:shd w:fill="auto" w:val="clear"/>
            <w:vAlign w:val="center"/>
          </w:tcPr>
          <w:p>
            <w:pPr>
              <w:pStyle w:val="TableContents"/>
              <w:spacing w:before="0" w:after="283"/>
              <w:jc w:val="left"/>
              <w:rPr>
                <w:sz w:val="20"/>
              </w:rPr>
            </w:pPr>
            <w:r>
              <w:rPr>
                <w:sz w:val="20"/>
              </w:rPr>
              <w:t>*</w:t>
            </w:r>
          </w:p>
        </w:tc>
        <w:tc>
          <w:tcPr>
            <w:tcW w:w="10065" w:type="dxa"/>
            <w:tcBorders/>
            <w:shd w:fill="auto" w:val="clear"/>
            <w:vAlign w:val="center"/>
          </w:tcPr>
          <w:p>
            <w:pPr>
              <w:pStyle w:val="TableContents"/>
              <w:spacing w:before="0" w:after="283"/>
              <w:jc w:val="left"/>
              <w:rPr>
                <w:sz w:val="20"/>
              </w:rPr>
            </w:pPr>
            <w:r>
              <w:rPr>
                <w:sz w:val="20"/>
              </w:rPr>
              <w:t>The reported securities (the “Reported Securities”) consists of shares of Class A common stock, par value $0.001 per share, of the Issuer (“Class A Shares”).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0"/>
        <w:gridCol w:w="10055"/>
      </w:tblGrid>
      <w:tr>
        <w:trPr/>
        <w:tc>
          <w:tcPr>
            <w:tcW w:w="150" w:type="dxa"/>
            <w:tcBorders/>
            <w:shd w:fill="auto" w:val="clear"/>
            <w:vAlign w:val="center"/>
          </w:tcPr>
          <w:p>
            <w:pPr>
              <w:pStyle w:val="TableContents"/>
              <w:spacing w:before="0" w:after="283"/>
              <w:jc w:val="left"/>
              <w:rPr>
                <w:sz w:val="20"/>
              </w:rPr>
            </w:pPr>
            <w:r>
              <w:rPr>
                <w:sz w:val="20"/>
              </w:rPr>
              <w:t>**</w:t>
            </w:r>
          </w:p>
        </w:tc>
        <w:tc>
          <w:tcPr>
            <w:tcW w:w="10055" w:type="dxa"/>
            <w:tcBorders/>
            <w:shd w:fill="auto" w:val="clear"/>
            <w:vAlign w:val="center"/>
          </w:tcPr>
          <w:p>
            <w:pPr>
              <w:pStyle w:val="TableContents"/>
              <w:spacing w:before="0" w:after="283"/>
              <w:jc w:val="left"/>
              <w:rPr>
                <w:sz w:val="20"/>
              </w:rPr>
            </w:pPr>
            <w:r>
              <w:rPr>
                <w:sz w:val="20"/>
              </w:rPr>
              <w:t>Calculated based on (i) 27,644,699 Class A Shares outstanding as of March 27, 2023 as reported on Issuer’s Annual Report on Form 10-K, filed on March 29, 2023 (the “Annual Report”), and plus (ii) 144,399,037 Class A Shares to be issued upon conversion of all the Class B common units of OPAL Fuels LLC (the “Class B Units”) and Class D Shares outstanding as of March 27, 2023 as reported on the Annual Report.   In accordance with the SEC’s rules for calculating “beneficial ownership,” which requires the Reporting Person to disregard the conversion or exercise of the Class D Shares or Warrants (as defined below) not held by the Reporting Person, the Reporting Person would be deemed to beneficially own approximately 8.3% of the outstanding Class A Shares. This percentage is calculated with a numerator of 2,308,310 and a denominator of 27,644,699.  Notwithstanding the foregoing, because a Class B Unit and Class D Share are economically equivalent to a Class A Share and further, the Class D Shares vote together with the Class A Shares, the reported 1.3% reflects the Reporting Person’s actual economic and voting interest in the Issuer.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6925" w:type="dxa"/>
        <w:jc w:val="left"/>
        <w:tblInd w:w="0" w:type="dxa"/>
        <w:tblCellMar>
          <w:top w:w="40" w:type="dxa"/>
          <w:left w:w="40" w:type="dxa"/>
          <w:bottom w:w="40" w:type="dxa"/>
          <w:right w:w="40" w:type="dxa"/>
        </w:tblCellMar>
      </w:tblPr>
      <w:tblGrid>
        <w:gridCol w:w="185"/>
        <w:gridCol w:w="6740"/>
      </w:tblGrid>
      <w:tr>
        <w:trPr/>
        <w:tc>
          <w:tcPr>
            <w:tcW w:w="18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sz w:val="20"/>
              </w:rPr>
            </w:pPr>
            <w:r>
              <w:rPr>
                <w:sz w:val="20"/>
              </w:rPr>
              <w:t>1.</w:t>
            </w:r>
          </w:p>
        </w:tc>
        <w:tc>
          <w:tcPr>
            <w:tcW w:w="6740" w:type="dxa"/>
            <w:tcBorders>
              <w:top w:val="single" w:sz="12" w:space="0" w:color="000000"/>
              <w:bottom w:val="single" w:sz="12" w:space="0" w:color="000000"/>
              <w:right w:val="single" w:sz="12" w:space="0" w:color="000000"/>
            </w:tcBorders>
            <w:shd w:fill="auto" w:val="clear"/>
            <w:tcMar>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R. Revers</w:t>
            </w:r>
          </w:p>
        </w:tc>
      </w:tr>
      <w:tr>
        <w:trPr/>
        <w:tc>
          <w:tcPr>
            <w:tcW w:w="185" w:type="dxa"/>
            <w:tcBorders>
              <w:left w:val="single" w:sz="12" w:space="0" w:color="000000"/>
              <w:bottom w:val="single" w:sz="12" w:space="0" w:color="000000"/>
              <w:right w:val="single" w:sz="12" w:space="0" w:color="000000"/>
            </w:tcBorders>
            <w:shd w:fill="auto" w:val="clear"/>
            <w:tcMar>
              <w:top w:w="0" w:type="dxa"/>
            </w:tcMar>
            <w:vAlign w:val="center"/>
          </w:tcPr>
          <w:p>
            <w:pPr>
              <w:pStyle w:val="TableContents"/>
              <w:spacing w:before="0" w:after="283"/>
              <w:jc w:val="center"/>
              <w:rPr>
                <w:sz w:val="20"/>
              </w:rPr>
            </w:pPr>
            <w:r>
              <w:rPr>
                <w:sz w:val="20"/>
              </w:rPr>
              <w:t>2.</w:t>
            </w:r>
          </w:p>
        </w:tc>
        <w:tc>
          <w:tcPr>
            <w:tcW w:w="6740" w:type="dxa"/>
            <w:tcBorders>
              <w:bottom w:val="single" w:sz="12" w:space="0" w:color="000000"/>
              <w:right w:val="single" w:sz="12"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w:t>
            </w:r>
          </w:p>
        </w:tc>
      </w:tr>
      <w:tr>
        <w:trPr/>
        <w:tc>
          <w:tcPr>
            <w:tcW w:w="185" w:type="dxa"/>
            <w:tcBorders>
              <w:left w:val="single" w:sz="12" w:space="0" w:color="000000"/>
              <w:bottom w:val="single" w:sz="12" w:space="0" w:color="000000"/>
              <w:right w:val="single" w:sz="12" w:space="0" w:color="000000"/>
            </w:tcBorders>
            <w:shd w:fill="auto" w:val="clear"/>
            <w:tcMar>
              <w:top w:w="0" w:type="dxa"/>
            </w:tcMar>
            <w:vAlign w:val="center"/>
          </w:tcPr>
          <w:p>
            <w:pPr>
              <w:pStyle w:val="TableContents"/>
              <w:spacing w:before="0" w:after="283"/>
              <w:jc w:val="center"/>
              <w:rPr>
                <w:sz w:val="20"/>
              </w:rPr>
            </w:pPr>
            <w:r>
              <w:rPr>
                <w:sz w:val="20"/>
              </w:rPr>
              <w:t>3.</w:t>
            </w:r>
          </w:p>
        </w:tc>
        <w:tc>
          <w:tcPr>
            <w:tcW w:w="6740" w:type="dxa"/>
            <w:tcBorders>
              <w:bottom w:val="single" w:sz="12" w:space="0" w:color="000000"/>
              <w:right w:val="single" w:sz="12" w:space="0" w:color="000000"/>
            </w:tcBorders>
            <w:shd w:fill="auto" w:val="clear"/>
            <w:tcMar>
              <w:top w:w="0" w:type="dxa"/>
              <w:left w:w="0" w:type="dxa"/>
            </w:tcMar>
            <w:vAlign w:val="center"/>
          </w:tcPr>
          <w:p>
            <w:pPr>
              <w:pStyle w:val="TableContents"/>
              <w:rPr>
                <w:sz w:val="20"/>
              </w:rPr>
            </w:pPr>
            <w:r>
              <w:rPr>
                <w:sz w:val="20"/>
              </w:rPr>
              <w:t>SEC Use Only</w:t>
            </w:r>
          </w:p>
          <w:p>
            <w:pPr>
              <w:pStyle w:val="TableContents"/>
              <w:spacing w:before="0" w:after="283"/>
              <w:rPr/>
            </w:pPr>
            <w:r>
              <w:rPr/>
              <w:t> </w:t>
            </w:r>
          </w:p>
        </w:tc>
      </w:tr>
      <w:tr>
        <w:trPr/>
        <w:tc>
          <w:tcPr>
            <w:tcW w:w="185" w:type="dxa"/>
            <w:tcBorders>
              <w:left w:val="single" w:sz="12" w:space="0" w:color="000000"/>
              <w:bottom w:val="single" w:sz="12" w:space="0" w:color="000000"/>
              <w:right w:val="single" w:sz="12" w:space="0" w:color="000000"/>
            </w:tcBorders>
            <w:shd w:fill="auto" w:val="clear"/>
            <w:tcMar>
              <w:top w:w="0" w:type="dxa"/>
            </w:tcMar>
            <w:vAlign w:val="center"/>
          </w:tcPr>
          <w:p>
            <w:pPr>
              <w:pStyle w:val="TableContents"/>
              <w:spacing w:before="0" w:after="283"/>
              <w:jc w:val="center"/>
              <w:rPr>
                <w:sz w:val="20"/>
              </w:rPr>
            </w:pPr>
            <w:r>
              <w:rPr>
                <w:sz w:val="20"/>
              </w:rPr>
              <w:t>4.</w:t>
            </w:r>
          </w:p>
        </w:tc>
        <w:tc>
          <w:tcPr>
            <w:tcW w:w="6740" w:type="dxa"/>
            <w:tcBorders>
              <w:bottom w:val="single" w:sz="12" w:space="0" w:color="000000"/>
              <w:right w:val="single" w:sz="12"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185" w:type="dxa"/>
            <w:tcBorders>
              <w:left w:val="single" w:sz="12" w:space="0" w:color="000000"/>
              <w:bottom w:val="single" w:sz="12" w:space="0" w:color="000000"/>
              <w:right w:val="single" w:sz="12" w:space="0" w:color="000000"/>
            </w:tcBorders>
            <w:shd w:fill="auto" w:val="clear"/>
            <w:tcMar>
              <w:top w:w="0" w:type="dxa"/>
            </w:tcMar>
            <w:vAlign w:val="center"/>
          </w:tcPr>
          <w:p>
            <w:pPr>
              <w:pStyle w:val="TableContents"/>
              <w:spacing w:before="0" w:after="283"/>
              <w:jc w:val="center"/>
              <w:rPr>
                <w:sz w:val="20"/>
              </w:rPr>
            </w:pPr>
            <w:r>
              <w:rPr>
                <w:sz w:val="20"/>
              </w:rPr>
              <w:t>5.</w:t>
            </w:r>
          </w:p>
        </w:tc>
        <w:tc>
          <w:tcPr>
            <w:tcW w:w="6740" w:type="dxa"/>
            <w:tcBorders>
              <w:bottom w:val="single" w:sz="12" w:space="0" w:color="000000"/>
              <w:right w:val="single" w:sz="12" w:space="0" w:color="000000"/>
            </w:tcBorders>
            <w:shd w:fill="auto" w:val="clear"/>
            <w:tcMar>
              <w:top w:w="0" w:type="dxa"/>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p>
            <w:pPr>
              <w:pStyle w:val="TableContents"/>
              <w:spacing w:before="0" w:after="0"/>
              <w:ind w:left="0" w:right="0" w:hanging="0"/>
              <w:rPr>
                <w:caps w:val="false"/>
                <w:smallCaps w:val="false"/>
              </w:rPr>
            </w:pPr>
            <w:r>
              <w:rPr>
                <w:caps w:val="false"/>
                <w:smallCaps w:val="false"/>
              </w:rPr>
              <w:t>☐</w:t>
            </w:r>
          </w:p>
        </w:tc>
      </w:tr>
      <w:tr>
        <w:trPr/>
        <w:tc>
          <w:tcPr>
            <w:tcW w:w="185" w:type="dxa"/>
            <w:tcBorders>
              <w:left w:val="single" w:sz="12" w:space="0" w:color="000000"/>
              <w:right w:val="single" w:sz="12" w:space="0" w:color="000000"/>
            </w:tcBorders>
            <w:shd w:fill="auto" w:val="clear"/>
            <w:tcMar>
              <w:top w:w="0" w:type="dxa"/>
              <w:bottom w:w="0" w:type="dxa"/>
            </w:tcMar>
            <w:vAlign w:val="center"/>
          </w:tcPr>
          <w:p>
            <w:pPr>
              <w:pStyle w:val="TableContents"/>
              <w:spacing w:before="0" w:after="283"/>
              <w:jc w:val="center"/>
              <w:rPr>
                <w:sz w:val="20"/>
              </w:rPr>
            </w:pPr>
            <w:r>
              <w:rPr>
                <w:sz w:val="20"/>
              </w:rPr>
              <w:t>6.</w:t>
            </w:r>
          </w:p>
        </w:tc>
        <w:tc>
          <w:tcPr>
            <w:tcW w:w="6740" w:type="dxa"/>
            <w:tcBorders>
              <w:right w:val="single" w:sz="12" w:space="0" w:color="000000"/>
            </w:tcBorders>
            <w:shd w:fill="auto" w:val="clear"/>
            <w:tcMar>
              <w:top w:w="0" w:type="dxa"/>
              <w:left w:w="0" w:type="dxa"/>
              <w:bottom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r>
    </w:tbl>
    <w:tbl>
      <w:tblPr>
        <w:tblW w:w="3420" w:type="dxa"/>
        <w:jc w:val="left"/>
        <w:tblInd w:w="0" w:type="dxa"/>
        <w:tblCellMar>
          <w:top w:w="40" w:type="dxa"/>
          <w:left w:w="40" w:type="dxa"/>
          <w:bottom w:w="40" w:type="dxa"/>
          <w:right w:w="40" w:type="dxa"/>
        </w:tblCellMar>
      </w:tblPr>
      <w:tblGrid>
        <w:gridCol w:w="1040"/>
        <w:gridCol w:w="275"/>
        <w:gridCol w:w="2105"/>
      </w:tblGrid>
      <w:tr>
        <w:trPr/>
        <w:tc>
          <w:tcPr>
            <w:tcW w:w="1040" w:type="dxa"/>
            <w:vMerge w:val="restart"/>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sz w:val="20"/>
              </w:rPr>
            </w:pPr>
            <w:r>
              <w:rPr>
                <w:sz w:val="20"/>
              </w:rPr>
              <w:t>Number of</w:t>
              <w:br/>
              <w:t>Shares</w:t>
              <w:br/>
              <w:t>Beneficially</w:t>
              <w:br/>
              <w:t>Owned by</w:t>
              <w:br/>
              <w:t>Each</w:t>
              <w:br/>
              <w:t>Reporting</w:t>
              <w:br/>
              <w:t>Person</w:t>
              <w:br/>
              <w:t>With</w:t>
            </w:r>
          </w:p>
        </w:tc>
        <w:tc>
          <w:tcPr>
            <w:tcW w:w="275" w:type="dxa"/>
            <w:tcBorders>
              <w:top w:val="single" w:sz="12" w:space="0" w:color="000000"/>
            </w:tcBorders>
            <w:shd w:fill="auto" w:val="clear"/>
            <w:tcMar>
              <w:left w:w="0" w:type="dxa"/>
              <w:bottom w:w="0" w:type="dxa"/>
              <w:right w:w="0" w:type="dxa"/>
            </w:tcMar>
            <w:vAlign w:val="center"/>
          </w:tcPr>
          <w:p>
            <w:pPr>
              <w:pStyle w:val="TableContents"/>
              <w:spacing w:before="0" w:after="283"/>
              <w:jc w:val="center"/>
              <w:rPr>
                <w:sz w:val="20"/>
              </w:rPr>
            </w:pPr>
            <w:r>
              <w:rPr>
                <w:sz w:val="20"/>
              </w:rPr>
              <w:t>7.</w:t>
            </w:r>
          </w:p>
        </w:tc>
        <w:tc>
          <w:tcPr>
            <w:tcW w:w="2105" w:type="dxa"/>
            <w:tcBorders>
              <w:top w:val="single" w:sz="12" w:space="0" w:color="000000"/>
              <w:left w:val="single" w:sz="12" w:space="0" w:color="000000"/>
              <w:right w:val="single" w:sz="12" w:space="0" w:color="000000"/>
            </w:tcBorders>
            <w:shd w:fill="auto" w:val="clear"/>
            <w:tcMar>
              <w:bottom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1,839,840*</w:t>
            </w:r>
          </w:p>
        </w:tc>
      </w:tr>
      <w:tr>
        <w:trPr/>
        <w:tc>
          <w:tcPr>
            <w:tcW w:w="1040" w:type="dxa"/>
            <w:vMerge w:val="continue"/>
            <w:tcBorders>
              <w:top w:val="single" w:sz="12" w:space="0" w:color="000000"/>
              <w:left w:val="single" w:sz="12" w:space="0" w:color="000000"/>
              <w:bottom w:val="single" w:sz="12" w:space="0" w:color="000000"/>
              <w:right w:val="single" w:sz="12" w:space="0" w:color="000000"/>
            </w:tcBorders>
            <w:shd w:fill="auto" w:val="clear"/>
            <w:vAlign w:val="center"/>
          </w:tcPr>
          <w:p>
            <w:pPr>
              <w:pStyle w:val="Normal"/>
              <w:rPr/>
            </w:pPr>
            <w:r>
              <w:rPr/>
            </w:r>
          </w:p>
        </w:tc>
        <w:tc>
          <w:tcPr>
            <w:tcW w:w="275" w:type="dxa"/>
            <w:tcBorders>
              <w:top w:val="single" w:sz="12" w:space="0" w:color="000000"/>
              <w:bottom w:val="single" w:sz="12" w:space="0" w:color="000000"/>
            </w:tcBorders>
            <w:shd w:fill="auto" w:val="clear"/>
            <w:tcMar>
              <w:left w:w="0" w:type="dxa"/>
              <w:right w:w="0" w:type="dxa"/>
            </w:tcMar>
            <w:vAlign w:val="center"/>
          </w:tcPr>
          <w:p>
            <w:pPr>
              <w:pStyle w:val="TableContents"/>
              <w:spacing w:before="0" w:after="283"/>
              <w:jc w:val="center"/>
              <w:rPr>
                <w:sz w:val="20"/>
              </w:rPr>
            </w:pPr>
            <w:r>
              <w:rPr>
                <w:sz w:val="20"/>
              </w:rPr>
              <w:t>8.</w:t>
            </w:r>
          </w:p>
        </w:tc>
        <w:tc>
          <w:tcPr>
            <w:tcW w:w="210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2,308,310*</w:t>
            </w:r>
          </w:p>
        </w:tc>
      </w:tr>
      <w:tr>
        <w:trPr/>
        <w:tc>
          <w:tcPr>
            <w:tcW w:w="1040" w:type="dxa"/>
            <w:vMerge w:val="continue"/>
            <w:tcBorders>
              <w:top w:val="single" w:sz="12" w:space="0" w:color="000000"/>
              <w:left w:val="single" w:sz="12" w:space="0" w:color="000000"/>
              <w:bottom w:val="single" w:sz="12" w:space="0" w:color="000000"/>
              <w:right w:val="single" w:sz="12" w:space="0" w:color="000000"/>
            </w:tcBorders>
            <w:shd w:fill="auto" w:val="clear"/>
            <w:vAlign w:val="center"/>
          </w:tcPr>
          <w:p>
            <w:pPr>
              <w:pStyle w:val="Normal"/>
              <w:rPr/>
            </w:pPr>
            <w:r>
              <w:rPr/>
            </w:r>
          </w:p>
        </w:tc>
        <w:tc>
          <w:tcPr>
            <w:tcW w:w="275" w:type="dxa"/>
            <w:tcBorders/>
            <w:shd w:fill="auto" w:val="clear"/>
            <w:tcMar>
              <w:top w:w="0" w:type="dxa"/>
              <w:left w:w="0" w:type="dxa"/>
              <w:bottom w:w="0" w:type="dxa"/>
              <w:right w:w="0" w:type="dxa"/>
            </w:tcMar>
            <w:vAlign w:val="center"/>
          </w:tcPr>
          <w:p>
            <w:pPr>
              <w:pStyle w:val="TableContents"/>
              <w:spacing w:before="0" w:after="283"/>
              <w:jc w:val="center"/>
              <w:rPr>
                <w:sz w:val="20"/>
              </w:rPr>
            </w:pPr>
            <w:r>
              <w:rPr>
                <w:sz w:val="20"/>
              </w:rPr>
              <w:t>9.</w:t>
            </w:r>
          </w:p>
        </w:tc>
        <w:tc>
          <w:tcPr>
            <w:tcW w:w="2105" w:type="dxa"/>
            <w:tcBorders>
              <w:left w:val="single" w:sz="12" w:space="0" w:color="000000"/>
              <w:right w:val="single" w:sz="12" w:space="0" w:color="000000"/>
            </w:tcBorders>
            <w:shd w:fill="auto" w:val="clear"/>
            <w:tcMar>
              <w:top w:w="0" w:type="dxa"/>
              <w:bottom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1,839,840*</w:t>
            </w:r>
          </w:p>
        </w:tc>
      </w:tr>
      <w:tr>
        <w:trPr/>
        <w:tc>
          <w:tcPr>
            <w:tcW w:w="1040" w:type="dxa"/>
            <w:vMerge w:val="continue"/>
            <w:tcBorders>
              <w:top w:val="single" w:sz="12" w:space="0" w:color="000000"/>
              <w:left w:val="single" w:sz="12" w:space="0" w:color="000000"/>
              <w:bottom w:val="single" w:sz="12" w:space="0" w:color="000000"/>
              <w:right w:val="single" w:sz="12" w:space="0" w:color="000000"/>
            </w:tcBorders>
            <w:shd w:fill="auto" w:val="clear"/>
            <w:vAlign w:val="center"/>
          </w:tcPr>
          <w:p>
            <w:pPr>
              <w:pStyle w:val="Normal"/>
              <w:rPr/>
            </w:pPr>
            <w:r>
              <w:rPr/>
            </w:r>
          </w:p>
        </w:tc>
        <w:tc>
          <w:tcPr>
            <w:tcW w:w="275" w:type="dxa"/>
            <w:tcBorders>
              <w:top w:val="single" w:sz="12" w:space="0" w:color="000000"/>
              <w:bottom w:val="single" w:sz="12" w:space="0" w:color="000000"/>
            </w:tcBorders>
            <w:shd w:fill="auto" w:val="clear"/>
            <w:tcMar>
              <w:left w:w="0" w:type="dxa"/>
              <w:right w:w="0" w:type="dxa"/>
            </w:tcMar>
            <w:vAlign w:val="center"/>
          </w:tcPr>
          <w:p>
            <w:pPr>
              <w:pStyle w:val="TableContents"/>
              <w:spacing w:before="0" w:after="283"/>
              <w:jc w:val="center"/>
              <w:rPr>
                <w:sz w:val="20"/>
              </w:rPr>
            </w:pPr>
            <w:r>
              <w:rPr>
                <w:sz w:val="20"/>
              </w:rPr>
              <w:t>10.</w:t>
            </w:r>
          </w:p>
        </w:tc>
        <w:tc>
          <w:tcPr>
            <w:tcW w:w="210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2,308,310*</w:t>
            </w:r>
          </w:p>
        </w:tc>
      </w:tr>
    </w:tbl>
    <w:tbl>
      <w:tblPr>
        <w:tblW w:w="5920" w:type="dxa"/>
        <w:jc w:val="left"/>
        <w:tblInd w:w="0" w:type="dxa"/>
        <w:tblCellMar>
          <w:top w:w="0" w:type="dxa"/>
          <w:left w:w="40" w:type="dxa"/>
          <w:bottom w:w="40" w:type="dxa"/>
          <w:right w:w="40" w:type="dxa"/>
        </w:tblCellMar>
      </w:tblPr>
      <w:tblGrid>
        <w:gridCol w:w="290"/>
        <w:gridCol w:w="5630"/>
      </w:tblGrid>
      <w:tr>
        <w:trPr/>
        <w:tc>
          <w:tcPr>
            <w:tcW w:w="290" w:type="dxa"/>
            <w:tcBorders>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sz w:val="20"/>
              </w:rPr>
            </w:pPr>
            <w:r>
              <w:rPr>
                <w:sz w:val="20"/>
              </w:rPr>
              <w:t>11.</w:t>
            </w:r>
          </w:p>
        </w:tc>
        <w:tc>
          <w:tcPr>
            <w:tcW w:w="5630" w:type="dxa"/>
            <w:tcBorders>
              <w:bottom w:val="single" w:sz="12" w:space="0" w:color="000000"/>
              <w:right w:val="single" w:sz="12" w:space="0" w:color="000000"/>
            </w:tcBorders>
            <w:shd w:fill="auto" w:val="clear"/>
            <w:tcMar>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4,148,150*</w:t>
            </w:r>
          </w:p>
        </w:tc>
      </w:tr>
      <w:tr>
        <w:trPr/>
        <w:tc>
          <w:tcPr>
            <w:tcW w:w="290" w:type="dxa"/>
            <w:tcBorders>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sz w:val="20"/>
              </w:rPr>
            </w:pPr>
            <w:r>
              <w:rPr>
                <w:sz w:val="20"/>
              </w:rPr>
              <w:t>12.</w:t>
            </w:r>
          </w:p>
        </w:tc>
        <w:tc>
          <w:tcPr>
            <w:tcW w:w="5630" w:type="dxa"/>
            <w:tcBorders>
              <w:bottom w:val="single" w:sz="12" w:space="0" w:color="000000"/>
              <w:right w:val="single" w:sz="12" w:space="0" w:color="000000"/>
            </w:tcBorders>
            <w:shd w:fill="auto" w:val="clear"/>
            <w:tcMar>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the Aggregate Amount in Row (11) Excludes Certain Shares</w:t>
            </w:r>
          </w:p>
          <w:p>
            <w:pPr>
              <w:pStyle w:val="TableContents"/>
              <w:spacing w:before="0" w:after="0"/>
              <w:ind w:left="0" w:right="0" w:hanging="0"/>
              <w:rPr>
                <w:caps w:val="false"/>
                <w:smallCaps w:val="false"/>
              </w:rPr>
            </w:pPr>
            <w:r>
              <w:rPr>
                <w:caps w:val="false"/>
                <w:smallCaps w:val="false"/>
              </w:rPr>
              <w:t>☐</w:t>
            </w:r>
          </w:p>
        </w:tc>
      </w:tr>
      <w:tr>
        <w:trPr/>
        <w:tc>
          <w:tcPr>
            <w:tcW w:w="290" w:type="dxa"/>
            <w:tcBorders>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sz w:val="20"/>
              </w:rPr>
            </w:pPr>
            <w:r>
              <w:rPr>
                <w:sz w:val="20"/>
              </w:rPr>
              <w:t>13.</w:t>
            </w:r>
          </w:p>
        </w:tc>
        <w:tc>
          <w:tcPr>
            <w:tcW w:w="5630" w:type="dxa"/>
            <w:tcBorders>
              <w:bottom w:val="single" w:sz="12" w:space="0" w:color="000000"/>
              <w:right w:val="single" w:sz="12" w:space="0" w:color="000000"/>
            </w:tcBorders>
            <w:shd w:fill="auto" w:val="clear"/>
            <w:tcMar>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290" w:type="dxa"/>
            <w:tcBorders>
              <w:left w:val="single" w:sz="12" w:space="0" w:color="000000"/>
              <w:bottom w:val="single" w:sz="12" w:space="0" w:color="000000"/>
              <w:right w:val="single" w:sz="12" w:space="0" w:color="000000"/>
            </w:tcBorders>
            <w:shd w:fill="auto" w:val="clear"/>
            <w:vAlign w:val="center"/>
          </w:tcPr>
          <w:p>
            <w:pPr>
              <w:pStyle w:val="TableContents"/>
              <w:spacing w:before="0" w:after="283"/>
              <w:jc w:val="center"/>
              <w:rPr>
                <w:sz w:val="20"/>
              </w:rPr>
            </w:pPr>
            <w:r>
              <w:rPr>
                <w:sz w:val="20"/>
              </w:rPr>
              <w:t>14.</w:t>
            </w:r>
          </w:p>
        </w:tc>
        <w:tc>
          <w:tcPr>
            <w:tcW w:w="5630" w:type="dxa"/>
            <w:tcBorders>
              <w:bottom w:val="single" w:sz="12" w:space="0" w:color="000000"/>
              <w:right w:val="single" w:sz="12" w:space="0" w:color="000000"/>
            </w:tcBorders>
            <w:shd w:fill="auto" w:val="clear"/>
            <w:tcMar>
              <w:left w:w="0"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w:t>
            </w:r>
          </w:p>
        </w:tc>
      </w:tr>
    </w:tbl>
    <w:p>
      <w:pPr>
        <w:pStyle w:val="TextBody"/>
        <w:spacing w:before="0" w:after="0"/>
        <w:ind w:left="0" w:right="0" w:hanging="0"/>
        <w:rPr>
          <w:caps w:val="false"/>
          <w:smallCaps w:val="false"/>
        </w:rPr>
      </w:pPr>
      <w:r>
        <w:rPr>
          <w:caps w:val="false"/>
          <w:smallCaps w:val="false"/>
        </w:rPr>
        <w:t> </w:t>
      </w:r>
    </w:p>
    <w:tbl>
      <w:tblPr>
        <w:tblW w:w="4300" w:type="dxa"/>
        <w:jc w:val="left"/>
        <w:tblInd w:w="0" w:type="dxa"/>
        <w:tblCellMar>
          <w:top w:w="0" w:type="dxa"/>
          <w:left w:w="0" w:type="dxa"/>
          <w:bottom w:w="0" w:type="dxa"/>
          <w:right w:w="0" w:type="dxa"/>
        </w:tblCellMar>
      </w:tblPr>
      <w:tblGrid>
        <w:gridCol w:w="140"/>
        <w:gridCol w:w="4160"/>
      </w:tblGrid>
      <w:tr>
        <w:trPr/>
        <w:tc>
          <w:tcPr>
            <w:tcW w:w="140" w:type="dxa"/>
            <w:tcBorders/>
            <w:shd w:fill="auto" w:val="clear"/>
            <w:vAlign w:val="center"/>
          </w:tcPr>
          <w:p>
            <w:pPr>
              <w:pStyle w:val="TableContents"/>
              <w:spacing w:before="0" w:after="283"/>
              <w:jc w:val="left"/>
              <w:rPr>
                <w:sz w:val="20"/>
              </w:rPr>
            </w:pPr>
            <w:r>
              <w:rPr>
                <w:sz w:val="20"/>
              </w:rPr>
              <w:t>*</w:t>
            </w:r>
          </w:p>
        </w:tc>
        <w:tc>
          <w:tcPr>
            <w:tcW w:w="4160" w:type="dxa"/>
            <w:tcBorders/>
            <w:shd w:fill="auto" w:val="clear"/>
            <w:vAlign w:val="center"/>
          </w:tcPr>
          <w:p>
            <w:pPr>
              <w:pStyle w:val="TableContents"/>
              <w:spacing w:before="0" w:after="283"/>
              <w:jc w:val="left"/>
              <w:rPr>
                <w:sz w:val="20"/>
              </w:rPr>
            </w:pPr>
            <w:r>
              <w:rPr>
                <w:sz w:val="20"/>
              </w:rPr>
              <w:t>The Reported Securities consists of Class A Shares.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1"/>
        <w:gridCol w:w="10054"/>
      </w:tblGrid>
      <w:tr>
        <w:trPr/>
        <w:tc>
          <w:tcPr>
            <w:tcW w:w="151" w:type="dxa"/>
            <w:tcBorders/>
            <w:shd w:fill="auto" w:val="clear"/>
            <w:vAlign w:val="center"/>
          </w:tcPr>
          <w:p>
            <w:pPr>
              <w:pStyle w:val="TableContents"/>
              <w:spacing w:before="0" w:after="283"/>
              <w:jc w:val="left"/>
              <w:rPr>
                <w:sz w:val="20"/>
              </w:rPr>
            </w:pPr>
            <w:r>
              <w:rPr>
                <w:sz w:val="20"/>
              </w:rPr>
              <w:t>**</w:t>
            </w:r>
          </w:p>
        </w:tc>
        <w:tc>
          <w:tcPr>
            <w:tcW w:w="10054" w:type="dxa"/>
            <w:tcBorders/>
            <w:shd w:fill="auto" w:val="clear"/>
            <w:vAlign w:val="center"/>
          </w:tcPr>
          <w:p>
            <w:pPr>
              <w:pStyle w:val="TableContents"/>
              <w:spacing w:before="0" w:after="283"/>
              <w:jc w:val="left"/>
              <w:rPr>
                <w:sz w:val="20"/>
              </w:rPr>
            </w:pPr>
            <w:r>
              <w:rPr>
                <w:sz w:val="20"/>
              </w:rPr>
              <w:t>Calculated based on (i) 27,644,699 Class A Shares outstanding as of March 27, 2023 as reported on Issuer’s Prospectus, and plus (ii) 144,399,037 Class A Shares to be issued upon conversion of all the Class B Units and Class D Shares outstanding as of March 27, 2023 as reported on the Annual Report.   In accordance with the SEC’s rules for calculating “beneficial ownership,” which requires the Reporting Person to disregard the conversion or exercise of the Class D Shares or Warrants not held by the Reporting Person, the Reporting Person would be deemed to beneficially own approximately 15.0% of the outstanding Class A Shares. This percentage is calculated with a numerator of 4,162,150 and a denominator of 27,644,699.  Notwithstanding the foregoing, because a Class B Unit and Class D Share are economically equivalent to a Class A Share and further, the Class D Shares vote together with the Class A Shares, the reported 2.4% reflects the Reporting Person’s actual economic and voting interest in the Issuer.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3 TO SCHEDULE 13D</w:t>
      </w:r>
    </w:p>
    <w:p>
      <w:pPr>
        <w:pStyle w:val="TextBody"/>
        <w:shd w:fill="FFFFFF" w:val="clear"/>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shd w:fill="FFFFFF" w:val="clear"/>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3 (“Amendment No. 3”) amends and supplements the Schedule 13D filed on August 1, 2022, as amended by that certain Amendment No. 1 to the Original Schedule 13D, filed on December 23, 2022 and as further amended by that certain Amendment No. 2 filed on February 1, 2023 (as so amended, the “Original Schedule 13D”). Except as specifically amended by this Amendment No. 3, the Schedule 13D remains in full force and effect. Capitalized terms used but not otherwise defined herein shall have the respective meanings previously ascribed to them in the Schedule 13D.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 in Securities of the Issuer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 of the Original Schedule 13D is hereby amended and restated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The information contained on the cover pages to this Schedule 13D is incorporated herein by reference. As noted on the cover pages, the beneficial ownership reflected in Box 13 of each cover page is calculated based on (i) 27,644,699 Class A Shares outstanding as of March 27, 2023 as reported on Issuer’s Annual Report, as increased by (ii) 144,399,037 Class A Shares to be issued upon conversion of all the Class B Units and Class D Shares outstanding as of March 27, 2023 as reported on the Annual Report.   In accordance with the SEC’s rules for calculating “beneficial ownership,” which requires the Reporting Persons to disregard the conversion or exercise of the Class D Shares or warrants to acquire Class A Shares (“Warrants”) not held by the Reporting Persons, the Reporting Persons would be deemed to beneficially own approximately 15.0% of the outstanding Class A Shares. This percentage is calculated with a numerator of 4,148,150 and a denominator of 27,644,699.  Notwithstanding the foregoing, because a Class B Unit and Class D Share are economically equivalent to a Class A Share and further, the Class D Shares vote together with the Class A Shares, the reported 2.4% reflects the Reporting Person’s actual economic and voting interest in the Issuer.</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Reported Securities consists of (i) 2,308,310 Class A Shares held directly by the Sponsor, (ii) 1,339,662 Class A Shares held directly by Daniel R. Revers, (iii) 331,235 Class A Shares held directly by ACHP B, L.P., a Delaware limited partnership (“ACHP B”), (iv) 69,572 Class A Shares held directly by ACTC Holdings GP II, LLC, a Delaware limited liability company and general partner of the Sponsor (“ACTC GP”) and (v) 99,371 Class A Shares held directly by Revers Special Ops Holdings, LLC, a Delaware limited liability company (“Special Ops Holdings”). Mr. Revers has voting power and investment discretion with respect to the securities held by the Sponsor, ACHP B, ACTC GP and Special Ops Holdings, and thus may be deemed to have beneficial ownership of the Reported Securities. The filing of this statement shall not be construed as an admission by either Reporting Person that such person is, for the purposes of sections 13(d) or 13(g) of the Exchange Act, the beneficial owner of any securities covered by this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Reported Securities include 763,907 Class A Shares that are subject to forfeiture (the “Sponsor Earn-Out”) pursuant to that certain Sponsor Letter Agreement, by and among the Sponsor, OPAL Fuels and certain parties thereto, dated as of December 2, 2021 (as amended from time to time, the “Sponsor Letter Agreement”). Pursuant to the Sponsor Letter Agreement, up to 10% of the Class A Shares beneficially owned by the Reporting Person as of July 21, 2022 will be subject to forfeiture if, during the 60 months following July 21, 2022, the following vesting conditions are not satisfied:</w:t>
      </w:r>
    </w:p>
    <w:p>
      <w:pPr>
        <w:pStyle w:val="TextBody"/>
        <w:spacing w:before="0" w:after="0"/>
        <w:ind w:left="9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99"/>
        <w:gridCol w:w="9968"/>
      </w:tblGrid>
      <w:tr>
        <w:trPr/>
        <w:tc>
          <w:tcPr>
            <w:tcW w:w="38"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jc w:val="left"/>
              <w:rPr>
                <w:sz w:val="20"/>
              </w:rPr>
            </w:pPr>
            <w:r>
              <w:rPr>
                <w:sz w:val="20"/>
              </w:rPr>
              <w:t>(1)</w:t>
            </w:r>
          </w:p>
        </w:tc>
        <w:tc>
          <w:tcPr>
            <w:tcW w:w="9968" w:type="dxa"/>
            <w:tcBorders/>
            <w:shd w:fill="auto" w:val="clear"/>
            <w:vAlign w:val="center"/>
          </w:tcPr>
          <w:p>
            <w:pPr>
              <w:pStyle w:val="TableContents"/>
              <w:spacing w:before="0" w:after="283"/>
              <w:jc w:val="left"/>
              <w:rPr>
                <w:sz w:val="20"/>
              </w:rPr>
            </w:pPr>
            <w:r>
              <w:rPr>
                <w:sz w:val="20"/>
              </w:rPr>
              <w:t>If (A) the VWAP of the Class A Shares over any 20 trading days within any 30 consecutive trading day period is greater than or equal to $12.50 per share; or (B) a Sale (as defined below) is consummated in which the Class A Shares are valued at greater than or equal to $12.50 per share, 50% of the Earn-Out Shares will vest upon the close of market on the 20</w:t>
            </w:r>
            <w:r>
              <w:rPr>
                <w:position w:val="7"/>
                <w:sz w:val="16"/>
                <w:sz w:val="20"/>
              </w:rPr>
              <w:t>th</w:t>
            </w:r>
            <w:r>
              <w:rPr>
                <w:sz w:val="20"/>
              </w:rPr>
              <w:t> such trading day or as of immediately prior to the closing of such Sale, respectively; and</w:t>
            </w:r>
          </w:p>
        </w:tc>
      </w:tr>
    </w:tbl>
    <w:p>
      <w:pPr>
        <w:pStyle w:val="TextBody"/>
        <w:spacing w:before="0" w:after="0"/>
        <w:ind w:left="9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99"/>
        <w:gridCol w:w="9968"/>
      </w:tblGrid>
      <w:tr>
        <w:trPr/>
        <w:tc>
          <w:tcPr>
            <w:tcW w:w="38"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jc w:val="left"/>
              <w:rPr>
                <w:sz w:val="20"/>
              </w:rPr>
            </w:pPr>
            <w:r>
              <w:rPr>
                <w:sz w:val="20"/>
              </w:rPr>
              <w:t>(2)</w:t>
            </w:r>
          </w:p>
        </w:tc>
        <w:tc>
          <w:tcPr>
            <w:tcW w:w="9968" w:type="dxa"/>
            <w:tcBorders/>
            <w:shd w:fill="auto" w:val="clear"/>
            <w:vAlign w:val="center"/>
          </w:tcPr>
          <w:p>
            <w:pPr>
              <w:pStyle w:val="TableContents"/>
              <w:spacing w:before="0" w:after="283"/>
              <w:jc w:val="left"/>
              <w:rPr>
                <w:sz w:val="20"/>
              </w:rPr>
            </w:pPr>
            <w:r>
              <w:rPr>
                <w:sz w:val="20"/>
              </w:rPr>
              <w:t>If (A) the VWAP of the Class A Shares over any 20 trading days within any 30 consecutive trading day period is greater than or equal to $15.00 per share; or (B) a Sale is consummated in which the Class A Shares are valued at greater than or equal to $15.00 per share the remaining 50% of the Earn-Out Shares will vest upon the close of market on the 20</w:t>
            </w:r>
            <w:r>
              <w:rPr>
                <w:position w:val="7"/>
                <w:sz w:val="16"/>
                <w:sz w:val="20"/>
              </w:rPr>
              <w:t>th</w:t>
            </w:r>
            <w:r>
              <w:rPr>
                <w:sz w:val="20"/>
              </w:rPr>
              <w:t> such trading day or as of immediately prior to the closing of such Sale, respectively.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with respect to the Sponsor Earn-Out, “Sale” means (A) (1) a direct or indirect sale, lease, exchange or other transfer (regardless of the form of the transaction) in one transaction or a series of related transactions of a majority of the Issuer’s assets, as determined on a consolidated basis, to a third party or third parties acting as a “group” (as defined in Section 13(d)(3) of the Exchange Act) or (2) any transaction or series of transactions that results, directly or indirectly, in the shareholders of the Issuer as of immediately prior to such transactions holding, in the aggregate, less than 50% of the voting equity securities of the Issuer (or any successor of the Issuer) immediately after the consummation thereof (excluding any Sponsor Earnout Shares), in the case of each of clause (1) or (2), whether by amalgamation, merger, consolidation, arrangement, tender offer, recapitalization, purchase, issuance, sale or transfer of equity securities or assets or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set forth in this Section 5(c), the Reporting Persons have not effected any transaction in Class A Shares during the past sixty days.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 applicable.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 applicable.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spacing w:before="0" w:after="0"/>
        <w:ind w:left="0" w:right="0" w:hanging="0"/>
        <w:rPr/>
      </w:pPr>
      <w:r>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spacing w:before="0" w:after="0"/>
        <w:ind w:left="0" w:right="0" w:hanging="0"/>
        <w:rPr>
          <w:caps w:val="false"/>
          <w:smallCaps w:val="false"/>
        </w:rPr>
      </w:pPr>
      <w:r>
        <w:rPr>
          <w:caps w:val="false"/>
          <w:smallCaps w:val="false"/>
        </w:rPr>
        <w:t> </w:t>
      </w:r>
    </w:p>
    <w:tbl>
      <w:tblPr>
        <w:tblW w:w="5799" w:type="dxa"/>
        <w:jc w:val="left"/>
        <w:tblInd w:w="0" w:type="dxa"/>
        <w:tblCellMar>
          <w:top w:w="0" w:type="dxa"/>
          <w:left w:w="0" w:type="dxa"/>
          <w:bottom w:w="0" w:type="dxa"/>
          <w:right w:w="0" w:type="dxa"/>
        </w:tblCellMar>
      </w:tblPr>
      <w:tblGrid>
        <w:gridCol w:w="1550"/>
        <w:gridCol w:w="1124"/>
        <w:gridCol w:w="3125"/>
      </w:tblGrid>
      <w:tr>
        <w:trPr/>
        <w:tc>
          <w:tcPr>
            <w:tcW w:w="1550" w:type="dxa"/>
            <w:tcBorders/>
            <w:shd w:fill="auto" w:val="clear"/>
            <w:vAlign w:val="center"/>
          </w:tcPr>
          <w:p>
            <w:pPr>
              <w:pStyle w:val="TableContents"/>
              <w:spacing w:before="0" w:after="283"/>
              <w:rPr>
                <w:sz w:val="20"/>
              </w:rPr>
            </w:pPr>
            <w:r>
              <w:rPr>
                <w:sz w:val="20"/>
              </w:rPr>
              <w:t>Date: May 1, 2023</w:t>
            </w:r>
          </w:p>
        </w:tc>
        <w:tc>
          <w:tcPr>
            <w:tcW w:w="4249" w:type="dxa"/>
            <w:gridSpan w:val="2"/>
            <w:tcBorders/>
            <w:shd w:fill="auto" w:val="clear"/>
            <w:vAlign w:val="center"/>
          </w:tcPr>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ArcLight CTC Holdings II, L.P.</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ACTC Holdings GP II, LLC, its</w:t>
              <w:br/>
              <w:t>General Partner</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ArcLight Capital Holdings, LLC, its Manager</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ACHP II, L.P., its Managing Member</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ACH GP, LLC, its General Partner</w:t>
            </w:r>
          </w:p>
        </w:tc>
      </w:tr>
      <w:tr>
        <w:trPr/>
        <w:tc>
          <w:tcPr>
            <w:tcW w:w="1550" w:type="dxa"/>
            <w:tcBorders/>
            <w:shd w:fill="auto" w:val="clear"/>
            <w:vAlign w:val="center"/>
          </w:tcPr>
          <w:p>
            <w:pPr>
              <w:pStyle w:val="TableContents"/>
              <w:spacing w:before="0" w:after="283"/>
              <w:rPr/>
            </w:pPr>
            <w:r>
              <w:rPr/>
              <w:t> </w:t>
            </w:r>
          </w:p>
        </w:tc>
        <w:tc>
          <w:tcPr>
            <w:tcW w:w="1124" w:type="dxa"/>
            <w:tcBorders/>
            <w:shd w:fill="auto" w:val="clear"/>
            <w:vAlign w:val="center"/>
          </w:tcPr>
          <w:p>
            <w:pPr>
              <w:pStyle w:val="TableContents"/>
              <w:spacing w:before="0" w:after="283"/>
              <w:rPr/>
            </w:pPr>
            <w:r>
              <w:rPr/>
              <w:t> </w:t>
            </w:r>
          </w:p>
        </w:tc>
        <w:tc>
          <w:tcPr>
            <w:tcW w:w="3125" w:type="dxa"/>
            <w:tcBorders/>
            <w:shd w:fill="auto" w:val="clear"/>
            <w:vAlign w:val="center"/>
          </w:tcPr>
          <w:p>
            <w:pPr>
              <w:pStyle w:val="TableContents"/>
              <w:spacing w:before="0" w:after="283"/>
              <w:rPr/>
            </w:pPr>
            <w:r>
              <w:rPr/>
              <w:t> </w:t>
            </w:r>
          </w:p>
        </w:tc>
      </w:tr>
      <w:tr>
        <w:trPr/>
        <w:tc>
          <w:tcPr>
            <w:tcW w:w="1550" w:type="dxa"/>
            <w:tcBorders/>
            <w:shd w:fill="auto" w:val="clear"/>
            <w:vAlign w:val="center"/>
          </w:tcPr>
          <w:p>
            <w:pPr>
              <w:pStyle w:val="TableContents"/>
              <w:spacing w:before="0" w:after="283"/>
              <w:rPr/>
            </w:pPr>
            <w:r>
              <w:rPr/>
              <w:t> </w:t>
            </w:r>
          </w:p>
        </w:tc>
        <w:tc>
          <w:tcPr>
            <w:tcW w:w="1124" w:type="dxa"/>
            <w:tcBorders/>
            <w:shd w:fill="auto" w:val="clear"/>
            <w:vAlign w:val="center"/>
          </w:tcPr>
          <w:p>
            <w:pPr>
              <w:pStyle w:val="TableContents"/>
              <w:spacing w:before="0" w:after="283"/>
              <w:rPr>
                <w:sz w:val="20"/>
              </w:rPr>
            </w:pPr>
            <w:r>
              <w:rPr>
                <w:sz w:val="20"/>
              </w:rPr>
              <w:t>By:</w:t>
            </w:r>
          </w:p>
        </w:tc>
        <w:tc>
          <w:tcPr>
            <w:tcW w:w="3125" w:type="dxa"/>
            <w:tcBorders/>
            <w:shd w:fill="auto" w:val="clear"/>
            <w:vAlign w:val="center"/>
          </w:tcPr>
          <w:p>
            <w:pPr>
              <w:pStyle w:val="TableContents"/>
              <w:pBdr>
                <w:bottom w:val="single" w:sz="12" w:space="1" w:color="000000"/>
              </w:pBd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R. Revers</w:t>
            </w:r>
          </w:p>
        </w:tc>
      </w:tr>
      <w:tr>
        <w:trPr/>
        <w:tc>
          <w:tcPr>
            <w:tcW w:w="1550" w:type="dxa"/>
            <w:tcBorders/>
            <w:shd w:fill="auto" w:val="clear"/>
            <w:vAlign w:val="center"/>
          </w:tcPr>
          <w:p>
            <w:pPr>
              <w:pStyle w:val="TableContents"/>
              <w:spacing w:before="0" w:after="283"/>
              <w:rPr/>
            </w:pPr>
            <w:r>
              <w:rPr/>
              <w:t> </w:t>
            </w:r>
          </w:p>
        </w:tc>
        <w:tc>
          <w:tcPr>
            <w:tcW w:w="1124" w:type="dxa"/>
            <w:tcBorders/>
            <w:shd w:fill="auto" w:val="clear"/>
            <w:vAlign w:val="center"/>
          </w:tcPr>
          <w:p>
            <w:pPr>
              <w:pStyle w:val="TableContents"/>
              <w:spacing w:before="0" w:after="283"/>
              <w:rPr>
                <w:sz w:val="20"/>
              </w:rPr>
            </w:pPr>
            <w:r>
              <w:rPr>
                <w:sz w:val="20"/>
              </w:rPr>
              <w:t>Name: </w:t>
            </w:r>
          </w:p>
        </w:tc>
        <w:tc>
          <w:tcPr>
            <w:tcW w:w="3125" w:type="dxa"/>
            <w:tcBorders/>
            <w:shd w:fill="auto" w:val="clear"/>
            <w:vAlign w:val="center"/>
          </w:tcPr>
          <w:p>
            <w:pPr>
              <w:pStyle w:val="TableContents"/>
              <w:spacing w:before="0" w:after="283"/>
              <w:rPr>
                <w:sz w:val="20"/>
              </w:rPr>
            </w:pPr>
            <w:r>
              <w:rPr>
                <w:sz w:val="20"/>
              </w:rPr>
              <w:t>Daniel R. Revers</w:t>
            </w:r>
          </w:p>
        </w:tc>
      </w:tr>
      <w:tr>
        <w:trPr/>
        <w:tc>
          <w:tcPr>
            <w:tcW w:w="1550" w:type="dxa"/>
            <w:tcBorders/>
            <w:shd w:fill="auto" w:val="clear"/>
            <w:vAlign w:val="center"/>
          </w:tcPr>
          <w:p>
            <w:pPr>
              <w:pStyle w:val="TableContents"/>
              <w:spacing w:before="0" w:after="283"/>
              <w:rPr/>
            </w:pPr>
            <w:r>
              <w:rPr/>
              <w:t> </w:t>
            </w:r>
          </w:p>
        </w:tc>
        <w:tc>
          <w:tcPr>
            <w:tcW w:w="1124" w:type="dxa"/>
            <w:tcBorders/>
            <w:shd w:fill="auto" w:val="clear"/>
            <w:vAlign w:val="center"/>
          </w:tcPr>
          <w:p>
            <w:pPr>
              <w:pStyle w:val="TableContents"/>
              <w:spacing w:before="0" w:after="283"/>
              <w:rPr>
                <w:sz w:val="20"/>
              </w:rPr>
            </w:pPr>
            <w:r>
              <w:rPr>
                <w:sz w:val="20"/>
              </w:rPr>
              <w:t>Title:</w:t>
            </w:r>
          </w:p>
        </w:tc>
        <w:tc>
          <w:tcPr>
            <w:tcW w:w="3125" w:type="dxa"/>
            <w:tcBorders/>
            <w:shd w:fill="auto" w:val="clear"/>
            <w:vAlign w:val="center"/>
          </w:tcPr>
          <w:p>
            <w:pPr>
              <w:pStyle w:val="TableContents"/>
              <w:spacing w:before="0" w:after="283"/>
              <w:rPr>
                <w:sz w:val="20"/>
              </w:rPr>
            </w:pPr>
            <w:r>
              <w:rPr>
                <w:sz w:val="20"/>
              </w:rPr>
              <w:t>Manager</w:t>
            </w:r>
          </w:p>
        </w:tc>
      </w:tr>
    </w:tbl>
    <w:p>
      <w:pPr>
        <w:pStyle w:val="TextBody"/>
        <w:spacing w:before="0" w:after="0"/>
        <w:ind w:left="0" w:right="0" w:hanging="0"/>
        <w:rPr>
          <w:caps w:val="false"/>
          <w:smallCaps w:val="false"/>
        </w:rPr>
      </w:pPr>
      <w:r>
        <w:rPr>
          <w:caps w:val="false"/>
          <w:smallCaps w:val="false"/>
        </w:rPr>
        <w:t> </w:t>
      </w:r>
    </w:p>
    <w:tbl>
      <w:tblPr>
        <w:tblW w:w="2725" w:type="dxa"/>
        <w:jc w:val="left"/>
        <w:tblInd w:w="0" w:type="dxa"/>
        <w:tblCellMar>
          <w:top w:w="0" w:type="dxa"/>
          <w:left w:w="0" w:type="dxa"/>
          <w:bottom w:w="0" w:type="dxa"/>
          <w:right w:w="0" w:type="dxa"/>
        </w:tblCellMar>
      </w:tblPr>
      <w:tblGrid>
        <w:gridCol w:w="75"/>
        <w:gridCol w:w="710"/>
        <w:gridCol w:w="1940"/>
      </w:tblGrid>
      <w:tr>
        <w:trPr/>
        <w:tc>
          <w:tcPr>
            <w:tcW w:w="75"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pPr>
            <w:r>
              <w:rPr/>
              <w:t>By:</w:t>
            </w:r>
          </w:p>
        </w:tc>
        <w:tc>
          <w:tcPr>
            <w:tcW w:w="1940" w:type="dxa"/>
            <w:tcBorders>
              <w:bottom w:val="single" w:sz="12" w:space="0" w:color="000000"/>
            </w:tcBorders>
            <w:shd w:fill="auto" w:val="clear"/>
            <w:tcMar>
              <w:bottom w:w="28" w:type="dxa"/>
            </w:tcMar>
            <w:vAlign w:val="center"/>
          </w:tcPr>
          <w:p>
            <w:pPr>
              <w:pStyle w:val="TableContents"/>
              <w:spacing w:before="0" w:after="283"/>
              <w:rPr/>
            </w:pPr>
            <w:r>
              <w:rPr/>
              <w:t>/s/ Daniel R. Revers</w:t>
            </w:r>
          </w:p>
        </w:tc>
      </w:tr>
      <w:tr>
        <w:trPr/>
        <w:tc>
          <w:tcPr>
            <w:tcW w:w="75"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pPr>
            <w:r>
              <w:rPr/>
              <w:t>Name: </w:t>
            </w:r>
          </w:p>
        </w:tc>
        <w:tc>
          <w:tcPr>
            <w:tcW w:w="1940" w:type="dxa"/>
            <w:tcBorders/>
            <w:shd w:fill="auto" w:val="clear"/>
            <w:vAlign w:val="center"/>
          </w:tcPr>
          <w:p>
            <w:pPr>
              <w:pStyle w:val="TableContents"/>
              <w:spacing w:before="0" w:after="283"/>
              <w:rPr/>
            </w:pPr>
            <w:r>
              <w:rPr/>
              <w:t>Daniel R. Revers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schedule sets forth information with respect to each transaction in Class A Shares that was effectuated by the Reporting Person.</w:t>
      </w:r>
    </w:p>
    <w:p>
      <w:pPr>
        <w:pStyle w:val="TextBody"/>
        <w:spacing w:before="0" w:after="0"/>
        <w:ind w:left="0" w:right="0" w:hanging="0"/>
        <w:rPr>
          <w:caps w:val="false"/>
          <w:smallCaps w:val="false"/>
        </w:rPr>
      </w:pPr>
      <w:r>
        <w:rPr>
          <w:caps w:val="false"/>
          <w:smallCaps w:val="false"/>
        </w:rPr>
        <w:t> </w:t>
      </w:r>
    </w:p>
    <w:tbl>
      <w:tblPr>
        <w:tblW w:w="5485" w:type="dxa"/>
        <w:jc w:val="left"/>
        <w:tblInd w:w="0" w:type="dxa"/>
        <w:tblCellMar>
          <w:top w:w="0" w:type="dxa"/>
          <w:left w:w="0" w:type="dxa"/>
          <w:bottom w:w="28" w:type="dxa"/>
          <w:right w:w="0" w:type="dxa"/>
        </w:tblCellMar>
      </w:tblPr>
      <w:tblGrid>
        <w:gridCol w:w="1115"/>
        <w:gridCol w:w="60"/>
        <w:gridCol w:w="65"/>
        <w:gridCol w:w="1065"/>
        <w:gridCol w:w="245"/>
        <w:gridCol w:w="60"/>
        <w:gridCol w:w="232"/>
        <w:gridCol w:w="733"/>
        <w:gridCol w:w="350"/>
        <w:gridCol w:w="60"/>
        <w:gridCol w:w="140"/>
        <w:gridCol w:w="1100"/>
        <w:gridCol w:w="260"/>
      </w:tblGrid>
      <w:tr>
        <w:trPr/>
        <w:tc>
          <w:tcPr>
            <w:tcW w:w="1115" w:type="dxa"/>
            <w:tcBorders>
              <w:bottom w:val="single" w:sz="12" w:space="0" w:color="000000"/>
            </w:tcBorders>
            <w:shd w:fill="auto" w:val="clear"/>
            <w:vAlign w:val="center"/>
          </w:tcPr>
          <w:p>
            <w:pPr>
              <w:pStyle w:val="TableContents"/>
              <w:spacing w:before="0" w:after="283"/>
              <w:jc w:val="left"/>
              <w:rPr>
                <w:b/>
              </w:rPr>
            </w:pPr>
            <w:r>
              <w:rPr>
                <w:b/>
              </w:rPr>
              <w:t>Date</w:t>
            </w:r>
          </w:p>
        </w:tc>
        <w:tc>
          <w:tcPr>
            <w:tcW w:w="60" w:type="dxa"/>
            <w:tcBorders/>
            <w:shd w:fill="auto" w:val="clear"/>
            <w:tcMar>
              <w:bottom w:w="0" w:type="dxa"/>
            </w:tcMar>
            <w:vAlign w:val="center"/>
          </w:tcPr>
          <w:p>
            <w:pPr>
              <w:pStyle w:val="TableContents"/>
              <w:spacing w:before="0" w:after="283"/>
              <w:jc w:val="center"/>
              <w:rPr/>
            </w:pPr>
            <w:r>
              <w:rPr/>
              <w:t> </w:t>
            </w:r>
          </w:p>
        </w:tc>
        <w:tc>
          <w:tcPr>
            <w:tcW w:w="1130" w:type="dxa"/>
            <w:gridSpan w:val="2"/>
            <w:tcBorders>
              <w:bottom w:val="single" w:sz="12" w:space="0" w:color="000000"/>
            </w:tcBorders>
            <w:shd w:fill="auto" w:val="clear"/>
            <w:vAlign w:val="center"/>
          </w:tcPr>
          <w:p>
            <w:pPr>
              <w:pStyle w:val="TableContents"/>
              <w:spacing w:before="0" w:after="283"/>
              <w:jc w:val="center"/>
              <w:rPr>
                <w:b/>
              </w:rPr>
            </w:pPr>
            <w:r>
              <w:rPr>
                <w:b/>
              </w:rPr>
              <w:t>Number of</w:t>
              <w:br/>
              <w:t>Shares</w:t>
            </w:r>
          </w:p>
        </w:tc>
        <w:tc>
          <w:tcPr>
            <w:tcW w:w="24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965" w:type="dxa"/>
            <w:gridSpan w:val="2"/>
            <w:tcBorders>
              <w:bottom w:val="single" w:sz="12" w:space="0" w:color="000000"/>
            </w:tcBorders>
            <w:shd w:fill="auto" w:val="clear"/>
            <w:vAlign w:val="center"/>
          </w:tcPr>
          <w:p>
            <w:pPr>
              <w:pStyle w:val="TableContents"/>
              <w:spacing w:before="0" w:after="283"/>
              <w:jc w:val="center"/>
              <w:rPr>
                <w:b/>
              </w:rPr>
            </w:pPr>
            <w:r>
              <w:rPr>
                <w:b/>
              </w:rPr>
              <w:t>Price Per</w:t>
              <w:br/>
              <w:t>Share</w:t>
            </w:r>
          </w:p>
        </w:tc>
        <w:tc>
          <w:tcPr>
            <w:tcW w:w="35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40" w:type="dxa"/>
            <w:gridSpan w:val="2"/>
            <w:tcBorders>
              <w:bottom w:val="single" w:sz="12" w:space="0" w:color="000000"/>
            </w:tcBorders>
            <w:shd w:fill="auto" w:val="clear"/>
            <w:vAlign w:val="center"/>
          </w:tcPr>
          <w:p>
            <w:pPr>
              <w:pStyle w:val="TableContents"/>
              <w:spacing w:before="0" w:after="283"/>
              <w:jc w:val="center"/>
              <w:rPr>
                <w:b/>
                <w:sz w:val="20"/>
              </w:rPr>
            </w:pPr>
            <w:r>
              <w:rPr>
                <w:b/>
                <w:sz w:val="20"/>
              </w:rPr>
              <w:t>Principal</w:t>
            </w:r>
            <w:r>
              <w:rPr>
                <w:b/>
                <w:position w:val="7"/>
                <w:sz w:val="16"/>
                <w:sz w:val="20"/>
              </w:rPr>
              <w:t>(1)</w:t>
            </w:r>
          </w:p>
        </w:tc>
        <w:tc>
          <w:tcPr>
            <w:tcW w:w="260" w:type="dxa"/>
            <w:tcBorders/>
            <w:shd w:fill="auto" w:val="clear"/>
            <w:tcMar>
              <w:bottom w:w="0" w:type="dxa"/>
            </w:tcMar>
            <w:vAlign w:val="center"/>
          </w:tcPr>
          <w:p>
            <w:pPr>
              <w:pStyle w:val="TableContents"/>
              <w:spacing w:before="0" w:after="283"/>
              <w:jc w:val="center"/>
              <w:rPr/>
            </w:pPr>
            <w:r>
              <w:rPr/>
              <w:t> </w:t>
            </w:r>
          </w:p>
        </w:tc>
      </w:tr>
      <w:tr>
        <w:trPr/>
        <w:tc>
          <w:tcPr>
            <w:tcW w:w="1115" w:type="dxa"/>
            <w:tcBorders/>
            <w:shd w:fill="CCEEFF" w:val="clear"/>
            <w:tcMar>
              <w:bottom w:w="0" w:type="dxa"/>
            </w:tcMar>
            <w:vAlign w:val="center"/>
          </w:tcPr>
          <w:p>
            <w:pPr>
              <w:pStyle w:val="TableContents"/>
              <w:spacing w:before="0" w:after="283"/>
              <w:rPr/>
            </w:pPr>
            <w:r>
              <w:rPr/>
              <w:t>12/15/2022</w:t>
            </w:r>
          </w:p>
        </w:tc>
        <w:tc>
          <w:tcPr>
            <w:tcW w:w="60" w:type="dxa"/>
            <w:tcBorders/>
            <w:shd w:fill="CCEEFF" w:val="clear"/>
            <w:tcMar>
              <w:bottom w:w="0" w:type="dxa"/>
            </w:tcMar>
            <w:vAlign w:val="center"/>
          </w:tcPr>
          <w:p>
            <w:pPr>
              <w:pStyle w:val="TableContents"/>
              <w:spacing w:before="0" w:after="283"/>
              <w:rPr/>
            </w:pPr>
            <w:r>
              <w:rPr/>
              <w:t> </w:t>
            </w:r>
          </w:p>
        </w:tc>
        <w:tc>
          <w:tcPr>
            <w:tcW w:w="65" w:type="dxa"/>
            <w:tcBorders/>
            <w:shd w:fill="CCEEFF" w:val="clear"/>
            <w:tcMar>
              <w:bottom w:w="0" w:type="dxa"/>
            </w:tcMar>
            <w:vAlign w:val="center"/>
          </w:tcPr>
          <w:p>
            <w:pPr>
              <w:pStyle w:val="TableContents"/>
              <w:spacing w:before="0" w:after="283"/>
              <w:jc w:val="left"/>
              <w:rPr/>
            </w:pPr>
            <w:r>
              <w:rPr/>
              <w:t> </w:t>
            </w:r>
          </w:p>
        </w:tc>
        <w:tc>
          <w:tcPr>
            <w:tcW w:w="1065" w:type="dxa"/>
            <w:tcBorders/>
            <w:shd w:fill="CCEEFF" w:val="clear"/>
            <w:tcMar>
              <w:bottom w:w="0" w:type="dxa"/>
            </w:tcMar>
            <w:vAlign w:val="center"/>
          </w:tcPr>
          <w:p>
            <w:pPr>
              <w:pStyle w:val="TableContents"/>
              <w:spacing w:before="0" w:after="283"/>
              <w:jc w:val="right"/>
              <w:rPr/>
            </w:pPr>
            <w:r>
              <w:rPr/>
              <w:t>2,000,000</w:t>
            </w:r>
          </w:p>
        </w:tc>
        <w:tc>
          <w:tcPr>
            <w:tcW w:w="245" w:type="dxa"/>
            <w:tcBorders/>
            <w:shd w:fill="CCEEFF" w:val="clear"/>
            <w:tcMar>
              <w:bottom w:w="0" w:type="dxa"/>
            </w:tcMar>
            <w:vAlign w:val="center"/>
          </w:tcPr>
          <w:p>
            <w:pPr>
              <w:pStyle w:val="TableContents"/>
              <w:spacing w:before="0" w:after="283"/>
              <w:jc w:val="left"/>
              <w:rPr>
                <w:position w:val="8"/>
                <w:sz w:val="19"/>
              </w:rPr>
            </w:pPr>
            <w:r>
              <w:rPr>
                <w:position w:val="8"/>
                <w:sz w:val="19"/>
              </w:rPr>
              <w:t>(2)</w:t>
            </w:r>
          </w:p>
        </w:tc>
        <w:tc>
          <w:tcPr>
            <w:tcW w:w="60" w:type="dxa"/>
            <w:tcBorders/>
            <w:shd w:fill="CCEEFF" w:val="clear"/>
            <w:tcMar>
              <w:bottom w:w="0" w:type="dxa"/>
            </w:tcMar>
            <w:vAlign w:val="center"/>
          </w:tcPr>
          <w:p>
            <w:pPr>
              <w:pStyle w:val="TableContents"/>
              <w:spacing w:before="0" w:after="283"/>
              <w:rPr/>
            </w:pPr>
            <w:r>
              <w:rPr/>
              <w:t> </w:t>
            </w:r>
          </w:p>
        </w:tc>
        <w:tc>
          <w:tcPr>
            <w:tcW w:w="232" w:type="dxa"/>
            <w:tcBorders/>
            <w:shd w:fill="CCEEFF" w:val="clear"/>
            <w:tcMar>
              <w:bottom w:w="0" w:type="dxa"/>
            </w:tcMar>
            <w:vAlign w:val="center"/>
          </w:tcPr>
          <w:p>
            <w:pPr>
              <w:pStyle w:val="TableContents"/>
              <w:spacing w:before="0" w:after="283"/>
              <w:jc w:val="left"/>
              <w:rPr/>
            </w:pPr>
            <w:r>
              <w:rPr/>
              <w:t>$</w:t>
            </w:r>
          </w:p>
        </w:tc>
        <w:tc>
          <w:tcPr>
            <w:tcW w:w="733" w:type="dxa"/>
            <w:tcBorders/>
            <w:shd w:fill="CCEEFF" w:val="clear"/>
            <w:tcMar>
              <w:bottom w:w="0" w:type="dxa"/>
            </w:tcMar>
            <w:vAlign w:val="center"/>
          </w:tcPr>
          <w:p>
            <w:pPr>
              <w:pStyle w:val="TableContents"/>
              <w:spacing w:before="0" w:after="283"/>
              <w:jc w:val="right"/>
              <w:rPr/>
            </w:pPr>
            <w:r>
              <w:rPr/>
              <w:t>7.00</w:t>
            </w:r>
          </w:p>
        </w:tc>
        <w:tc>
          <w:tcPr>
            <w:tcW w:w="35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1100" w:type="dxa"/>
            <w:tcBorders/>
            <w:shd w:fill="CCEEFF" w:val="clear"/>
            <w:tcMar>
              <w:bottom w:w="0" w:type="dxa"/>
            </w:tcMar>
            <w:vAlign w:val="center"/>
          </w:tcPr>
          <w:p>
            <w:pPr>
              <w:pStyle w:val="TableContents"/>
              <w:spacing w:before="0" w:after="283"/>
              <w:jc w:val="right"/>
              <w:rPr/>
            </w:pPr>
            <w:r>
              <w:rPr/>
              <w:t>13,899,879</w:t>
            </w:r>
          </w:p>
        </w:tc>
        <w:tc>
          <w:tcPr>
            <w:tcW w:w="260" w:type="dxa"/>
            <w:tcBorders/>
            <w:shd w:fill="CCEEFF" w:val="clear"/>
            <w:tcMar>
              <w:bottom w:w="0" w:type="dxa"/>
            </w:tcMar>
            <w:vAlign w:val="center"/>
          </w:tcPr>
          <w:p>
            <w:pPr>
              <w:pStyle w:val="TableContents"/>
              <w:spacing w:before="0" w:after="283"/>
              <w:jc w:val="left"/>
              <w:rPr/>
            </w:pPr>
            <w:r>
              <w:rPr/>
              <w:t> </w:t>
            </w:r>
          </w:p>
        </w:tc>
      </w:tr>
      <w:tr>
        <w:trPr/>
        <w:tc>
          <w:tcPr>
            <w:tcW w:w="1115" w:type="dxa"/>
            <w:tcBorders/>
            <w:shd w:fill="FFFFFF" w:val="clear"/>
            <w:tcMar>
              <w:bottom w:w="0" w:type="dxa"/>
            </w:tcMar>
            <w:vAlign w:val="center"/>
          </w:tcPr>
          <w:p>
            <w:pPr>
              <w:pStyle w:val="TableContents"/>
              <w:spacing w:before="0" w:after="283"/>
              <w:rPr/>
            </w:pPr>
            <w:r>
              <w:rPr/>
              <w:t>12/22/2022</w:t>
            </w:r>
          </w:p>
        </w:tc>
        <w:tc>
          <w:tcPr>
            <w:tcW w:w="60" w:type="dxa"/>
            <w:tcBorders/>
            <w:shd w:fill="FFFFFF" w:val="clear"/>
            <w:tcMar>
              <w:bottom w:w="0" w:type="dxa"/>
            </w:tcMar>
            <w:vAlign w:val="center"/>
          </w:tcPr>
          <w:p>
            <w:pPr>
              <w:pStyle w:val="TableContents"/>
              <w:spacing w:before="0" w:after="283"/>
              <w:rPr/>
            </w:pPr>
            <w:r>
              <w:rPr/>
              <w:t> </w:t>
            </w:r>
          </w:p>
        </w:tc>
        <w:tc>
          <w:tcPr>
            <w:tcW w:w="65" w:type="dxa"/>
            <w:tcBorders/>
            <w:shd w:fill="FFFFFF" w:val="clear"/>
            <w:tcMar>
              <w:bottom w:w="0" w:type="dxa"/>
            </w:tcMar>
            <w:vAlign w:val="center"/>
          </w:tcPr>
          <w:p>
            <w:pPr>
              <w:pStyle w:val="TableContents"/>
              <w:spacing w:before="0" w:after="283"/>
              <w:jc w:val="left"/>
              <w:rPr/>
            </w:pPr>
            <w:r>
              <w:rPr/>
              <w:t> </w:t>
            </w:r>
          </w:p>
        </w:tc>
        <w:tc>
          <w:tcPr>
            <w:tcW w:w="1065" w:type="dxa"/>
            <w:tcBorders/>
            <w:shd w:fill="FFFFFF" w:val="clear"/>
            <w:tcMar>
              <w:bottom w:w="0" w:type="dxa"/>
            </w:tcMar>
            <w:vAlign w:val="center"/>
          </w:tcPr>
          <w:p>
            <w:pPr>
              <w:pStyle w:val="TableContents"/>
              <w:spacing w:before="0" w:after="283"/>
              <w:jc w:val="right"/>
              <w:rPr/>
            </w:pPr>
            <w:r>
              <w:rPr/>
              <w:t>1,809,506</w:t>
            </w:r>
          </w:p>
        </w:tc>
        <w:tc>
          <w:tcPr>
            <w:tcW w:w="245" w:type="dxa"/>
            <w:tcBorders/>
            <w:shd w:fill="FFFFFF" w:val="clear"/>
            <w:tcMar>
              <w:bottom w:w="0" w:type="dxa"/>
            </w:tcMar>
            <w:vAlign w:val="center"/>
          </w:tcPr>
          <w:p>
            <w:pPr>
              <w:pStyle w:val="TableContents"/>
              <w:spacing w:before="0" w:after="283"/>
              <w:jc w:val="left"/>
              <w:rPr>
                <w:position w:val="8"/>
                <w:sz w:val="19"/>
              </w:rPr>
            </w:pPr>
            <w:r>
              <w:rPr>
                <w:position w:val="8"/>
                <w:sz w:val="19"/>
              </w:rPr>
              <w:t>(3)</w:t>
            </w:r>
          </w:p>
        </w:tc>
        <w:tc>
          <w:tcPr>
            <w:tcW w:w="60" w:type="dxa"/>
            <w:tcBorders/>
            <w:shd w:fill="FFFFFF" w:val="clear"/>
            <w:tcMar>
              <w:bottom w:w="0" w:type="dxa"/>
            </w:tcMar>
            <w:vAlign w:val="center"/>
          </w:tcPr>
          <w:p>
            <w:pPr>
              <w:pStyle w:val="TableContents"/>
              <w:spacing w:before="0" w:after="283"/>
              <w:rPr/>
            </w:pPr>
            <w:r>
              <w:rPr/>
              <w:t> </w:t>
            </w:r>
          </w:p>
        </w:tc>
        <w:tc>
          <w:tcPr>
            <w:tcW w:w="232" w:type="dxa"/>
            <w:tcBorders/>
            <w:shd w:fill="FFFFFF" w:val="clear"/>
            <w:tcMar>
              <w:bottom w:w="0" w:type="dxa"/>
            </w:tcMar>
            <w:vAlign w:val="center"/>
          </w:tcPr>
          <w:p>
            <w:pPr>
              <w:pStyle w:val="TableContents"/>
              <w:spacing w:before="0" w:after="283"/>
              <w:jc w:val="left"/>
              <w:rPr/>
            </w:pPr>
            <w:r>
              <w:rPr/>
              <w:t>$</w:t>
            </w:r>
          </w:p>
        </w:tc>
        <w:tc>
          <w:tcPr>
            <w:tcW w:w="733" w:type="dxa"/>
            <w:tcBorders/>
            <w:shd w:fill="FFFFFF" w:val="clear"/>
            <w:tcMar>
              <w:bottom w:w="0" w:type="dxa"/>
            </w:tcMar>
            <w:vAlign w:val="center"/>
          </w:tcPr>
          <w:p>
            <w:pPr>
              <w:pStyle w:val="TableContents"/>
              <w:spacing w:before="0" w:after="283"/>
              <w:jc w:val="right"/>
              <w:rPr/>
            </w:pPr>
            <w:r>
              <w:rPr/>
              <w:t>—</w:t>
            </w:r>
          </w:p>
        </w:tc>
        <w:tc>
          <w:tcPr>
            <w:tcW w:w="350" w:type="dxa"/>
            <w:tcBorders/>
            <w:shd w:fill="FFFFFF" w:val="clear"/>
            <w:tcMar>
              <w:bottom w:w="0" w:type="dxa"/>
            </w:tcMar>
            <w:vAlign w:val="center"/>
          </w:tcPr>
          <w:p>
            <w:pPr>
              <w:pStyle w:val="TableContents"/>
              <w:spacing w:before="0" w:after="283"/>
              <w:jc w:val="left"/>
              <w:rPr>
                <w:position w:val="8"/>
                <w:sz w:val="19"/>
              </w:rPr>
            </w:pPr>
            <w:r>
              <w:rPr>
                <w:position w:val="8"/>
                <w:sz w:val="19"/>
              </w:rPr>
              <w:t>(3)</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1100" w:type="dxa"/>
            <w:tcBorders/>
            <w:shd w:fill="FFFFFF" w:val="clear"/>
            <w:tcMar>
              <w:bottom w:w="0" w:type="dxa"/>
            </w:tcMar>
            <w:vAlign w:val="center"/>
          </w:tcPr>
          <w:p>
            <w:pPr>
              <w:pStyle w:val="TableContents"/>
              <w:spacing w:before="0" w:after="283"/>
              <w:jc w:val="right"/>
              <w:rPr/>
            </w:pPr>
            <w:r>
              <w:rPr/>
              <w:t>—</w:t>
            </w:r>
          </w:p>
        </w:tc>
        <w:tc>
          <w:tcPr>
            <w:tcW w:w="260" w:type="dxa"/>
            <w:tcBorders/>
            <w:shd w:fill="FFFFFF" w:val="clear"/>
            <w:tcMar>
              <w:bottom w:w="0" w:type="dxa"/>
            </w:tcMar>
            <w:vAlign w:val="center"/>
          </w:tcPr>
          <w:p>
            <w:pPr>
              <w:pStyle w:val="TableContents"/>
              <w:spacing w:before="0" w:after="283"/>
              <w:jc w:val="left"/>
              <w:rPr>
                <w:position w:val="8"/>
                <w:sz w:val="19"/>
              </w:rPr>
            </w:pPr>
            <w:r>
              <w:rPr>
                <w:position w:val="8"/>
                <w:sz w:val="19"/>
              </w:rPr>
              <w:t>(3)</w:t>
            </w:r>
          </w:p>
        </w:tc>
      </w:tr>
      <w:tr>
        <w:trPr/>
        <w:tc>
          <w:tcPr>
            <w:tcW w:w="1115" w:type="dxa"/>
            <w:tcBorders/>
            <w:shd w:fill="CCEEFF" w:val="clear"/>
            <w:tcMar>
              <w:bottom w:w="0" w:type="dxa"/>
            </w:tcMar>
            <w:vAlign w:val="center"/>
          </w:tcPr>
          <w:p>
            <w:pPr>
              <w:pStyle w:val="TableContents"/>
              <w:spacing w:before="0" w:after="283"/>
              <w:rPr/>
            </w:pPr>
            <w:r>
              <w:rPr/>
              <w:t>1/17/2023</w:t>
            </w:r>
          </w:p>
        </w:tc>
        <w:tc>
          <w:tcPr>
            <w:tcW w:w="60" w:type="dxa"/>
            <w:tcBorders/>
            <w:shd w:fill="CCEEFF" w:val="clear"/>
            <w:tcMar>
              <w:bottom w:w="0" w:type="dxa"/>
            </w:tcMar>
            <w:vAlign w:val="center"/>
          </w:tcPr>
          <w:p>
            <w:pPr>
              <w:pStyle w:val="TableContents"/>
              <w:spacing w:before="0" w:after="283"/>
              <w:rPr/>
            </w:pPr>
            <w:r>
              <w:rPr/>
              <w:t> </w:t>
            </w:r>
          </w:p>
        </w:tc>
        <w:tc>
          <w:tcPr>
            <w:tcW w:w="65" w:type="dxa"/>
            <w:tcBorders/>
            <w:shd w:fill="CCEEFF" w:val="clear"/>
            <w:tcMar>
              <w:bottom w:w="0" w:type="dxa"/>
            </w:tcMar>
            <w:vAlign w:val="center"/>
          </w:tcPr>
          <w:p>
            <w:pPr>
              <w:pStyle w:val="TableContents"/>
              <w:spacing w:before="0" w:after="283"/>
              <w:jc w:val="left"/>
              <w:rPr/>
            </w:pPr>
            <w:r>
              <w:rPr/>
              <w:t> </w:t>
            </w:r>
          </w:p>
        </w:tc>
        <w:tc>
          <w:tcPr>
            <w:tcW w:w="1065" w:type="dxa"/>
            <w:tcBorders/>
            <w:shd w:fill="CCEEFF" w:val="clear"/>
            <w:tcMar>
              <w:bottom w:w="0" w:type="dxa"/>
            </w:tcMar>
            <w:vAlign w:val="center"/>
          </w:tcPr>
          <w:p>
            <w:pPr>
              <w:pStyle w:val="TableContents"/>
              <w:spacing w:before="0" w:after="283"/>
              <w:jc w:val="right"/>
              <w:rPr/>
            </w:pPr>
            <w:r>
              <w:rPr/>
              <w:t>9,045</w:t>
            </w:r>
          </w:p>
        </w:tc>
        <w:tc>
          <w:tcPr>
            <w:tcW w:w="245" w:type="dxa"/>
            <w:tcBorders/>
            <w:shd w:fill="CCEEFF" w:val="clear"/>
            <w:tcMar>
              <w:bottom w:w="0" w:type="dxa"/>
            </w:tcMar>
            <w:vAlign w:val="center"/>
          </w:tcPr>
          <w:p>
            <w:pPr>
              <w:pStyle w:val="TableContents"/>
              <w:spacing w:before="0" w:after="283"/>
              <w:jc w:val="left"/>
              <w:rPr>
                <w:position w:val="8"/>
                <w:sz w:val="19"/>
              </w:rPr>
            </w:pPr>
            <w:r>
              <w:rPr>
                <w:position w:val="8"/>
                <w:sz w:val="19"/>
              </w:rPr>
              <w:t>(4)</w:t>
            </w:r>
          </w:p>
        </w:tc>
        <w:tc>
          <w:tcPr>
            <w:tcW w:w="60" w:type="dxa"/>
            <w:tcBorders/>
            <w:shd w:fill="CCEEFF" w:val="clear"/>
            <w:tcMar>
              <w:bottom w:w="0" w:type="dxa"/>
            </w:tcMar>
            <w:vAlign w:val="center"/>
          </w:tcPr>
          <w:p>
            <w:pPr>
              <w:pStyle w:val="TableContents"/>
              <w:spacing w:before="0" w:after="283"/>
              <w:rPr/>
            </w:pPr>
            <w:r>
              <w:rPr/>
              <w:t> </w:t>
            </w:r>
          </w:p>
        </w:tc>
        <w:tc>
          <w:tcPr>
            <w:tcW w:w="232" w:type="dxa"/>
            <w:tcBorders/>
            <w:shd w:fill="CCEEFF" w:val="clear"/>
            <w:tcMar>
              <w:bottom w:w="0" w:type="dxa"/>
            </w:tcMar>
            <w:vAlign w:val="center"/>
          </w:tcPr>
          <w:p>
            <w:pPr>
              <w:pStyle w:val="TableContents"/>
              <w:spacing w:before="0" w:after="283"/>
              <w:jc w:val="left"/>
              <w:rPr/>
            </w:pPr>
            <w:r>
              <w:rPr/>
              <w:t>$</w:t>
            </w:r>
          </w:p>
        </w:tc>
        <w:tc>
          <w:tcPr>
            <w:tcW w:w="733" w:type="dxa"/>
            <w:tcBorders/>
            <w:shd w:fill="CCEEFF" w:val="clear"/>
            <w:tcMar>
              <w:bottom w:w="0" w:type="dxa"/>
            </w:tcMar>
            <w:vAlign w:val="center"/>
          </w:tcPr>
          <w:p>
            <w:pPr>
              <w:pStyle w:val="TableContents"/>
              <w:spacing w:before="0" w:after="283"/>
              <w:jc w:val="right"/>
              <w:rPr/>
            </w:pPr>
            <w:r>
              <w:rPr/>
              <w:t>7.01</w:t>
            </w:r>
          </w:p>
        </w:tc>
        <w:tc>
          <w:tcPr>
            <w:tcW w:w="35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1100" w:type="dxa"/>
            <w:tcBorders/>
            <w:shd w:fill="CCEEFF" w:val="clear"/>
            <w:tcMar>
              <w:bottom w:w="0" w:type="dxa"/>
            </w:tcMar>
            <w:vAlign w:val="center"/>
          </w:tcPr>
          <w:p>
            <w:pPr>
              <w:pStyle w:val="TableContents"/>
              <w:spacing w:before="0" w:after="283"/>
              <w:jc w:val="right"/>
              <w:rPr/>
            </w:pPr>
            <w:r>
              <w:rPr/>
              <w:t>62,953</w:t>
            </w:r>
          </w:p>
        </w:tc>
        <w:tc>
          <w:tcPr>
            <w:tcW w:w="260" w:type="dxa"/>
            <w:tcBorders/>
            <w:shd w:fill="CCEEFF" w:val="clear"/>
            <w:tcMar>
              <w:bottom w:w="0" w:type="dxa"/>
            </w:tcMar>
            <w:vAlign w:val="center"/>
          </w:tcPr>
          <w:p>
            <w:pPr>
              <w:pStyle w:val="TableContents"/>
              <w:spacing w:before="0" w:after="283"/>
              <w:jc w:val="left"/>
              <w:rPr/>
            </w:pPr>
            <w:r>
              <w:rPr/>
              <w:t> </w:t>
            </w:r>
          </w:p>
        </w:tc>
      </w:tr>
      <w:tr>
        <w:trPr/>
        <w:tc>
          <w:tcPr>
            <w:tcW w:w="1115" w:type="dxa"/>
            <w:tcBorders/>
            <w:shd w:fill="FFFFFF" w:val="clear"/>
            <w:tcMar>
              <w:bottom w:w="0" w:type="dxa"/>
            </w:tcMar>
            <w:vAlign w:val="center"/>
          </w:tcPr>
          <w:p>
            <w:pPr>
              <w:pStyle w:val="TableContents"/>
              <w:spacing w:before="0" w:after="283"/>
              <w:rPr/>
            </w:pPr>
            <w:r>
              <w:rPr/>
              <w:t>1/18/2023</w:t>
            </w:r>
          </w:p>
        </w:tc>
        <w:tc>
          <w:tcPr>
            <w:tcW w:w="60" w:type="dxa"/>
            <w:tcBorders/>
            <w:shd w:fill="FFFFFF" w:val="clear"/>
            <w:tcMar>
              <w:bottom w:w="0" w:type="dxa"/>
            </w:tcMar>
            <w:vAlign w:val="center"/>
          </w:tcPr>
          <w:p>
            <w:pPr>
              <w:pStyle w:val="TableContents"/>
              <w:spacing w:before="0" w:after="283"/>
              <w:rPr/>
            </w:pPr>
            <w:r>
              <w:rPr/>
              <w:t> </w:t>
            </w:r>
          </w:p>
        </w:tc>
        <w:tc>
          <w:tcPr>
            <w:tcW w:w="65" w:type="dxa"/>
            <w:tcBorders/>
            <w:shd w:fill="FFFFFF" w:val="clear"/>
            <w:tcMar>
              <w:bottom w:w="0" w:type="dxa"/>
            </w:tcMar>
            <w:vAlign w:val="center"/>
          </w:tcPr>
          <w:p>
            <w:pPr>
              <w:pStyle w:val="TableContents"/>
              <w:spacing w:before="0" w:after="283"/>
              <w:jc w:val="left"/>
              <w:rPr/>
            </w:pPr>
            <w:r>
              <w:rPr/>
              <w:t> </w:t>
            </w:r>
          </w:p>
        </w:tc>
        <w:tc>
          <w:tcPr>
            <w:tcW w:w="1065" w:type="dxa"/>
            <w:tcBorders/>
            <w:shd w:fill="FFFFFF" w:val="clear"/>
            <w:tcMar>
              <w:bottom w:w="0" w:type="dxa"/>
            </w:tcMar>
            <w:vAlign w:val="center"/>
          </w:tcPr>
          <w:p>
            <w:pPr>
              <w:pStyle w:val="TableContents"/>
              <w:spacing w:before="0" w:after="283"/>
              <w:jc w:val="right"/>
              <w:rPr/>
            </w:pPr>
            <w:r>
              <w:rPr/>
              <w:t>2,055</w:t>
            </w:r>
          </w:p>
        </w:tc>
        <w:tc>
          <w:tcPr>
            <w:tcW w:w="245" w:type="dxa"/>
            <w:tcBorders/>
            <w:shd w:fill="FFFFFF" w:val="clear"/>
            <w:tcMar>
              <w:bottom w:w="0" w:type="dxa"/>
            </w:tcMar>
            <w:vAlign w:val="center"/>
          </w:tcPr>
          <w:p>
            <w:pPr>
              <w:pStyle w:val="TableContents"/>
              <w:spacing w:before="0" w:after="283"/>
              <w:jc w:val="left"/>
              <w:rPr>
                <w:position w:val="8"/>
                <w:sz w:val="19"/>
              </w:rPr>
            </w:pPr>
            <w:r>
              <w:rPr>
                <w:position w:val="8"/>
                <w:sz w:val="19"/>
              </w:rPr>
              <w:t>(4)</w:t>
            </w:r>
          </w:p>
        </w:tc>
        <w:tc>
          <w:tcPr>
            <w:tcW w:w="60" w:type="dxa"/>
            <w:tcBorders/>
            <w:shd w:fill="FFFFFF" w:val="clear"/>
            <w:tcMar>
              <w:bottom w:w="0" w:type="dxa"/>
            </w:tcMar>
            <w:vAlign w:val="center"/>
          </w:tcPr>
          <w:p>
            <w:pPr>
              <w:pStyle w:val="TableContents"/>
              <w:spacing w:before="0" w:after="283"/>
              <w:rPr/>
            </w:pPr>
            <w:r>
              <w:rPr/>
              <w:t> </w:t>
            </w:r>
          </w:p>
        </w:tc>
        <w:tc>
          <w:tcPr>
            <w:tcW w:w="232" w:type="dxa"/>
            <w:tcBorders/>
            <w:shd w:fill="FFFFFF" w:val="clear"/>
            <w:tcMar>
              <w:bottom w:w="0" w:type="dxa"/>
            </w:tcMar>
            <w:vAlign w:val="center"/>
          </w:tcPr>
          <w:p>
            <w:pPr>
              <w:pStyle w:val="TableContents"/>
              <w:spacing w:before="0" w:after="283"/>
              <w:jc w:val="left"/>
              <w:rPr/>
            </w:pPr>
            <w:r>
              <w:rPr/>
              <w:t>$</w:t>
            </w:r>
          </w:p>
        </w:tc>
        <w:tc>
          <w:tcPr>
            <w:tcW w:w="733" w:type="dxa"/>
            <w:tcBorders/>
            <w:shd w:fill="FFFFFF" w:val="clear"/>
            <w:tcMar>
              <w:bottom w:w="0" w:type="dxa"/>
            </w:tcMar>
            <w:vAlign w:val="center"/>
          </w:tcPr>
          <w:p>
            <w:pPr>
              <w:pStyle w:val="TableContents"/>
              <w:spacing w:before="0" w:after="283"/>
              <w:jc w:val="right"/>
              <w:rPr/>
            </w:pPr>
            <w:r>
              <w:rPr/>
              <w:t>7.01</w:t>
            </w:r>
          </w:p>
        </w:tc>
        <w:tc>
          <w:tcPr>
            <w:tcW w:w="35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1100" w:type="dxa"/>
            <w:tcBorders/>
            <w:shd w:fill="FFFFFF" w:val="clear"/>
            <w:tcMar>
              <w:bottom w:w="0" w:type="dxa"/>
            </w:tcMar>
            <w:vAlign w:val="center"/>
          </w:tcPr>
          <w:p>
            <w:pPr>
              <w:pStyle w:val="TableContents"/>
              <w:spacing w:before="0" w:after="283"/>
              <w:jc w:val="right"/>
              <w:rPr/>
            </w:pPr>
            <w:r>
              <w:rPr/>
              <w:t>14,303</w:t>
            </w:r>
          </w:p>
        </w:tc>
        <w:tc>
          <w:tcPr>
            <w:tcW w:w="260" w:type="dxa"/>
            <w:tcBorders/>
            <w:shd w:fill="FFFFFF" w:val="clear"/>
            <w:tcMar>
              <w:bottom w:w="0" w:type="dxa"/>
            </w:tcMar>
            <w:vAlign w:val="center"/>
          </w:tcPr>
          <w:p>
            <w:pPr>
              <w:pStyle w:val="TableContents"/>
              <w:spacing w:before="0" w:after="283"/>
              <w:jc w:val="left"/>
              <w:rPr/>
            </w:pPr>
            <w:r>
              <w:rPr/>
              <w:t> </w:t>
            </w:r>
          </w:p>
        </w:tc>
      </w:tr>
      <w:tr>
        <w:trPr/>
        <w:tc>
          <w:tcPr>
            <w:tcW w:w="1115" w:type="dxa"/>
            <w:tcBorders/>
            <w:shd w:fill="CCEEFF" w:val="clear"/>
            <w:tcMar>
              <w:bottom w:w="0" w:type="dxa"/>
            </w:tcMar>
            <w:vAlign w:val="center"/>
          </w:tcPr>
          <w:p>
            <w:pPr>
              <w:pStyle w:val="TableContents"/>
              <w:spacing w:before="0" w:after="283"/>
              <w:rPr/>
            </w:pPr>
            <w:r>
              <w:rPr/>
              <w:t>1/19/2023</w:t>
            </w:r>
          </w:p>
        </w:tc>
        <w:tc>
          <w:tcPr>
            <w:tcW w:w="60" w:type="dxa"/>
            <w:tcBorders/>
            <w:shd w:fill="CCEEFF" w:val="clear"/>
            <w:tcMar>
              <w:bottom w:w="0" w:type="dxa"/>
            </w:tcMar>
            <w:vAlign w:val="center"/>
          </w:tcPr>
          <w:p>
            <w:pPr>
              <w:pStyle w:val="TableContents"/>
              <w:spacing w:before="0" w:after="283"/>
              <w:rPr/>
            </w:pPr>
            <w:r>
              <w:rPr/>
              <w:t> </w:t>
            </w:r>
          </w:p>
        </w:tc>
        <w:tc>
          <w:tcPr>
            <w:tcW w:w="65" w:type="dxa"/>
            <w:tcBorders/>
            <w:shd w:fill="CCEEFF" w:val="clear"/>
            <w:tcMar>
              <w:bottom w:w="0" w:type="dxa"/>
            </w:tcMar>
            <w:vAlign w:val="center"/>
          </w:tcPr>
          <w:p>
            <w:pPr>
              <w:pStyle w:val="TableContents"/>
              <w:spacing w:before="0" w:after="283"/>
              <w:jc w:val="left"/>
              <w:rPr/>
            </w:pPr>
            <w:r>
              <w:rPr/>
              <w:t> </w:t>
            </w:r>
          </w:p>
        </w:tc>
        <w:tc>
          <w:tcPr>
            <w:tcW w:w="1065" w:type="dxa"/>
            <w:tcBorders/>
            <w:shd w:fill="CCEEFF" w:val="clear"/>
            <w:tcMar>
              <w:bottom w:w="0" w:type="dxa"/>
            </w:tcMar>
            <w:vAlign w:val="center"/>
          </w:tcPr>
          <w:p>
            <w:pPr>
              <w:pStyle w:val="TableContents"/>
              <w:spacing w:before="0" w:after="283"/>
              <w:jc w:val="right"/>
              <w:rPr/>
            </w:pPr>
            <w:r>
              <w:rPr/>
              <w:t>9,300</w:t>
            </w:r>
          </w:p>
        </w:tc>
        <w:tc>
          <w:tcPr>
            <w:tcW w:w="245" w:type="dxa"/>
            <w:tcBorders/>
            <w:shd w:fill="CCEEFF" w:val="clear"/>
            <w:tcMar>
              <w:bottom w:w="0" w:type="dxa"/>
            </w:tcMar>
            <w:vAlign w:val="center"/>
          </w:tcPr>
          <w:p>
            <w:pPr>
              <w:pStyle w:val="TableContents"/>
              <w:spacing w:before="0" w:after="283"/>
              <w:jc w:val="left"/>
              <w:rPr>
                <w:position w:val="8"/>
                <w:sz w:val="19"/>
              </w:rPr>
            </w:pPr>
            <w:r>
              <w:rPr>
                <w:position w:val="8"/>
                <w:sz w:val="19"/>
              </w:rPr>
              <w:t>(4)</w:t>
            </w:r>
          </w:p>
        </w:tc>
        <w:tc>
          <w:tcPr>
            <w:tcW w:w="60" w:type="dxa"/>
            <w:tcBorders/>
            <w:shd w:fill="CCEEFF" w:val="clear"/>
            <w:tcMar>
              <w:bottom w:w="0" w:type="dxa"/>
            </w:tcMar>
            <w:vAlign w:val="center"/>
          </w:tcPr>
          <w:p>
            <w:pPr>
              <w:pStyle w:val="TableContents"/>
              <w:spacing w:before="0" w:after="283"/>
              <w:rPr/>
            </w:pPr>
            <w:r>
              <w:rPr/>
              <w:t> </w:t>
            </w:r>
          </w:p>
        </w:tc>
        <w:tc>
          <w:tcPr>
            <w:tcW w:w="232" w:type="dxa"/>
            <w:tcBorders/>
            <w:shd w:fill="CCEEFF" w:val="clear"/>
            <w:tcMar>
              <w:bottom w:w="0" w:type="dxa"/>
            </w:tcMar>
            <w:vAlign w:val="center"/>
          </w:tcPr>
          <w:p>
            <w:pPr>
              <w:pStyle w:val="TableContents"/>
              <w:spacing w:before="0" w:after="283"/>
              <w:jc w:val="left"/>
              <w:rPr/>
            </w:pPr>
            <w:r>
              <w:rPr/>
              <w:t>$</w:t>
            </w:r>
          </w:p>
        </w:tc>
        <w:tc>
          <w:tcPr>
            <w:tcW w:w="733" w:type="dxa"/>
            <w:tcBorders/>
            <w:shd w:fill="CCEEFF" w:val="clear"/>
            <w:tcMar>
              <w:bottom w:w="0" w:type="dxa"/>
            </w:tcMar>
            <w:vAlign w:val="center"/>
          </w:tcPr>
          <w:p>
            <w:pPr>
              <w:pStyle w:val="TableContents"/>
              <w:spacing w:before="0" w:after="283"/>
              <w:jc w:val="right"/>
              <w:rPr/>
            </w:pPr>
            <w:r>
              <w:rPr/>
              <w:t>7.02</w:t>
            </w:r>
          </w:p>
        </w:tc>
        <w:tc>
          <w:tcPr>
            <w:tcW w:w="35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1100" w:type="dxa"/>
            <w:tcBorders/>
            <w:shd w:fill="CCEEFF" w:val="clear"/>
            <w:tcMar>
              <w:bottom w:w="0" w:type="dxa"/>
            </w:tcMar>
            <w:vAlign w:val="center"/>
          </w:tcPr>
          <w:p>
            <w:pPr>
              <w:pStyle w:val="TableContents"/>
              <w:spacing w:before="0" w:after="283"/>
              <w:jc w:val="right"/>
              <w:rPr/>
            </w:pPr>
            <w:r>
              <w:rPr/>
              <w:t>64,821</w:t>
            </w:r>
          </w:p>
        </w:tc>
        <w:tc>
          <w:tcPr>
            <w:tcW w:w="260" w:type="dxa"/>
            <w:tcBorders/>
            <w:shd w:fill="CCEEFF" w:val="clear"/>
            <w:tcMar>
              <w:bottom w:w="0" w:type="dxa"/>
            </w:tcMar>
            <w:vAlign w:val="center"/>
          </w:tcPr>
          <w:p>
            <w:pPr>
              <w:pStyle w:val="TableContents"/>
              <w:spacing w:before="0" w:after="283"/>
              <w:jc w:val="left"/>
              <w:rPr/>
            </w:pPr>
            <w:r>
              <w:rPr/>
              <w:t> </w:t>
            </w:r>
          </w:p>
        </w:tc>
      </w:tr>
      <w:tr>
        <w:trPr/>
        <w:tc>
          <w:tcPr>
            <w:tcW w:w="1115" w:type="dxa"/>
            <w:tcBorders/>
            <w:shd w:fill="FFFFFF" w:val="clear"/>
            <w:tcMar>
              <w:bottom w:w="0" w:type="dxa"/>
            </w:tcMar>
            <w:vAlign w:val="center"/>
          </w:tcPr>
          <w:p>
            <w:pPr>
              <w:pStyle w:val="TableContents"/>
              <w:spacing w:before="0" w:after="283"/>
              <w:rPr/>
            </w:pPr>
            <w:r>
              <w:rPr/>
              <w:t>1/20/2023</w:t>
            </w:r>
          </w:p>
        </w:tc>
        <w:tc>
          <w:tcPr>
            <w:tcW w:w="60" w:type="dxa"/>
            <w:tcBorders/>
            <w:shd w:fill="FFFFFF" w:val="clear"/>
            <w:tcMar>
              <w:bottom w:w="0" w:type="dxa"/>
            </w:tcMar>
            <w:vAlign w:val="center"/>
          </w:tcPr>
          <w:p>
            <w:pPr>
              <w:pStyle w:val="TableContents"/>
              <w:spacing w:before="0" w:after="283"/>
              <w:rPr/>
            </w:pPr>
            <w:r>
              <w:rPr/>
              <w:t> </w:t>
            </w:r>
          </w:p>
        </w:tc>
        <w:tc>
          <w:tcPr>
            <w:tcW w:w="65" w:type="dxa"/>
            <w:tcBorders/>
            <w:shd w:fill="FFFFFF" w:val="clear"/>
            <w:tcMar>
              <w:bottom w:w="0" w:type="dxa"/>
            </w:tcMar>
            <w:vAlign w:val="center"/>
          </w:tcPr>
          <w:p>
            <w:pPr>
              <w:pStyle w:val="TableContents"/>
              <w:spacing w:before="0" w:after="283"/>
              <w:jc w:val="left"/>
              <w:rPr/>
            </w:pPr>
            <w:r>
              <w:rPr/>
              <w:t> </w:t>
            </w:r>
          </w:p>
        </w:tc>
        <w:tc>
          <w:tcPr>
            <w:tcW w:w="1065" w:type="dxa"/>
            <w:tcBorders/>
            <w:shd w:fill="FFFFFF" w:val="clear"/>
            <w:tcMar>
              <w:bottom w:w="0" w:type="dxa"/>
            </w:tcMar>
            <w:vAlign w:val="center"/>
          </w:tcPr>
          <w:p>
            <w:pPr>
              <w:pStyle w:val="TableContents"/>
              <w:spacing w:before="0" w:after="283"/>
              <w:jc w:val="right"/>
              <w:rPr/>
            </w:pPr>
            <w:r>
              <w:rPr/>
              <w:t>1,300</w:t>
            </w:r>
          </w:p>
        </w:tc>
        <w:tc>
          <w:tcPr>
            <w:tcW w:w="245" w:type="dxa"/>
            <w:tcBorders/>
            <w:shd w:fill="FFFFFF" w:val="clear"/>
            <w:tcMar>
              <w:bottom w:w="0" w:type="dxa"/>
            </w:tcMar>
            <w:vAlign w:val="center"/>
          </w:tcPr>
          <w:p>
            <w:pPr>
              <w:pStyle w:val="TableContents"/>
              <w:spacing w:before="0" w:after="283"/>
              <w:jc w:val="left"/>
              <w:rPr>
                <w:position w:val="8"/>
                <w:sz w:val="19"/>
              </w:rPr>
            </w:pPr>
            <w:r>
              <w:rPr>
                <w:position w:val="8"/>
                <w:sz w:val="19"/>
              </w:rPr>
              <w:t>(4)</w:t>
            </w:r>
          </w:p>
        </w:tc>
        <w:tc>
          <w:tcPr>
            <w:tcW w:w="60" w:type="dxa"/>
            <w:tcBorders/>
            <w:shd w:fill="FFFFFF" w:val="clear"/>
            <w:tcMar>
              <w:bottom w:w="0" w:type="dxa"/>
            </w:tcMar>
            <w:vAlign w:val="center"/>
          </w:tcPr>
          <w:p>
            <w:pPr>
              <w:pStyle w:val="TableContents"/>
              <w:spacing w:before="0" w:after="283"/>
              <w:rPr/>
            </w:pPr>
            <w:r>
              <w:rPr/>
              <w:t> </w:t>
            </w:r>
          </w:p>
        </w:tc>
        <w:tc>
          <w:tcPr>
            <w:tcW w:w="232" w:type="dxa"/>
            <w:tcBorders/>
            <w:shd w:fill="FFFFFF" w:val="clear"/>
            <w:tcMar>
              <w:bottom w:w="0" w:type="dxa"/>
            </w:tcMar>
            <w:vAlign w:val="center"/>
          </w:tcPr>
          <w:p>
            <w:pPr>
              <w:pStyle w:val="TableContents"/>
              <w:spacing w:before="0" w:after="283"/>
              <w:jc w:val="left"/>
              <w:rPr/>
            </w:pPr>
            <w:r>
              <w:rPr/>
              <w:t>$</w:t>
            </w:r>
          </w:p>
        </w:tc>
        <w:tc>
          <w:tcPr>
            <w:tcW w:w="733" w:type="dxa"/>
            <w:tcBorders/>
            <w:shd w:fill="FFFFFF" w:val="clear"/>
            <w:tcMar>
              <w:bottom w:w="0" w:type="dxa"/>
            </w:tcMar>
            <w:vAlign w:val="center"/>
          </w:tcPr>
          <w:p>
            <w:pPr>
              <w:pStyle w:val="TableContents"/>
              <w:spacing w:before="0" w:after="283"/>
              <w:jc w:val="right"/>
              <w:rPr/>
            </w:pPr>
            <w:r>
              <w:rPr/>
              <w:t>7.01</w:t>
            </w:r>
          </w:p>
        </w:tc>
        <w:tc>
          <w:tcPr>
            <w:tcW w:w="35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1100" w:type="dxa"/>
            <w:tcBorders/>
            <w:shd w:fill="FFFFFF" w:val="clear"/>
            <w:tcMar>
              <w:bottom w:w="0" w:type="dxa"/>
            </w:tcMar>
            <w:vAlign w:val="center"/>
          </w:tcPr>
          <w:p>
            <w:pPr>
              <w:pStyle w:val="TableContents"/>
              <w:spacing w:before="0" w:after="283"/>
              <w:jc w:val="right"/>
              <w:rPr/>
            </w:pPr>
            <w:r>
              <w:rPr/>
              <w:t>9,048</w:t>
            </w:r>
          </w:p>
        </w:tc>
        <w:tc>
          <w:tcPr>
            <w:tcW w:w="260" w:type="dxa"/>
            <w:tcBorders/>
            <w:shd w:fill="FFFFFF" w:val="clear"/>
            <w:tcMar>
              <w:bottom w:w="0" w:type="dxa"/>
            </w:tcMar>
            <w:vAlign w:val="center"/>
          </w:tcPr>
          <w:p>
            <w:pPr>
              <w:pStyle w:val="TableContents"/>
              <w:spacing w:before="0" w:after="283"/>
              <w:jc w:val="left"/>
              <w:rPr/>
            </w:pPr>
            <w:r>
              <w:rPr/>
              <w:t> </w:t>
            </w:r>
          </w:p>
        </w:tc>
      </w:tr>
      <w:tr>
        <w:trPr/>
        <w:tc>
          <w:tcPr>
            <w:tcW w:w="1115" w:type="dxa"/>
            <w:tcBorders/>
            <w:shd w:fill="CCEEFF" w:val="clear"/>
            <w:tcMar>
              <w:bottom w:w="0" w:type="dxa"/>
            </w:tcMar>
            <w:vAlign w:val="center"/>
          </w:tcPr>
          <w:p>
            <w:pPr>
              <w:pStyle w:val="TableContents"/>
              <w:spacing w:before="0" w:after="283"/>
              <w:rPr/>
            </w:pPr>
            <w:r>
              <w:rPr/>
              <w:t>1/23/2023</w:t>
            </w:r>
          </w:p>
        </w:tc>
        <w:tc>
          <w:tcPr>
            <w:tcW w:w="60" w:type="dxa"/>
            <w:tcBorders/>
            <w:shd w:fill="CCEEFF" w:val="clear"/>
            <w:tcMar>
              <w:bottom w:w="0" w:type="dxa"/>
            </w:tcMar>
            <w:vAlign w:val="center"/>
          </w:tcPr>
          <w:p>
            <w:pPr>
              <w:pStyle w:val="TableContents"/>
              <w:spacing w:before="0" w:after="283"/>
              <w:rPr/>
            </w:pPr>
            <w:r>
              <w:rPr/>
              <w:t> </w:t>
            </w:r>
          </w:p>
        </w:tc>
        <w:tc>
          <w:tcPr>
            <w:tcW w:w="65" w:type="dxa"/>
            <w:tcBorders/>
            <w:shd w:fill="CCEEFF" w:val="clear"/>
            <w:tcMar>
              <w:bottom w:w="0" w:type="dxa"/>
            </w:tcMar>
            <w:vAlign w:val="center"/>
          </w:tcPr>
          <w:p>
            <w:pPr>
              <w:pStyle w:val="TableContents"/>
              <w:spacing w:before="0" w:after="283"/>
              <w:jc w:val="left"/>
              <w:rPr/>
            </w:pPr>
            <w:r>
              <w:rPr/>
              <w:t> </w:t>
            </w:r>
          </w:p>
        </w:tc>
        <w:tc>
          <w:tcPr>
            <w:tcW w:w="1065" w:type="dxa"/>
            <w:tcBorders/>
            <w:shd w:fill="CCEEFF" w:val="clear"/>
            <w:tcMar>
              <w:bottom w:w="0" w:type="dxa"/>
            </w:tcMar>
            <w:vAlign w:val="center"/>
          </w:tcPr>
          <w:p>
            <w:pPr>
              <w:pStyle w:val="TableContents"/>
              <w:spacing w:before="0" w:after="283"/>
              <w:jc w:val="right"/>
              <w:rPr/>
            </w:pPr>
            <w:r>
              <w:rPr/>
              <w:t>7,300</w:t>
            </w:r>
          </w:p>
        </w:tc>
        <w:tc>
          <w:tcPr>
            <w:tcW w:w="245" w:type="dxa"/>
            <w:tcBorders/>
            <w:shd w:fill="CCEEFF" w:val="clear"/>
            <w:tcMar>
              <w:bottom w:w="0" w:type="dxa"/>
            </w:tcMar>
            <w:vAlign w:val="center"/>
          </w:tcPr>
          <w:p>
            <w:pPr>
              <w:pStyle w:val="TableContents"/>
              <w:spacing w:before="0" w:after="283"/>
              <w:jc w:val="left"/>
              <w:rPr>
                <w:position w:val="8"/>
                <w:sz w:val="19"/>
              </w:rPr>
            </w:pPr>
            <w:r>
              <w:rPr>
                <w:position w:val="8"/>
                <w:sz w:val="19"/>
              </w:rPr>
              <w:t>(4)</w:t>
            </w:r>
          </w:p>
        </w:tc>
        <w:tc>
          <w:tcPr>
            <w:tcW w:w="60" w:type="dxa"/>
            <w:tcBorders/>
            <w:shd w:fill="CCEEFF" w:val="clear"/>
            <w:tcMar>
              <w:bottom w:w="0" w:type="dxa"/>
            </w:tcMar>
            <w:vAlign w:val="center"/>
          </w:tcPr>
          <w:p>
            <w:pPr>
              <w:pStyle w:val="TableContents"/>
              <w:spacing w:before="0" w:after="283"/>
              <w:rPr/>
            </w:pPr>
            <w:r>
              <w:rPr/>
              <w:t> </w:t>
            </w:r>
          </w:p>
        </w:tc>
        <w:tc>
          <w:tcPr>
            <w:tcW w:w="232" w:type="dxa"/>
            <w:tcBorders/>
            <w:shd w:fill="CCEEFF" w:val="clear"/>
            <w:tcMar>
              <w:bottom w:w="0" w:type="dxa"/>
            </w:tcMar>
            <w:vAlign w:val="center"/>
          </w:tcPr>
          <w:p>
            <w:pPr>
              <w:pStyle w:val="TableContents"/>
              <w:spacing w:before="0" w:after="283"/>
              <w:jc w:val="left"/>
              <w:rPr/>
            </w:pPr>
            <w:r>
              <w:rPr/>
              <w:t>$</w:t>
            </w:r>
          </w:p>
        </w:tc>
        <w:tc>
          <w:tcPr>
            <w:tcW w:w="733" w:type="dxa"/>
            <w:tcBorders/>
            <w:shd w:fill="CCEEFF" w:val="clear"/>
            <w:tcMar>
              <w:bottom w:w="0" w:type="dxa"/>
            </w:tcMar>
            <w:vAlign w:val="center"/>
          </w:tcPr>
          <w:p>
            <w:pPr>
              <w:pStyle w:val="TableContents"/>
              <w:spacing w:before="0" w:after="283"/>
              <w:jc w:val="right"/>
              <w:rPr/>
            </w:pPr>
            <w:r>
              <w:rPr/>
              <w:t>7.02</w:t>
            </w:r>
          </w:p>
        </w:tc>
        <w:tc>
          <w:tcPr>
            <w:tcW w:w="35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1100" w:type="dxa"/>
            <w:tcBorders/>
            <w:shd w:fill="CCEEFF" w:val="clear"/>
            <w:tcMar>
              <w:bottom w:w="0" w:type="dxa"/>
            </w:tcMar>
            <w:vAlign w:val="center"/>
          </w:tcPr>
          <w:p>
            <w:pPr>
              <w:pStyle w:val="TableContents"/>
              <w:spacing w:before="0" w:after="283"/>
              <w:jc w:val="right"/>
              <w:rPr/>
            </w:pPr>
            <w:r>
              <w:rPr/>
              <w:t>50,881</w:t>
            </w:r>
          </w:p>
        </w:tc>
        <w:tc>
          <w:tcPr>
            <w:tcW w:w="260" w:type="dxa"/>
            <w:tcBorders/>
            <w:shd w:fill="CCEEFF" w:val="clear"/>
            <w:tcMar>
              <w:bottom w:w="0" w:type="dxa"/>
            </w:tcMar>
            <w:vAlign w:val="center"/>
          </w:tcPr>
          <w:p>
            <w:pPr>
              <w:pStyle w:val="TableContents"/>
              <w:spacing w:before="0" w:after="283"/>
              <w:jc w:val="left"/>
              <w:rPr/>
            </w:pPr>
            <w:r>
              <w:rPr/>
              <w:t> </w:t>
            </w:r>
          </w:p>
        </w:tc>
      </w:tr>
      <w:tr>
        <w:trPr/>
        <w:tc>
          <w:tcPr>
            <w:tcW w:w="1115" w:type="dxa"/>
            <w:tcBorders/>
            <w:shd w:fill="FFFFFF" w:val="clear"/>
            <w:tcMar>
              <w:bottom w:w="0" w:type="dxa"/>
            </w:tcMar>
            <w:vAlign w:val="center"/>
          </w:tcPr>
          <w:p>
            <w:pPr>
              <w:pStyle w:val="TableContents"/>
              <w:spacing w:before="0" w:after="283"/>
              <w:rPr/>
            </w:pPr>
            <w:r>
              <w:rPr/>
              <w:t>1/24/2023</w:t>
            </w:r>
          </w:p>
        </w:tc>
        <w:tc>
          <w:tcPr>
            <w:tcW w:w="60" w:type="dxa"/>
            <w:tcBorders/>
            <w:shd w:fill="FFFFFF" w:val="clear"/>
            <w:tcMar>
              <w:bottom w:w="0" w:type="dxa"/>
            </w:tcMar>
            <w:vAlign w:val="center"/>
          </w:tcPr>
          <w:p>
            <w:pPr>
              <w:pStyle w:val="TableContents"/>
              <w:spacing w:before="0" w:after="283"/>
              <w:rPr/>
            </w:pPr>
            <w:r>
              <w:rPr/>
              <w:t> </w:t>
            </w:r>
          </w:p>
        </w:tc>
        <w:tc>
          <w:tcPr>
            <w:tcW w:w="65" w:type="dxa"/>
            <w:tcBorders/>
            <w:shd w:fill="FFFFFF" w:val="clear"/>
            <w:tcMar>
              <w:bottom w:w="0" w:type="dxa"/>
            </w:tcMar>
            <w:vAlign w:val="center"/>
          </w:tcPr>
          <w:p>
            <w:pPr>
              <w:pStyle w:val="TableContents"/>
              <w:spacing w:before="0" w:after="283"/>
              <w:jc w:val="left"/>
              <w:rPr/>
            </w:pPr>
            <w:r>
              <w:rPr/>
              <w:t> </w:t>
            </w:r>
          </w:p>
        </w:tc>
        <w:tc>
          <w:tcPr>
            <w:tcW w:w="1065" w:type="dxa"/>
            <w:tcBorders/>
            <w:shd w:fill="FFFFFF" w:val="clear"/>
            <w:tcMar>
              <w:bottom w:w="0" w:type="dxa"/>
            </w:tcMar>
            <w:vAlign w:val="center"/>
          </w:tcPr>
          <w:p>
            <w:pPr>
              <w:pStyle w:val="TableContents"/>
              <w:spacing w:before="0" w:after="283"/>
              <w:jc w:val="right"/>
              <w:rPr/>
            </w:pPr>
            <w:r>
              <w:rPr/>
              <w:t>257,200</w:t>
            </w:r>
          </w:p>
        </w:tc>
        <w:tc>
          <w:tcPr>
            <w:tcW w:w="245"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232" w:type="dxa"/>
            <w:tcBorders/>
            <w:shd w:fill="FFFFFF" w:val="clear"/>
            <w:tcMar>
              <w:bottom w:w="0" w:type="dxa"/>
            </w:tcMar>
            <w:vAlign w:val="center"/>
          </w:tcPr>
          <w:p>
            <w:pPr>
              <w:pStyle w:val="TableContents"/>
              <w:spacing w:before="0" w:after="283"/>
              <w:jc w:val="left"/>
              <w:rPr/>
            </w:pPr>
            <w:r>
              <w:rPr/>
              <w:t>$</w:t>
            </w:r>
          </w:p>
        </w:tc>
        <w:tc>
          <w:tcPr>
            <w:tcW w:w="733" w:type="dxa"/>
            <w:tcBorders/>
            <w:shd w:fill="FFFFFF" w:val="clear"/>
            <w:tcMar>
              <w:bottom w:w="0" w:type="dxa"/>
            </w:tcMar>
            <w:vAlign w:val="center"/>
          </w:tcPr>
          <w:p>
            <w:pPr>
              <w:pStyle w:val="TableContents"/>
              <w:spacing w:before="0" w:after="283"/>
              <w:jc w:val="right"/>
              <w:rPr/>
            </w:pPr>
            <w:r>
              <w:rPr/>
              <w:t>7.00</w:t>
            </w:r>
          </w:p>
        </w:tc>
        <w:tc>
          <w:tcPr>
            <w:tcW w:w="350" w:type="dxa"/>
            <w:tcBorders/>
            <w:shd w:fill="FFFFFF" w:val="clear"/>
            <w:tcMar>
              <w:bottom w:w="0" w:type="dxa"/>
            </w:tcMar>
            <w:vAlign w:val="center"/>
          </w:tcPr>
          <w:p>
            <w:pPr>
              <w:pStyle w:val="TableContents"/>
              <w:spacing w:before="0" w:after="283"/>
              <w:jc w:val="left"/>
              <w:rPr>
                <w:position w:val="8"/>
                <w:sz w:val="19"/>
              </w:rPr>
            </w:pPr>
            <w:r>
              <w:rPr>
                <w:position w:val="8"/>
                <w:sz w:val="19"/>
              </w:rPr>
              <w:t>(5)</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1100" w:type="dxa"/>
            <w:tcBorders/>
            <w:shd w:fill="FFFFFF" w:val="clear"/>
            <w:tcMar>
              <w:bottom w:w="0" w:type="dxa"/>
            </w:tcMar>
            <w:vAlign w:val="center"/>
          </w:tcPr>
          <w:p>
            <w:pPr>
              <w:pStyle w:val="TableContents"/>
              <w:spacing w:before="0" w:after="283"/>
              <w:jc w:val="right"/>
              <w:rPr/>
            </w:pPr>
            <w:r>
              <w:rPr/>
              <w:t>1,787,540</w:t>
            </w:r>
          </w:p>
        </w:tc>
        <w:tc>
          <w:tcPr>
            <w:tcW w:w="260" w:type="dxa"/>
            <w:tcBorders/>
            <w:shd w:fill="FFFFFF" w:val="clear"/>
            <w:tcMar>
              <w:bottom w:w="0" w:type="dxa"/>
            </w:tcMar>
            <w:vAlign w:val="center"/>
          </w:tcPr>
          <w:p>
            <w:pPr>
              <w:pStyle w:val="TableContents"/>
              <w:spacing w:before="0" w:after="283"/>
              <w:jc w:val="left"/>
              <w:rPr/>
            </w:pPr>
            <w:r>
              <w:rPr/>
              <w:t> </w:t>
            </w:r>
          </w:p>
        </w:tc>
      </w:tr>
      <w:tr>
        <w:trPr/>
        <w:tc>
          <w:tcPr>
            <w:tcW w:w="1115" w:type="dxa"/>
            <w:tcBorders/>
            <w:shd w:fill="CCEEFF" w:val="clear"/>
            <w:tcMar>
              <w:bottom w:w="0" w:type="dxa"/>
            </w:tcMar>
            <w:vAlign w:val="center"/>
          </w:tcPr>
          <w:p>
            <w:pPr>
              <w:pStyle w:val="TableContents"/>
              <w:spacing w:before="0" w:after="283"/>
              <w:rPr/>
            </w:pPr>
            <w:r>
              <w:rPr/>
              <w:t>1/25/2023</w:t>
            </w:r>
          </w:p>
        </w:tc>
        <w:tc>
          <w:tcPr>
            <w:tcW w:w="60" w:type="dxa"/>
            <w:tcBorders/>
            <w:shd w:fill="CCEEFF" w:val="clear"/>
            <w:tcMar>
              <w:bottom w:w="0" w:type="dxa"/>
            </w:tcMar>
            <w:vAlign w:val="center"/>
          </w:tcPr>
          <w:p>
            <w:pPr>
              <w:pStyle w:val="TableContents"/>
              <w:spacing w:before="0" w:after="283"/>
              <w:rPr/>
            </w:pPr>
            <w:r>
              <w:rPr/>
              <w:t> </w:t>
            </w:r>
          </w:p>
        </w:tc>
        <w:tc>
          <w:tcPr>
            <w:tcW w:w="65" w:type="dxa"/>
            <w:tcBorders/>
            <w:shd w:fill="CCEEFF" w:val="clear"/>
            <w:tcMar>
              <w:bottom w:w="0" w:type="dxa"/>
            </w:tcMar>
            <w:vAlign w:val="center"/>
          </w:tcPr>
          <w:p>
            <w:pPr>
              <w:pStyle w:val="TableContents"/>
              <w:spacing w:before="0" w:after="283"/>
              <w:jc w:val="left"/>
              <w:rPr/>
            </w:pPr>
            <w:r>
              <w:rPr/>
              <w:t> </w:t>
            </w:r>
          </w:p>
        </w:tc>
        <w:tc>
          <w:tcPr>
            <w:tcW w:w="1065" w:type="dxa"/>
            <w:tcBorders/>
            <w:shd w:fill="CCEEFF" w:val="clear"/>
            <w:tcMar>
              <w:bottom w:w="0" w:type="dxa"/>
            </w:tcMar>
            <w:vAlign w:val="center"/>
          </w:tcPr>
          <w:p>
            <w:pPr>
              <w:pStyle w:val="TableContents"/>
              <w:spacing w:before="0" w:after="283"/>
              <w:jc w:val="right"/>
              <w:rPr/>
            </w:pPr>
            <w:r>
              <w:rPr/>
              <w:t>251,500</w:t>
            </w:r>
          </w:p>
        </w:tc>
        <w:tc>
          <w:tcPr>
            <w:tcW w:w="24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32" w:type="dxa"/>
            <w:tcBorders/>
            <w:shd w:fill="CCEEFF" w:val="clear"/>
            <w:tcMar>
              <w:bottom w:w="0" w:type="dxa"/>
            </w:tcMar>
            <w:vAlign w:val="center"/>
          </w:tcPr>
          <w:p>
            <w:pPr>
              <w:pStyle w:val="TableContents"/>
              <w:spacing w:before="0" w:after="283"/>
              <w:jc w:val="left"/>
              <w:rPr/>
            </w:pPr>
            <w:r>
              <w:rPr/>
              <w:t>$</w:t>
            </w:r>
          </w:p>
        </w:tc>
        <w:tc>
          <w:tcPr>
            <w:tcW w:w="733" w:type="dxa"/>
            <w:tcBorders/>
            <w:shd w:fill="CCEEFF" w:val="clear"/>
            <w:tcMar>
              <w:bottom w:w="0" w:type="dxa"/>
            </w:tcMar>
            <w:vAlign w:val="center"/>
          </w:tcPr>
          <w:p>
            <w:pPr>
              <w:pStyle w:val="TableContents"/>
              <w:spacing w:before="0" w:after="283"/>
              <w:jc w:val="right"/>
              <w:rPr/>
            </w:pPr>
            <w:r>
              <w:rPr/>
              <w:t>7.00</w:t>
            </w:r>
          </w:p>
        </w:tc>
        <w:tc>
          <w:tcPr>
            <w:tcW w:w="350" w:type="dxa"/>
            <w:tcBorders/>
            <w:shd w:fill="CCEEFF" w:val="clear"/>
            <w:tcMar>
              <w:bottom w:w="0" w:type="dxa"/>
            </w:tcMar>
            <w:vAlign w:val="center"/>
          </w:tcPr>
          <w:p>
            <w:pPr>
              <w:pStyle w:val="TableContents"/>
              <w:spacing w:before="0" w:after="283"/>
              <w:jc w:val="left"/>
              <w:rPr>
                <w:position w:val="8"/>
                <w:sz w:val="19"/>
              </w:rPr>
            </w:pPr>
            <w:r>
              <w:rPr>
                <w:position w:val="8"/>
                <w:sz w:val="19"/>
              </w:rPr>
              <w:t>(6)</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1100" w:type="dxa"/>
            <w:tcBorders/>
            <w:shd w:fill="CCEEFF" w:val="clear"/>
            <w:tcMar>
              <w:bottom w:w="0" w:type="dxa"/>
            </w:tcMar>
            <w:vAlign w:val="center"/>
          </w:tcPr>
          <w:p>
            <w:pPr>
              <w:pStyle w:val="TableContents"/>
              <w:spacing w:before="0" w:after="283"/>
              <w:jc w:val="right"/>
              <w:rPr/>
            </w:pPr>
            <w:r>
              <w:rPr/>
              <w:t>1,747,925</w:t>
            </w:r>
          </w:p>
        </w:tc>
        <w:tc>
          <w:tcPr>
            <w:tcW w:w="260" w:type="dxa"/>
            <w:tcBorders/>
            <w:shd w:fill="CCEEFF" w:val="clear"/>
            <w:tcMar>
              <w:bottom w:w="0" w:type="dxa"/>
            </w:tcMar>
            <w:vAlign w:val="center"/>
          </w:tcPr>
          <w:p>
            <w:pPr>
              <w:pStyle w:val="TableContents"/>
              <w:spacing w:before="0" w:after="283"/>
              <w:jc w:val="left"/>
              <w:rPr/>
            </w:pPr>
            <w:r>
              <w:rPr/>
              <w:t> </w:t>
            </w:r>
          </w:p>
        </w:tc>
      </w:tr>
      <w:tr>
        <w:trPr/>
        <w:tc>
          <w:tcPr>
            <w:tcW w:w="1115" w:type="dxa"/>
            <w:tcBorders/>
            <w:shd w:fill="FFFFFF" w:val="clear"/>
            <w:tcMar>
              <w:bottom w:w="0" w:type="dxa"/>
            </w:tcMar>
            <w:vAlign w:val="center"/>
          </w:tcPr>
          <w:p>
            <w:pPr>
              <w:pStyle w:val="TableContents"/>
              <w:spacing w:before="0" w:after="283"/>
              <w:rPr/>
            </w:pPr>
            <w:r>
              <w:rPr/>
              <w:t>1/26/2023</w:t>
            </w:r>
          </w:p>
        </w:tc>
        <w:tc>
          <w:tcPr>
            <w:tcW w:w="60" w:type="dxa"/>
            <w:tcBorders/>
            <w:shd w:fill="FFFFFF" w:val="clear"/>
            <w:tcMar>
              <w:bottom w:w="0" w:type="dxa"/>
            </w:tcMar>
            <w:vAlign w:val="center"/>
          </w:tcPr>
          <w:p>
            <w:pPr>
              <w:pStyle w:val="TableContents"/>
              <w:spacing w:before="0" w:after="283"/>
              <w:rPr/>
            </w:pPr>
            <w:r>
              <w:rPr/>
              <w:t> </w:t>
            </w:r>
          </w:p>
        </w:tc>
        <w:tc>
          <w:tcPr>
            <w:tcW w:w="65" w:type="dxa"/>
            <w:tcBorders/>
            <w:shd w:fill="FFFFFF" w:val="clear"/>
            <w:tcMar>
              <w:bottom w:w="0" w:type="dxa"/>
            </w:tcMar>
            <w:vAlign w:val="center"/>
          </w:tcPr>
          <w:p>
            <w:pPr>
              <w:pStyle w:val="TableContents"/>
              <w:spacing w:before="0" w:after="283"/>
              <w:jc w:val="left"/>
              <w:rPr/>
            </w:pPr>
            <w:r>
              <w:rPr/>
              <w:t> </w:t>
            </w:r>
          </w:p>
        </w:tc>
        <w:tc>
          <w:tcPr>
            <w:tcW w:w="1065" w:type="dxa"/>
            <w:tcBorders/>
            <w:shd w:fill="FFFFFF" w:val="clear"/>
            <w:tcMar>
              <w:bottom w:w="0" w:type="dxa"/>
            </w:tcMar>
            <w:vAlign w:val="center"/>
          </w:tcPr>
          <w:p>
            <w:pPr>
              <w:pStyle w:val="TableContents"/>
              <w:spacing w:before="0" w:after="283"/>
              <w:jc w:val="right"/>
              <w:rPr/>
            </w:pPr>
            <w:r>
              <w:rPr/>
              <w:t>900</w:t>
            </w:r>
          </w:p>
        </w:tc>
        <w:tc>
          <w:tcPr>
            <w:tcW w:w="245" w:type="dxa"/>
            <w:tcBorders/>
            <w:shd w:fill="FFFFFF" w:val="clear"/>
            <w:tcMar>
              <w:bottom w:w="0" w:type="dxa"/>
            </w:tcMar>
            <w:vAlign w:val="center"/>
          </w:tcPr>
          <w:p>
            <w:pPr>
              <w:pStyle w:val="TableContents"/>
              <w:spacing w:before="0" w:after="283"/>
              <w:jc w:val="left"/>
              <w:rPr>
                <w:position w:val="8"/>
                <w:sz w:val="19"/>
              </w:rPr>
            </w:pPr>
            <w:r>
              <w:rPr>
                <w:position w:val="8"/>
                <w:sz w:val="19"/>
              </w:rPr>
              <w:t>(4)</w:t>
            </w:r>
          </w:p>
        </w:tc>
        <w:tc>
          <w:tcPr>
            <w:tcW w:w="60" w:type="dxa"/>
            <w:tcBorders/>
            <w:shd w:fill="FFFFFF" w:val="clear"/>
            <w:tcMar>
              <w:bottom w:w="0" w:type="dxa"/>
            </w:tcMar>
            <w:vAlign w:val="center"/>
          </w:tcPr>
          <w:p>
            <w:pPr>
              <w:pStyle w:val="TableContents"/>
              <w:spacing w:before="0" w:after="283"/>
              <w:rPr/>
            </w:pPr>
            <w:r>
              <w:rPr/>
              <w:t> </w:t>
            </w:r>
          </w:p>
        </w:tc>
        <w:tc>
          <w:tcPr>
            <w:tcW w:w="232" w:type="dxa"/>
            <w:tcBorders/>
            <w:shd w:fill="FFFFFF" w:val="clear"/>
            <w:tcMar>
              <w:bottom w:w="0" w:type="dxa"/>
            </w:tcMar>
            <w:vAlign w:val="center"/>
          </w:tcPr>
          <w:p>
            <w:pPr>
              <w:pStyle w:val="TableContents"/>
              <w:spacing w:before="0" w:after="283"/>
              <w:jc w:val="left"/>
              <w:rPr/>
            </w:pPr>
            <w:r>
              <w:rPr/>
              <w:t>$</w:t>
            </w:r>
          </w:p>
        </w:tc>
        <w:tc>
          <w:tcPr>
            <w:tcW w:w="733" w:type="dxa"/>
            <w:tcBorders/>
            <w:shd w:fill="FFFFFF" w:val="clear"/>
            <w:tcMar>
              <w:bottom w:w="0" w:type="dxa"/>
            </w:tcMar>
            <w:vAlign w:val="center"/>
          </w:tcPr>
          <w:p>
            <w:pPr>
              <w:pStyle w:val="TableContents"/>
              <w:spacing w:before="0" w:after="283"/>
              <w:jc w:val="right"/>
              <w:rPr/>
            </w:pPr>
            <w:r>
              <w:rPr/>
              <w:t>7.05</w:t>
            </w:r>
          </w:p>
        </w:tc>
        <w:tc>
          <w:tcPr>
            <w:tcW w:w="35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1100" w:type="dxa"/>
            <w:tcBorders/>
            <w:shd w:fill="FFFFFF" w:val="clear"/>
            <w:tcMar>
              <w:bottom w:w="0" w:type="dxa"/>
            </w:tcMar>
            <w:vAlign w:val="center"/>
          </w:tcPr>
          <w:p>
            <w:pPr>
              <w:pStyle w:val="TableContents"/>
              <w:spacing w:before="0" w:after="283"/>
              <w:jc w:val="right"/>
              <w:rPr/>
            </w:pPr>
            <w:r>
              <w:rPr/>
              <w:t>6,300</w:t>
            </w:r>
          </w:p>
        </w:tc>
        <w:tc>
          <w:tcPr>
            <w:tcW w:w="260" w:type="dxa"/>
            <w:tcBorders/>
            <w:shd w:fill="FFFFFF" w:val="clear"/>
            <w:tcMar>
              <w:bottom w:w="0" w:type="dxa"/>
            </w:tcMar>
            <w:vAlign w:val="center"/>
          </w:tcPr>
          <w:p>
            <w:pPr>
              <w:pStyle w:val="TableContents"/>
              <w:spacing w:before="0" w:after="283"/>
              <w:jc w:val="left"/>
              <w:rPr/>
            </w:pPr>
            <w:r>
              <w:rPr/>
              <w:t> </w:t>
            </w:r>
          </w:p>
        </w:tc>
      </w:tr>
      <w:tr>
        <w:trPr/>
        <w:tc>
          <w:tcPr>
            <w:tcW w:w="1115" w:type="dxa"/>
            <w:tcBorders/>
            <w:shd w:fill="CCEEFF" w:val="clear"/>
            <w:tcMar>
              <w:bottom w:w="0" w:type="dxa"/>
            </w:tcMar>
            <w:vAlign w:val="center"/>
          </w:tcPr>
          <w:p>
            <w:pPr>
              <w:pStyle w:val="TableContents"/>
              <w:spacing w:before="0" w:after="283"/>
              <w:rPr/>
            </w:pPr>
            <w:r>
              <w:rPr/>
              <w:t>1/27/2023</w:t>
            </w:r>
          </w:p>
        </w:tc>
        <w:tc>
          <w:tcPr>
            <w:tcW w:w="60" w:type="dxa"/>
            <w:tcBorders/>
            <w:shd w:fill="CCEEFF" w:val="clear"/>
            <w:tcMar>
              <w:bottom w:w="0" w:type="dxa"/>
            </w:tcMar>
            <w:vAlign w:val="center"/>
          </w:tcPr>
          <w:p>
            <w:pPr>
              <w:pStyle w:val="TableContents"/>
              <w:spacing w:before="0" w:after="283"/>
              <w:rPr/>
            </w:pPr>
            <w:r>
              <w:rPr/>
              <w:t> </w:t>
            </w:r>
          </w:p>
        </w:tc>
        <w:tc>
          <w:tcPr>
            <w:tcW w:w="65" w:type="dxa"/>
            <w:tcBorders/>
            <w:shd w:fill="CCEEFF" w:val="clear"/>
            <w:tcMar>
              <w:bottom w:w="0" w:type="dxa"/>
            </w:tcMar>
            <w:vAlign w:val="center"/>
          </w:tcPr>
          <w:p>
            <w:pPr>
              <w:pStyle w:val="TableContents"/>
              <w:spacing w:before="0" w:after="283"/>
              <w:jc w:val="left"/>
              <w:rPr/>
            </w:pPr>
            <w:r>
              <w:rPr/>
              <w:t> </w:t>
            </w:r>
          </w:p>
        </w:tc>
        <w:tc>
          <w:tcPr>
            <w:tcW w:w="1065" w:type="dxa"/>
            <w:tcBorders/>
            <w:shd w:fill="CCEEFF" w:val="clear"/>
            <w:tcMar>
              <w:bottom w:w="0" w:type="dxa"/>
            </w:tcMar>
            <w:vAlign w:val="center"/>
          </w:tcPr>
          <w:p>
            <w:pPr>
              <w:pStyle w:val="TableContents"/>
              <w:spacing w:before="0" w:after="283"/>
              <w:jc w:val="right"/>
              <w:rPr/>
            </w:pPr>
            <w:r>
              <w:rPr/>
              <w:t>1,800</w:t>
            </w:r>
          </w:p>
        </w:tc>
        <w:tc>
          <w:tcPr>
            <w:tcW w:w="245" w:type="dxa"/>
            <w:tcBorders/>
            <w:shd w:fill="CCEEFF" w:val="clear"/>
            <w:tcMar>
              <w:bottom w:w="0" w:type="dxa"/>
            </w:tcMar>
            <w:vAlign w:val="center"/>
          </w:tcPr>
          <w:p>
            <w:pPr>
              <w:pStyle w:val="TableContents"/>
              <w:spacing w:before="0" w:after="283"/>
              <w:jc w:val="left"/>
              <w:rPr>
                <w:position w:val="8"/>
                <w:sz w:val="19"/>
              </w:rPr>
            </w:pPr>
            <w:r>
              <w:rPr>
                <w:position w:val="8"/>
                <w:sz w:val="19"/>
              </w:rPr>
              <w:t>(4)</w:t>
            </w:r>
          </w:p>
        </w:tc>
        <w:tc>
          <w:tcPr>
            <w:tcW w:w="60" w:type="dxa"/>
            <w:tcBorders/>
            <w:shd w:fill="CCEEFF" w:val="clear"/>
            <w:tcMar>
              <w:bottom w:w="0" w:type="dxa"/>
            </w:tcMar>
            <w:vAlign w:val="center"/>
          </w:tcPr>
          <w:p>
            <w:pPr>
              <w:pStyle w:val="TableContents"/>
              <w:spacing w:before="0" w:after="283"/>
              <w:rPr/>
            </w:pPr>
            <w:r>
              <w:rPr/>
              <w:t> </w:t>
            </w:r>
          </w:p>
        </w:tc>
        <w:tc>
          <w:tcPr>
            <w:tcW w:w="232" w:type="dxa"/>
            <w:tcBorders/>
            <w:shd w:fill="CCEEFF" w:val="clear"/>
            <w:tcMar>
              <w:bottom w:w="0" w:type="dxa"/>
            </w:tcMar>
            <w:vAlign w:val="center"/>
          </w:tcPr>
          <w:p>
            <w:pPr>
              <w:pStyle w:val="TableContents"/>
              <w:spacing w:before="0" w:after="283"/>
              <w:jc w:val="left"/>
              <w:rPr/>
            </w:pPr>
            <w:r>
              <w:rPr/>
              <w:t>$</w:t>
            </w:r>
          </w:p>
        </w:tc>
        <w:tc>
          <w:tcPr>
            <w:tcW w:w="733" w:type="dxa"/>
            <w:tcBorders/>
            <w:shd w:fill="CCEEFF" w:val="clear"/>
            <w:tcMar>
              <w:bottom w:w="0" w:type="dxa"/>
            </w:tcMar>
            <w:vAlign w:val="center"/>
          </w:tcPr>
          <w:p>
            <w:pPr>
              <w:pStyle w:val="TableContents"/>
              <w:spacing w:before="0" w:after="283"/>
              <w:jc w:val="right"/>
              <w:rPr/>
            </w:pPr>
            <w:r>
              <w:rPr/>
              <w:t>7.01</w:t>
            </w:r>
          </w:p>
        </w:tc>
        <w:tc>
          <w:tcPr>
            <w:tcW w:w="35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1100" w:type="dxa"/>
            <w:tcBorders/>
            <w:shd w:fill="CCEEFF" w:val="clear"/>
            <w:tcMar>
              <w:bottom w:w="0" w:type="dxa"/>
            </w:tcMar>
            <w:vAlign w:val="center"/>
          </w:tcPr>
          <w:p>
            <w:pPr>
              <w:pStyle w:val="TableContents"/>
              <w:spacing w:before="0" w:after="283"/>
              <w:jc w:val="right"/>
              <w:rPr/>
            </w:pPr>
            <w:r>
              <w:rPr/>
              <w:t>12,528</w:t>
            </w:r>
          </w:p>
        </w:tc>
        <w:tc>
          <w:tcPr>
            <w:tcW w:w="260" w:type="dxa"/>
            <w:tcBorders/>
            <w:shd w:fill="CCEEFF" w:val="clear"/>
            <w:tcMar>
              <w:bottom w:w="0" w:type="dxa"/>
            </w:tcMar>
            <w:vAlign w:val="center"/>
          </w:tcPr>
          <w:p>
            <w:pPr>
              <w:pStyle w:val="TableContents"/>
              <w:spacing w:before="0" w:after="283"/>
              <w:jc w:val="left"/>
              <w:rPr/>
            </w:pPr>
            <w:r>
              <w:rPr/>
              <w:t> </w:t>
            </w:r>
          </w:p>
        </w:tc>
      </w:tr>
      <w:tr>
        <w:trPr/>
        <w:tc>
          <w:tcPr>
            <w:tcW w:w="1115" w:type="dxa"/>
            <w:tcBorders/>
            <w:shd w:fill="FFFFFF" w:val="clear"/>
            <w:tcMar>
              <w:bottom w:w="0" w:type="dxa"/>
            </w:tcMar>
            <w:vAlign w:val="center"/>
          </w:tcPr>
          <w:p>
            <w:pPr>
              <w:pStyle w:val="TableContents"/>
              <w:spacing w:before="0" w:after="283"/>
              <w:rPr/>
            </w:pPr>
            <w:r>
              <w:rPr/>
              <w:t>1/30/2023</w:t>
            </w:r>
          </w:p>
        </w:tc>
        <w:tc>
          <w:tcPr>
            <w:tcW w:w="60" w:type="dxa"/>
            <w:tcBorders/>
            <w:shd w:fill="FFFFFF" w:val="clear"/>
            <w:tcMar>
              <w:bottom w:w="0" w:type="dxa"/>
            </w:tcMar>
            <w:vAlign w:val="center"/>
          </w:tcPr>
          <w:p>
            <w:pPr>
              <w:pStyle w:val="TableContents"/>
              <w:spacing w:before="0" w:after="283"/>
              <w:rPr/>
            </w:pPr>
            <w:r>
              <w:rPr/>
              <w:t> </w:t>
            </w:r>
          </w:p>
        </w:tc>
        <w:tc>
          <w:tcPr>
            <w:tcW w:w="65" w:type="dxa"/>
            <w:tcBorders/>
            <w:shd w:fill="FFFFFF" w:val="clear"/>
            <w:tcMar>
              <w:bottom w:w="0" w:type="dxa"/>
            </w:tcMar>
            <w:vAlign w:val="center"/>
          </w:tcPr>
          <w:p>
            <w:pPr>
              <w:pStyle w:val="TableContents"/>
              <w:spacing w:before="0" w:after="283"/>
              <w:jc w:val="left"/>
              <w:rPr/>
            </w:pPr>
            <w:r>
              <w:rPr/>
              <w:t> </w:t>
            </w:r>
          </w:p>
        </w:tc>
        <w:tc>
          <w:tcPr>
            <w:tcW w:w="1065" w:type="dxa"/>
            <w:tcBorders/>
            <w:shd w:fill="FFFFFF" w:val="clear"/>
            <w:tcMar>
              <w:bottom w:w="0" w:type="dxa"/>
            </w:tcMar>
            <w:vAlign w:val="center"/>
          </w:tcPr>
          <w:p>
            <w:pPr>
              <w:pStyle w:val="TableContents"/>
              <w:spacing w:before="0" w:after="283"/>
              <w:jc w:val="right"/>
              <w:rPr/>
            </w:pPr>
            <w:r>
              <w:rPr/>
              <w:t>12,200</w:t>
            </w:r>
          </w:p>
        </w:tc>
        <w:tc>
          <w:tcPr>
            <w:tcW w:w="245" w:type="dxa"/>
            <w:tcBorders/>
            <w:shd w:fill="FFFFFF" w:val="clear"/>
            <w:tcMar>
              <w:bottom w:w="0" w:type="dxa"/>
            </w:tcMar>
            <w:vAlign w:val="center"/>
          </w:tcPr>
          <w:p>
            <w:pPr>
              <w:pStyle w:val="TableContents"/>
              <w:spacing w:before="0" w:after="283"/>
              <w:jc w:val="left"/>
              <w:rPr>
                <w:position w:val="8"/>
                <w:sz w:val="19"/>
              </w:rPr>
            </w:pPr>
            <w:r>
              <w:rPr>
                <w:position w:val="8"/>
                <w:sz w:val="19"/>
              </w:rPr>
              <w:t>(4)</w:t>
            </w:r>
          </w:p>
        </w:tc>
        <w:tc>
          <w:tcPr>
            <w:tcW w:w="60" w:type="dxa"/>
            <w:tcBorders/>
            <w:shd w:fill="FFFFFF" w:val="clear"/>
            <w:tcMar>
              <w:bottom w:w="0" w:type="dxa"/>
            </w:tcMar>
            <w:vAlign w:val="center"/>
          </w:tcPr>
          <w:p>
            <w:pPr>
              <w:pStyle w:val="TableContents"/>
              <w:spacing w:before="0" w:after="283"/>
              <w:rPr/>
            </w:pPr>
            <w:r>
              <w:rPr/>
              <w:t> </w:t>
            </w:r>
          </w:p>
        </w:tc>
        <w:tc>
          <w:tcPr>
            <w:tcW w:w="232" w:type="dxa"/>
            <w:tcBorders/>
            <w:shd w:fill="FFFFFF" w:val="clear"/>
            <w:tcMar>
              <w:bottom w:w="0" w:type="dxa"/>
            </w:tcMar>
            <w:vAlign w:val="center"/>
          </w:tcPr>
          <w:p>
            <w:pPr>
              <w:pStyle w:val="TableContents"/>
              <w:spacing w:before="0" w:after="283"/>
              <w:jc w:val="left"/>
              <w:rPr/>
            </w:pPr>
            <w:r>
              <w:rPr/>
              <w:t>$</w:t>
            </w:r>
          </w:p>
        </w:tc>
        <w:tc>
          <w:tcPr>
            <w:tcW w:w="733" w:type="dxa"/>
            <w:tcBorders/>
            <w:shd w:fill="FFFFFF" w:val="clear"/>
            <w:tcMar>
              <w:bottom w:w="0" w:type="dxa"/>
            </w:tcMar>
            <w:vAlign w:val="center"/>
          </w:tcPr>
          <w:p>
            <w:pPr>
              <w:pStyle w:val="TableContents"/>
              <w:spacing w:before="0" w:after="283"/>
              <w:jc w:val="right"/>
              <w:rPr/>
            </w:pPr>
            <w:r>
              <w:rPr/>
              <w:t>7.05</w:t>
            </w:r>
          </w:p>
        </w:tc>
        <w:tc>
          <w:tcPr>
            <w:tcW w:w="35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1100" w:type="dxa"/>
            <w:tcBorders/>
            <w:shd w:fill="FFFFFF" w:val="clear"/>
            <w:tcMar>
              <w:bottom w:w="0" w:type="dxa"/>
            </w:tcMar>
            <w:vAlign w:val="center"/>
          </w:tcPr>
          <w:p>
            <w:pPr>
              <w:pStyle w:val="TableContents"/>
              <w:spacing w:before="0" w:after="283"/>
              <w:jc w:val="right"/>
              <w:rPr/>
            </w:pPr>
            <w:r>
              <w:rPr/>
              <w:t>85,400</w:t>
            </w:r>
          </w:p>
        </w:tc>
        <w:tc>
          <w:tcPr>
            <w:tcW w:w="260" w:type="dxa"/>
            <w:tcBorders/>
            <w:shd w:fill="FFFFFF" w:val="clear"/>
            <w:tcMar>
              <w:bottom w:w="0" w:type="dxa"/>
            </w:tcMar>
            <w:vAlign w:val="center"/>
          </w:tcPr>
          <w:p>
            <w:pPr>
              <w:pStyle w:val="TableContents"/>
              <w:spacing w:before="0" w:after="283"/>
              <w:jc w:val="left"/>
              <w:rPr/>
            </w:pPr>
            <w:r>
              <w:rPr/>
              <w:t> </w:t>
            </w:r>
          </w:p>
        </w:tc>
      </w:tr>
      <w:tr>
        <w:trPr/>
        <w:tc>
          <w:tcPr>
            <w:tcW w:w="1115" w:type="dxa"/>
            <w:tcBorders/>
            <w:shd w:fill="CCEEFF" w:val="clear"/>
            <w:tcMar>
              <w:bottom w:w="0" w:type="dxa"/>
            </w:tcMar>
            <w:vAlign w:val="center"/>
          </w:tcPr>
          <w:p>
            <w:pPr>
              <w:pStyle w:val="TableContents"/>
              <w:spacing w:before="0" w:after="283"/>
              <w:rPr/>
            </w:pPr>
            <w:r>
              <w:rPr/>
              <w:t>1/31/2023</w:t>
            </w:r>
          </w:p>
        </w:tc>
        <w:tc>
          <w:tcPr>
            <w:tcW w:w="60" w:type="dxa"/>
            <w:tcBorders/>
            <w:shd w:fill="CCEEFF" w:val="clear"/>
            <w:tcMar>
              <w:bottom w:w="0" w:type="dxa"/>
            </w:tcMar>
            <w:vAlign w:val="center"/>
          </w:tcPr>
          <w:p>
            <w:pPr>
              <w:pStyle w:val="TableContents"/>
              <w:spacing w:before="0" w:after="283"/>
              <w:rPr/>
            </w:pPr>
            <w:r>
              <w:rPr/>
              <w:t> </w:t>
            </w:r>
          </w:p>
        </w:tc>
        <w:tc>
          <w:tcPr>
            <w:tcW w:w="65" w:type="dxa"/>
            <w:tcBorders/>
            <w:shd w:fill="CCEEFF" w:val="clear"/>
            <w:tcMar>
              <w:bottom w:w="0" w:type="dxa"/>
            </w:tcMar>
            <w:vAlign w:val="center"/>
          </w:tcPr>
          <w:p>
            <w:pPr>
              <w:pStyle w:val="TableContents"/>
              <w:spacing w:before="0" w:after="283"/>
              <w:jc w:val="left"/>
              <w:rPr/>
            </w:pPr>
            <w:r>
              <w:rPr/>
              <w:t> </w:t>
            </w:r>
          </w:p>
        </w:tc>
        <w:tc>
          <w:tcPr>
            <w:tcW w:w="1065" w:type="dxa"/>
            <w:tcBorders/>
            <w:shd w:fill="CCEEFF" w:val="clear"/>
            <w:tcMar>
              <w:bottom w:w="0" w:type="dxa"/>
            </w:tcMar>
            <w:vAlign w:val="center"/>
          </w:tcPr>
          <w:p>
            <w:pPr>
              <w:pStyle w:val="TableContents"/>
              <w:spacing w:before="0" w:after="283"/>
              <w:jc w:val="right"/>
              <w:rPr/>
            </w:pPr>
            <w:r>
              <w:rPr/>
              <w:t>197,258</w:t>
            </w:r>
          </w:p>
        </w:tc>
        <w:tc>
          <w:tcPr>
            <w:tcW w:w="24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32" w:type="dxa"/>
            <w:tcBorders/>
            <w:shd w:fill="CCEEFF" w:val="clear"/>
            <w:tcMar>
              <w:bottom w:w="0" w:type="dxa"/>
            </w:tcMar>
            <w:vAlign w:val="center"/>
          </w:tcPr>
          <w:p>
            <w:pPr>
              <w:pStyle w:val="TableContents"/>
              <w:spacing w:before="0" w:after="283"/>
              <w:jc w:val="left"/>
              <w:rPr/>
            </w:pPr>
            <w:r>
              <w:rPr/>
              <w:t>$</w:t>
            </w:r>
          </w:p>
        </w:tc>
        <w:tc>
          <w:tcPr>
            <w:tcW w:w="733" w:type="dxa"/>
            <w:tcBorders/>
            <w:shd w:fill="CCEEFF" w:val="clear"/>
            <w:tcMar>
              <w:bottom w:w="0" w:type="dxa"/>
            </w:tcMar>
            <w:vAlign w:val="center"/>
          </w:tcPr>
          <w:p>
            <w:pPr>
              <w:pStyle w:val="TableContents"/>
              <w:spacing w:before="0" w:after="283"/>
              <w:jc w:val="right"/>
              <w:rPr/>
            </w:pPr>
            <w:r>
              <w:rPr/>
              <w:t>—</w:t>
            </w:r>
          </w:p>
        </w:tc>
        <w:tc>
          <w:tcPr>
            <w:tcW w:w="350" w:type="dxa"/>
            <w:tcBorders/>
            <w:shd w:fill="CCEEFF" w:val="clear"/>
            <w:tcMar>
              <w:bottom w:w="0" w:type="dxa"/>
            </w:tcMar>
            <w:vAlign w:val="center"/>
          </w:tcPr>
          <w:p>
            <w:pPr>
              <w:pStyle w:val="TableContents"/>
              <w:spacing w:before="0" w:after="283"/>
              <w:jc w:val="left"/>
              <w:rPr>
                <w:position w:val="8"/>
                <w:sz w:val="19"/>
              </w:rPr>
            </w:pPr>
            <w:r>
              <w:rPr>
                <w:position w:val="8"/>
                <w:sz w:val="19"/>
              </w:rPr>
              <w:t>(7)</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1100" w:type="dxa"/>
            <w:tcBorders/>
            <w:shd w:fill="CCEEFF" w:val="clear"/>
            <w:tcMar>
              <w:bottom w:w="0" w:type="dxa"/>
            </w:tcMar>
            <w:vAlign w:val="center"/>
          </w:tcPr>
          <w:p>
            <w:pPr>
              <w:pStyle w:val="TableContents"/>
              <w:spacing w:before="0" w:after="283"/>
              <w:jc w:val="right"/>
              <w:rPr/>
            </w:pPr>
            <w:r>
              <w:rPr/>
              <w:t>—</w:t>
            </w:r>
          </w:p>
        </w:tc>
        <w:tc>
          <w:tcPr>
            <w:tcW w:w="260" w:type="dxa"/>
            <w:tcBorders/>
            <w:shd w:fill="CCEEFF" w:val="clear"/>
            <w:tcMar>
              <w:bottom w:w="0" w:type="dxa"/>
            </w:tcMar>
            <w:vAlign w:val="center"/>
          </w:tcPr>
          <w:p>
            <w:pPr>
              <w:pStyle w:val="TableContents"/>
              <w:spacing w:before="0" w:after="283"/>
              <w:jc w:val="left"/>
              <w:rPr>
                <w:position w:val="8"/>
                <w:sz w:val="19"/>
              </w:rPr>
            </w:pPr>
            <w:r>
              <w:rPr>
                <w:position w:val="8"/>
                <w:sz w:val="19"/>
              </w:rPr>
              <w:t>(7)</w:t>
            </w:r>
          </w:p>
        </w:tc>
      </w:tr>
      <w:tr>
        <w:trPr/>
        <w:tc>
          <w:tcPr>
            <w:tcW w:w="1115" w:type="dxa"/>
            <w:tcBorders/>
            <w:shd w:fill="FFFFFF" w:val="clear"/>
            <w:tcMar>
              <w:bottom w:w="0" w:type="dxa"/>
            </w:tcMar>
            <w:vAlign w:val="center"/>
          </w:tcPr>
          <w:p>
            <w:pPr>
              <w:pStyle w:val="TableContents"/>
              <w:spacing w:before="0" w:after="283"/>
              <w:rPr/>
            </w:pPr>
            <w:r>
              <w:rPr/>
              <w:t>1/31/2023</w:t>
            </w:r>
          </w:p>
        </w:tc>
        <w:tc>
          <w:tcPr>
            <w:tcW w:w="60" w:type="dxa"/>
            <w:tcBorders/>
            <w:shd w:fill="FFFFFF" w:val="clear"/>
            <w:tcMar>
              <w:bottom w:w="0" w:type="dxa"/>
            </w:tcMar>
            <w:vAlign w:val="center"/>
          </w:tcPr>
          <w:p>
            <w:pPr>
              <w:pStyle w:val="TableContents"/>
              <w:spacing w:before="0" w:after="283"/>
              <w:rPr/>
            </w:pPr>
            <w:r>
              <w:rPr/>
              <w:t> </w:t>
            </w:r>
          </w:p>
        </w:tc>
        <w:tc>
          <w:tcPr>
            <w:tcW w:w="65" w:type="dxa"/>
            <w:tcBorders/>
            <w:shd w:fill="FFFFFF" w:val="clear"/>
            <w:tcMar>
              <w:bottom w:w="0" w:type="dxa"/>
            </w:tcMar>
            <w:vAlign w:val="center"/>
          </w:tcPr>
          <w:p>
            <w:pPr>
              <w:pStyle w:val="TableContents"/>
              <w:spacing w:before="0" w:after="283"/>
              <w:jc w:val="left"/>
              <w:rPr/>
            </w:pPr>
            <w:r>
              <w:rPr/>
              <w:t> </w:t>
            </w:r>
          </w:p>
        </w:tc>
        <w:tc>
          <w:tcPr>
            <w:tcW w:w="1065" w:type="dxa"/>
            <w:tcBorders/>
            <w:shd w:fill="FFFFFF" w:val="clear"/>
            <w:tcMar>
              <w:bottom w:w="0" w:type="dxa"/>
            </w:tcMar>
            <w:vAlign w:val="center"/>
          </w:tcPr>
          <w:p>
            <w:pPr>
              <w:pStyle w:val="TableContents"/>
              <w:spacing w:before="0" w:after="283"/>
              <w:jc w:val="right"/>
              <w:rPr/>
            </w:pPr>
            <w:r>
              <w:rPr/>
              <w:t>14,700</w:t>
            </w:r>
          </w:p>
        </w:tc>
        <w:tc>
          <w:tcPr>
            <w:tcW w:w="245" w:type="dxa"/>
            <w:tcBorders/>
            <w:shd w:fill="FFFFFF" w:val="clear"/>
            <w:tcMar>
              <w:bottom w:w="0" w:type="dxa"/>
            </w:tcMar>
            <w:vAlign w:val="center"/>
          </w:tcPr>
          <w:p>
            <w:pPr>
              <w:pStyle w:val="TableContents"/>
              <w:spacing w:before="0" w:after="283"/>
              <w:jc w:val="left"/>
              <w:rPr>
                <w:position w:val="8"/>
                <w:sz w:val="19"/>
              </w:rPr>
            </w:pPr>
            <w:r>
              <w:rPr>
                <w:position w:val="8"/>
                <w:sz w:val="19"/>
              </w:rPr>
              <w:t>(4)</w:t>
            </w:r>
          </w:p>
        </w:tc>
        <w:tc>
          <w:tcPr>
            <w:tcW w:w="60" w:type="dxa"/>
            <w:tcBorders/>
            <w:shd w:fill="FFFFFF" w:val="clear"/>
            <w:tcMar>
              <w:bottom w:w="0" w:type="dxa"/>
            </w:tcMar>
            <w:vAlign w:val="center"/>
          </w:tcPr>
          <w:p>
            <w:pPr>
              <w:pStyle w:val="TableContents"/>
              <w:spacing w:before="0" w:after="283"/>
              <w:rPr/>
            </w:pPr>
            <w:r>
              <w:rPr/>
              <w:t> </w:t>
            </w:r>
          </w:p>
        </w:tc>
        <w:tc>
          <w:tcPr>
            <w:tcW w:w="232" w:type="dxa"/>
            <w:tcBorders/>
            <w:shd w:fill="FFFFFF" w:val="clear"/>
            <w:tcMar>
              <w:bottom w:w="0" w:type="dxa"/>
            </w:tcMar>
            <w:vAlign w:val="center"/>
          </w:tcPr>
          <w:p>
            <w:pPr>
              <w:pStyle w:val="TableContents"/>
              <w:spacing w:before="0" w:after="283"/>
              <w:jc w:val="left"/>
              <w:rPr/>
            </w:pPr>
            <w:r>
              <w:rPr/>
              <w:t>$</w:t>
            </w:r>
          </w:p>
        </w:tc>
        <w:tc>
          <w:tcPr>
            <w:tcW w:w="733" w:type="dxa"/>
            <w:tcBorders/>
            <w:shd w:fill="FFFFFF" w:val="clear"/>
            <w:tcMar>
              <w:bottom w:w="0" w:type="dxa"/>
            </w:tcMar>
            <w:vAlign w:val="center"/>
          </w:tcPr>
          <w:p>
            <w:pPr>
              <w:pStyle w:val="TableContents"/>
              <w:spacing w:before="0" w:after="283"/>
              <w:jc w:val="right"/>
              <w:rPr/>
            </w:pPr>
            <w:r>
              <w:rPr/>
              <w:t>7.37</w:t>
            </w:r>
          </w:p>
        </w:tc>
        <w:tc>
          <w:tcPr>
            <w:tcW w:w="35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1100" w:type="dxa"/>
            <w:tcBorders/>
            <w:shd w:fill="FFFFFF" w:val="clear"/>
            <w:tcMar>
              <w:bottom w:w="0" w:type="dxa"/>
            </w:tcMar>
            <w:vAlign w:val="center"/>
          </w:tcPr>
          <w:p>
            <w:pPr>
              <w:pStyle w:val="TableContents"/>
              <w:spacing w:before="0" w:after="283"/>
              <w:jc w:val="right"/>
              <w:rPr/>
            </w:pPr>
            <w:r>
              <w:rPr/>
              <w:t>107,604</w:t>
            </w:r>
          </w:p>
        </w:tc>
        <w:tc>
          <w:tcPr>
            <w:tcW w:w="260" w:type="dxa"/>
            <w:tcBorders/>
            <w:shd w:fill="FFFFFF" w:val="clear"/>
            <w:tcMar>
              <w:bottom w:w="0" w:type="dxa"/>
            </w:tcMar>
            <w:vAlign w:val="center"/>
          </w:tcPr>
          <w:p>
            <w:pPr>
              <w:pStyle w:val="TableContents"/>
              <w:spacing w:before="0" w:after="283"/>
              <w:jc w:val="left"/>
              <w:rPr/>
            </w:pPr>
            <w:r>
              <w:rPr/>
              <w:t> </w:t>
            </w:r>
          </w:p>
        </w:tc>
      </w:tr>
      <w:tr>
        <w:trPr/>
        <w:tc>
          <w:tcPr>
            <w:tcW w:w="1115" w:type="dxa"/>
            <w:tcBorders/>
            <w:shd w:fill="CCEEFF" w:val="clear"/>
            <w:tcMar>
              <w:bottom w:w="0" w:type="dxa"/>
            </w:tcMar>
            <w:vAlign w:val="center"/>
          </w:tcPr>
          <w:p>
            <w:pPr>
              <w:pStyle w:val="TableContents"/>
              <w:spacing w:before="0" w:after="283"/>
              <w:rPr/>
            </w:pPr>
            <w:r>
              <w:rPr/>
              <w:t>2/1/2023</w:t>
            </w:r>
          </w:p>
        </w:tc>
        <w:tc>
          <w:tcPr>
            <w:tcW w:w="60" w:type="dxa"/>
            <w:tcBorders/>
            <w:shd w:fill="CCEEFF" w:val="clear"/>
            <w:tcMar>
              <w:bottom w:w="0" w:type="dxa"/>
            </w:tcMar>
            <w:vAlign w:val="center"/>
          </w:tcPr>
          <w:p>
            <w:pPr>
              <w:pStyle w:val="TableContents"/>
              <w:spacing w:before="0" w:after="283"/>
              <w:rPr/>
            </w:pPr>
            <w:r>
              <w:rPr/>
              <w:t> </w:t>
            </w:r>
          </w:p>
        </w:tc>
        <w:tc>
          <w:tcPr>
            <w:tcW w:w="65" w:type="dxa"/>
            <w:tcBorders/>
            <w:shd w:fill="CCEEFF" w:val="clear"/>
            <w:tcMar>
              <w:bottom w:w="0" w:type="dxa"/>
            </w:tcMar>
            <w:vAlign w:val="center"/>
          </w:tcPr>
          <w:p>
            <w:pPr>
              <w:pStyle w:val="TableContents"/>
              <w:spacing w:before="0" w:after="283"/>
              <w:jc w:val="left"/>
              <w:rPr/>
            </w:pPr>
            <w:r>
              <w:rPr/>
              <w:t> </w:t>
            </w:r>
          </w:p>
        </w:tc>
        <w:tc>
          <w:tcPr>
            <w:tcW w:w="1065" w:type="dxa"/>
            <w:tcBorders/>
            <w:shd w:fill="CCEEFF" w:val="clear"/>
            <w:tcMar>
              <w:bottom w:w="0" w:type="dxa"/>
            </w:tcMar>
            <w:vAlign w:val="center"/>
          </w:tcPr>
          <w:p>
            <w:pPr>
              <w:pStyle w:val="TableContents"/>
              <w:spacing w:before="0" w:after="283"/>
              <w:jc w:val="right"/>
              <w:rPr/>
            </w:pPr>
            <w:r>
              <w:rPr/>
              <w:t>258,600</w:t>
            </w:r>
          </w:p>
        </w:tc>
        <w:tc>
          <w:tcPr>
            <w:tcW w:w="245"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232" w:type="dxa"/>
            <w:tcBorders/>
            <w:shd w:fill="CCEEFF" w:val="clear"/>
            <w:tcMar>
              <w:bottom w:w="0" w:type="dxa"/>
            </w:tcMar>
            <w:vAlign w:val="center"/>
          </w:tcPr>
          <w:p>
            <w:pPr>
              <w:pStyle w:val="TableContents"/>
              <w:spacing w:before="0" w:after="283"/>
              <w:jc w:val="left"/>
              <w:rPr/>
            </w:pPr>
            <w:r>
              <w:rPr/>
              <w:t>$</w:t>
            </w:r>
          </w:p>
        </w:tc>
        <w:tc>
          <w:tcPr>
            <w:tcW w:w="733" w:type="dxa"/>
            <w:tcBorders/>
            <w:shd w:fill="CCEEFF" w:val="clear"/>
            <w:tcMar>
              <w:bottom w:w="0" w:type="dxa"/>
            </w:tcMar>
            <w:vAlign w:val="center"/>
          </w:tcPr>
          <w:p>
            <w:pPr>
              <w:pStyle w:val="TableContents"/>
              <w:spacing w:before="0" w:after="283"/>
              <w:jc w:val="right"/>
              <w:rPr/>
            </w:pPr>
            <w:r>
              <w:rPr/>
              <w:t>7.01</w:t>
            </w:r>
          </w:p>
        </w:tc>
        <w:tc>
          <w:tcPr>
            <w:tcW w:w="350" w:type="dxa"/>
            <w:tcBorders/>
            <w:shd w:fill="CCEEFF" w:val="clear"/>
            <w:tcMar>
              <w:bottom w:w="0" w:type="dxa"/>
            </w:tcMar>
            <w:vAlign w:val="center"/>
          </w:tcPr>
          <w:p>
            <w:pPr>
              <w:pStyle w:val="TableContents"/>
              <w:spacing w:before="0" w:after="283"/>
              <w:jc w:val="left"/>
              <w:rPr>
                <w:position w:val="8"/>
                <w:sz w:val="19"/>
              </w:rPr>
            </w:pPr>
            <w:r>
              <w:rPr>
                <w:position w:val="8"/>
                <w:sz w:val="19"/>
              </w:rPr>
              <w:t>(8)</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1100" w:type="dxa"/>
            <w:tcBorders/>
            <w:shd w:fill="CCEEFF" w:val="clear"/>
            <w:tcMar>
              <w:bottom w:w="0" w:type="dxa"/>
            </w:tcMar>
            <w:vAlign w:val="center"/>
          </w:tcPr>
          <w:p>
            <w:pPr>
              <w:pStyle w:val="TableContents"/>
              <w:spacing w:before="0" w:after="283"/>
              <w:jc w:val="right"/>
              <w:rPr/>
            </w:pPr>
            <w:r>
              <w:rPr/>
              <w:t>1,798,950</w:t>
            </w:r>
          </w:p>
        </w:tc>
        <w:tc>
          <w:tcPr>
            <w:tcW w:w="260" w:type="dxa"/>
            <w:tcBorders/>
            <w:shd w:fill="CCEEFF" w:val="clear"/>
            <w:tcMar>
              <w:bottom w:w="0" w:type="dxa"/>
            </w:tcMar>
            <w:vAlign w:val="center"/>
          </w:tcPr>
          <w:p>
            <w:pPr>
              <w:pStyle w:val="TableContents"/>
              <w:spacing w:before="0" w:after="283"/>
              <w:jc w:val="left"/>
              <w:rPr>
                <w:position w:val="8"/>
                <w:sz w:val="19"/>
              </w:rPr>
            </w:pPr>
            <w:r>
              <w:rPr>
                <w:position w:val="8"/>
                <w:sz w:val="19"/>
              </w:rPr>
              <w:t>(8)</w:t>
            </w:r>
          </w:p>
        </w:tc>
      </w:tr>
      <w:tr>
        <w:trPr/>
        <w:tc>
          <w:tcPr>
            <w:tcW w:w="1115" w:type="dxa"/>
            <w:tcBorders/>
            <w:shd w:fill="FFFFFF" w:val="clear"/>
            <w:tcMar>
              <w:bottom w:w="0" w:type="dxa"/>
            </w:tcMar>
            <w:vAlign w:val="center"/>
          </w:tcPr>
          <w:p>
            <w:pPr>
              <w:pStyle w:val="TableContents"/>
              <w:spacing w:before="0" w:after="283"/>
              <w:rPr/>
            </w:pPr>
            <w:r>
              <w:rPr/>
              <w:t>4/27/2023</w:t>
            </w:r>
          </w:p>
        </w:tc>
        <w:tc>
          <w:tcPr>
            <w:tcW w:w="60" w:type="dxa"/>
            <w:tcBorders/>
            <w:shd w:fill="FFFFFF" w:val="clear"/>
            <w:tcMar>
              <w:bottom w:w="0" w:type="dxa"/>
            </w:tcMar>
            <w:vAlign w:val="center"/>
          </w:tcPr>
          <w:p>
            <w:pPr>
              <w:pStyle w:val="TableContents"/>
              <w:spacing w:before="0" w:after="283"/>
              <w:rPr/>
            </w:pPr>
            <w:r>
              <w:rPr/>
              <w:t> </w:t>
            </w:r>
          </w:p>
        </w:tc>
        <w:tc>
          <w:tcPr>
            <w:tcW w:w="65" w:type="dxa"/>
            <w:tcBorders/>
            <w:shd w:fill="FFFFFF" w:val="clear"/>
            <w:tcMar>
              <w:bottom w:w="0" w:type="dxa"/>
            </w:tcMar>
            <w:vAlign w:val="center"/>
          </w:tcPr>
          <w:p>
            <w:pPr>
              <w:pStyle w:val="TableContents"/>
              <w:spacing w:before="0" w:after="283"/>
              <w:jc w:val="left"/>
              <w:rPr/>
            </w:pPr>
            <w:r>
              <w:rPr/>
              <w:t> </w:t>
            </w:r>
          </w:p>
        </w:tc>
        <w:tc>
          <w:tcPr>
            <w:tcW w:w="1065" w:type="dxa"/>
            <w:tcBorders/>
            <w:shd w:fill="FFFFFF" w:val="clear"/>
            <w:tcMar>
              <w:bottom w:w="0" w:type="dxa"/>
            </w:tcMar>
            <w:vAlign w:val="center"/>
          </w:tcPr>
          <w:p>
            <w:pPr>
              <w:pStyle w:val="TableContents"/>
              <w:spacing w:before="0" w:after="283"/>
              <w:jc w:val="right"/>
              <w:rPr/>
            </w:pPr>
            <w:r>
              <w:rPr/>
              <w:t>5,943,014</w:t>
            </w:r>
          </w:p>
        </w:tc>
        <w:tc>
          <w:tcPr>
            <w:tcW w:w="245" w:type="dxa"/>
            <w:tcBorders/>
            <w:shd w:fill="FFFFFF" w:val="clear"/>
            <w:tcMar>
              <w:bottom w:w="0" w:type="dxa"/>
            </w:tcMar>
            <w:vAlign w:val="center"/>
          </w:tcPr>
          <w:p>
            <w:pPr>
              <w:pStyle w:val="TableContents"/>
              <w:spacing w:before="0" w:after="283"/>
              <w:jc w:val="left"/>
              <w:rPr>
                <w:position w:val="8"/>
                <w:sz w:val="19"/>
              </w:rPr>
            </w:pPr>
            <w:r>
              <w:rPr>
                <w:position w:val="8"/>
                <w:sz w:val="19"/>
              </w:rPr>
              <w:t>(9)</w:t>
            </w:r>
          </w:p>
        </w:tc>
        <w:tc>
          <w:tcPr>
            <w:tcW w:w="60" w:type="dxa"/>
            <w:tcBorders/>
            <w:shd w:fill="FFFFFF" w:val="clear"/>
            <w:tcMar>
              <w:bottom w:w="0" w:type="dxa"/>
            </w:tcMar>
            <w:vAlign w:val="center"/>
          </w:tcPr>
          <w:p>
            <w:pPr>
              <w:pStyle w:val="TableContents"/>
              <w:spacing w:before="0" w:after="283"/>
              <w:rPr/>
            </w:pPr>
            <w:r>
              <w:rPr/>
              <w:t> </w:t>
            </w:r>
          </w:p>
        </w:tc>
        <w:tc>
          <w:tcPr>
            <w:tcW w:w="232" w:type="dxa"/>
            <w:tcBorders/>
            <w:shd w:fill="FFFFFF" w:val="clear"/>
            <w:tcMar>
              <w:bottom w:w="0" w:type="dxa"/>
            </w:tcMar>
            <w:vAlign w:val="center"/>
          </w:tcPr>
          <w:p>
            <w:pPr>
              <w:pStyle w:val="TableContents"/>
              <w:spacing w:before="0" w:after="283"/>
              <w:jc w:val="left"/>
              <w:rPr/>
            </w:pPr>
            <w:r>
              <w:rPr/>
              <w:t>$</w:t>
            </w:r>
          </w:p>
        </w:tc>
        <w:tc>
          <w:tcPr>
            <w:tcW w:w="733" w:type="dxa"/>
            <w:tcBorders/>
            <w:shd w:fill="FFFFFF" w:val="clear"/>
            <w:tcMar>
              <w:bottom w:w="0" w:type="dxa"/>
            </w:tcMar>
            <w:vAlign w:val="center"/>
          </w:tcPr>
          <w:p>
            <w:pPr>
              <w:pStyle w:val="TableContents"/>
              <w:spacing w:before="0" w:after="283"/>
              <w:jc w:val="right"/>
              <w:rPr/>
            </w:pPr>
            <w:r>
              <w:rPr/>
              <w:t>7.90</w:t>
            </w:r>
          </w:p>
        </w:tc>
        <w:tc>
          <w:tcPr>
            <w:tcW w:w="350" w:type="dxa"/>
            <w:tcBorders/>
            <w:shd w:fill="FFFFFF" w:val="clear"/>
            <w:tcMar>
              <w:bottom w:w="0" w:type="dxa"/>
            </w:tcMar>
            <w:vAlign w:val="center"/>
          </w:tcPr>
          <w:p>
            <w:pPr>
              <w:pStyle w:val="TableContents"/>
              <w:spacing w:before="0" w:after="283"/>
              <w:jc w:val="left"/>
              <w:rPr>
                <w:position w:val="8"/>
                <w:sz w:val="19"/>
              </w:rPr>
            </w:pPr>
            <w:r>
              <w:rPr>
                <w:position w:val="8"/>
                <w:sz w:val="19"/>
              </w:rPr>
              <w:t>(10)</w:t>
            </w:r>
          </w:p>
        </w:tc>
        <w:tc>
          <w:tcPr>
            <w:tcW w:w="60" w:type="dxa"/>
            <w:tcBorders/>
            <w:shd w:fill="FFFFFF" w:val="clear"/>
            <w:tcMar>
              <w:bottom w:w="0" w:type="dxa"/>
            </w:tcMar>
            <w:vAlign w:val="center"/>
          </w:tcPr>
          <w:p>
            <w:pPr>
              <w:pStyle w:val="TableContents"/>
              <w:spacing w:before="0" w:after="283"/>
              <w:rPr/>
            </w:pPr>
            <w:r>
              <w:rPr/>
              <w:t> </w:t>
            </w:r>
          </w:p>
        </w:tc>
        <w:tc>
          <w:tcPr>
            <w:tcW w:w="140" w:type="dxa"/>
            <w:tcBorders/>
            <w:shd w:fill="FFFFFF" w:val="clear"/>
            <w:tcMar>
              <w:bottom w:w="0" w:type="dxa"/>
            </w:tcMar>
            <w:vAlign w:val="center"/>
          </w:tcPr>
          <w:p>
            <w:pPr>
              <w:pStyle w:val="TableContents"/>
              <w:spacing w:before="0" w:after="283"/>
              <w:jc w:val="left"/>
              <w:rPr/>
            </w:pPr>
            <w:r>
              <w:rPr/>
              <w:t>$</w:t>
            </w:r>
          </w:p>
        </w:tc>
        <w:tc>
          <w:tcPr>
            <w:tcW w:w="1100" w:type="dxa"/>
            <w:tcBorders/>
            <w:shd w:fill="FFFFFF" w:val="clear"/>
            <w:tcMar>
              <w:bottom w:w="0" w:type="dxa"/>
            </w:tcMar>
            <w:vAlign w:val="center"/>
          </w:tcPr>
          <w:p>
            <w:pPr>
              <w:pStyle w:val="TableContents"/>
              <w:spacing w:before="0" w:after="283"/>
              <w:jc w:val="right"/>
              <w:rPr/>
            </w:pPr>
            <w:r>
              <w:rPr/>
              <w:t>46,949,811</w:t>
            </w:r>
          </w:p>
        </w:tc>
        <w:tc>
          <w:tcPr>
            <w:tcW w:w="260" w:type="dxa"/>
            <w:tcBorders/>
            <w:shd w:fill="FFFFFF" w:val="clear"/>
            <w:tcMar>
              <w:bottom w:w="0" w:type="dxa"/>
            </w:tcMar>
            <w:vAlign w:val="center"/>
          </w:tcPr>
          <w:p>
            <w:pPr>
              <w:pStyle w:val="TableContents"/>
              <w:spacing w:before="0" w:after="283"/>
              <w:jc w:val="left"/>
              <w:rPr/>
            </w:pPr>
            <w:r>
              <w:rPr/>
              <w:t> </w:t>
            </w:r>
          </w:p>
        </w:tc>
      </w:tr>
      <w:tr>
        <w:trPr/>
        <w:tc>
          <w:tcPr>
            <w:tcW w:w="1115" w:type="dxa"/>
            <w:tcBorders/>
            <w:shd w:fill="CCEEFF" w:val="clear"/>
            <w:tcMar>
              <w:bottom w:w="0" w:type="dxa"/>
            </w:tcMar>
            <w:vAlign w:val="center"/>
          </w:tcPr>
          <w:p>
            <w:pPr>
              <w:pStyle w:val="TableContents"/>
              <w:spacing w:before="0" w:after="283"/>
              <w:rPr/>
            </w:pPr>
            <w:r>
              <w:rPr/>
              <w:t>4/27/2023</w:t>
            </w:r>
          </w:p>
        </w:tc>
        <w:tc>
          <w:tcPr>
            <w:tcW w:w="60" w:type="dxa"/>
            <w:tcBorders/>
            <w:shd w:fill="CCEEFF" w:val="clear"/>
            <w:tcMar>
              <w:bottom w:w="0" w:type="dxa"/>
            </w:tcMar>
            <w:vAlign w:val="center"/>
          </w:tcPr>
          <w:p>
            <w:pPr>
              <w:pStyle w:val="TableContents"/>
              <w:spacing w:before="0" w:after="283"/>
              <w:rPr/>
            </w:pPr>
            <w:r>
              <w:rPr/>
              <w:t> </w:t>
            </w:r>
          </w:p>
        </w:tc>
        <w:tc>
          <w:tcPr>
            <w:tcW w:w="65" w:type="dxa"/>
            <w:tcBorders/>
            <w:shd w:fill="CCEEFF" w:val="clear"/>
            <w:tcMar>
              <w:bottom w:w="0" w:type="dxa"/>
            </w:tcMar>
            <w:vAlign w:val="center"/>
          </w:tcPr>
          <w:p>
            <w:pPr>
              <w:pStyle w:val="TableContents"/>
              <w:spacing w:before="0" w:after="283"/>
              <w:jc w:val="left"/>
              <w:rPr/>
            </w:pPr>
            <w:r>
              <w:rPr/>
              <w:t> </w:t>
            </w:r>
          </w:p>
        </w:tc>
        <w:tc>
          <w:tcPr>
            <w:tcW w:w="1065" w:type="dxa"/>
            <w:tcBorders/>
            <w:shd w:fill="CCEEFF" w:val="clear"/>
            <w:tcMar>
              <w:bottom w:w="0" w:type="dxa"/>
            </w:tcMar>
            <w:vAlign w:val="center"/>
          </w:tcPr>
          <w:p>
            <w:pPr>
              <w:pStyle w:val="TableContents"/>
              <w:spacing w:before="0" w:after="283"/>
              <w:jc w:val="right"/>
              <w:rPr/>
            </w:pPr>
            <w:r>
              <w:rPr/>
              <w:t>1,839,840</w:t>
            </w:r>
          </w:p>
        </w:tc>
        <w:tc>
          <w:tcPr>
            <w:tcW w:w="245" w:type="dxa"/>
            <w:tcBorders/>
            <w:shd w:fill="CCEEFF" w:val="clear"/>
            <w:tcMar>
              <w:bottom w:w="0" w:type="dxa"/>
            </w:tcMar>
            <w:vAlign w:val="center"/>
          </w:tcPr>
          <w:p>
            <w:pPr>
              <w:pStyle w:val="TableContents"/>
              <w:spacing w:before="0" w:after="283"/>
              <w:jc w:val="left"/>
              <w:rPr>
                <w:position w:val="8"/>
                <w:sz w:val="19"/>
              </w:rPr>
            </w:pPr>
            <w:r>
              <w:rPr>
                <w:position w:val="8"/>
                <w:sz w:val="19"/>
              </w:rPr>
              <w:t>(9)</w:t>
            </w:r>
          </w:p>
        </w:tc>
        <w:tc>
          <w:tcPr>
            <w:tcW w:w="60" w:type="dxa"/>
            <w:tcBorders/>
            <w:shd w:fill="CCEEFF" w:val="clear"/>
            <w:tcMar>
              <w:bottom w:w="0" w:type="dxa"/>
            </w:tcMar>
            <w:vAlign w:val="center"/>
          </w:tcPr>
          <w:p>
            <w:pPr>
              <w:pStyle w:val="TableContents"/>
              <w:spacing w:before="0" w:after="283"/>
              <w:rPr/>
            </w:pPr>
            <w:r>
              <w:rPr/>
              <w:t> </w:t>
            </w:r>
          </w:p>
        </w:tc>
        <w:tc>
          <w:tcPr>
            <w:tcW w:w="232" w:type="dxa"/>
            <w:tcBorders/>
            <w:shd w:fill="CCEEFF" w:val="clear"/>
            <w:tcMar>
              <w:bottom w:w="0" w:type="dxa"/>
            </w:tcMar>
            <w:vAlign w:val="center"/>
          </w:tcPr>
          <w:p>
            <w:pPr>
              <w:pStyle w:val="TableContents"/>
              <w:spacing w:before="0" w:after="283"/>
              <w:jc w:val="left"/>
              <w:rPr/>
            </w:pPr>
            <w:r>
              <w:rPr/>
              <w:t>$</w:t>
            </w:r>
          </w:p>
        </w:tc>
        <w:tc>
          <w:tcPr>
            <w:tcW w:w="733" w:type="dxa"/>
            <w:tcBorders/>
            <w:shd w:fill="CCEEFF" w:val="clear"/>
            <w:tcMar>
              <w:bottom w:w="0" w:type="dxa"/>
            </w:tcMar>
            <w:vAlign w:val="center"/>
          </w:tcPr>
          <w:p>
            <w:pPr>
              <w:pStyle w:val="TableContents"/>
              <w:spacing w:before="0" w:after="283"/>
              <w:jc w:val="right"/>
              <w:rPr/>
            </w:pPr>
            <w:r>
              <w:rPr/>
              <w:t>7.90</w:t>
            </w:r>
          </w:p>
        </w:tc>
        <w:tc>
          <w:tcPr>
            <w:tcW w:w="350" w:type="dxa"/>
            <w:tcBorders/>
            <w:shd w:fill="CCEEFF" w:val="clear"/>
            <w:tcMar>
              <w:bottom w:w="0" w:type="dxa"/>
            </w:tcMar>
            <w:vAlign w:val="center"/>
          </w:tcPr>
          <w:p>
            <w:pPr>
              <w:pStyle w:val="TableContents"/>
              <w:spacing w:before="0" w:after="283"/>
              <w:jc w:val="left"/>
              <w:rPr>
                <w:position w:val="8"/>
                <w:sz w:val="19"/>
              </w:rPr>
            </w:pPr>
            <w:r>
              <w:rPr>
                <w:position w:val="8"/>
                <w:sz w:val="19"/>
              </w:rPr>
              <w:t>(10)</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1100" w:type="dxa"/>
            <w:tcBorders/>
            <w:shd w:fill="CCEEFF" w:val="clear"/>
            <w:tcMar>
              <w:bottom w:w="0" w:type="dxa"/>
            </w:tcMar>
            <w:vAlign w:val="center"/>
          </w:tcPr>
          <w:p>
            <w:pPr>
              <w:pStyle w:val="TableContents"/>
              <w:spacing w:before="0" w:after="283"/>
              <w:jc w:val="right"/>
              <w:rPr/>
            </w:pPr>
            <w:r>
              <w:rPr/>
              <w:t>14,534,736</w:t>
            </w:r>
          </w:p>
        </w:tc>
        <w:tc>
          <w:tcPr>
            <w:tcW w:w="260"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5665" w:type="dxa"/>
        <w:jc w:val="left"/>
        <w:tblInd w:w="0" w:type="dxa"/>
        <w:tblCellMar>
          <w:top w:w="0" w:type="dxa"/>
          <w:left w:w="0" w:type="dxa"/>
          <w:bottom w:w="0" w:type="dxa"/>
          <w:right w:w="0" w:type="dxa"/>
        </w:tblCellMar>
      </w:tblPr>
      <w:tblGrid>
        <w:gridCol w:w="260"/>
        <w:gridCol w:w="5405"/>
      </w:tblGrid>
      <w:tr>
        <w:trPr/>
        <w:tc>
          <w:tcPr>
            <w:tcW w:w="260" w:type="dxa"/>
            <w:tcBorders/>
            <w:shd w:fill="auto" w:val="clear"/>
            <w:vAlign w:val="center"/>
          </w:tcPr>
          <w:p>
            <w:pPr>
              <w:pStyle w:val="TableContents"/>
              <w:spacing w:before="0" w:after="283"/>
              <w:jc w:val="left"/>
              <w:rPr>
                <w:sz w:val="20"/>
              </w:rPr>
            </w:pPr>
            <w:r>
              <w:rPr>
                <w:sz w:val="20"/>
              </w:rPr>
              <w:t>(1)</w:t>
            </w:r>
          </w:p>
        </w:tc>
        <w:tc>
          <w:tcPr>
            <w:tcW w:w="5405" w:type="dxa"/>
            <w:tcBorders/>
            <w:shd w:fill="auto" w:val="clear"/>
            <w:vAlign w:val="center"/>
          </w:tcPr>
          <w:p>
            <w:pPr>
              <w:pStyle w:val="TableContents"/>
              <w:spacing w:before="0" w:after="283"/>
              <w:jc w:val="left"/>
              <w:rPr>
                <w:sz w:val="20"/>
              </w:rPr>
            </w:pPr>
            <w:r>
              <w:rPr>
                <w:sz w:val="20"/>
              </w:rPr>
              <w:t>Principal excludes commissions and other execution-related costs.</w:t>
            </w:r>
          </w:p>
        </w:tc>
      </w:tr>
    </w:tbl>
    <w:p>
      <w:pPr>
        <w:pStyle w:val="TextBody"/>
        <w:spacing w:before="0" w:after="0"/>
        <w:ind w:left="0" w:right="0" w:hanging="0"/>
        <w:jc w:val="left"/>
        <w:rPr>
          <w:caps w:val="false"/>
          <w:smallCaps w:val="false"/>
        </w:rPr>
      </w:pPr>
      <w:r>
        <w:rPr>
          <w:caps w:val="false"/>
          <w:smallCaps w:val="false"/>
        </w:rPr>
        <w:t> </w:t>
      </w:r>
    </w:p>
    <w:tbl>
      <w:tblPr>
        <w:tblW w:w="3130" w:type="dxa"/>
        <w:jc w:val="left"/>
        <w:tblInd w:w="0" w:type="dxa"/>
        <w:tblCellMar>
          <w:top w:w="0" w:type="dxa"/>
          <w:left w:w="0" w:type="dxa"/>
          <w:bottom w:w="0" w:type="dxa"/>
          <w:right w:w="0" w:type="dxa"/>
        </w:tblCellMar>
      </w:tblPr>
      <w:tblGrid>
        <w:gridCol w:w="260"/>
        <w:gridCol w:w="2870"/>
      </w:tblGrid>
      <w:tr>
        <w:trPr/>
        <w:tc>
          <w:tcPr>
            <w:tcW w:w="260" w:type="dxa"/>
            <w:tcBorders/>
            <w:shd w:fill="auto" w:val="clear"/>
            <w:vAlign w:val="center"/>
          </w:tcPr>
          <w:p>
            <w:pPr>
              <w:pStyle w:val="TableContents"/>
              <w:spacing w:before="0" w:after="283"/>
              <w:jc w:val="left"/>
              <w:rPr>
                <w:sz w:val="20"/>
              </w:rPr>
            </w:pPr>
            <w:r>
              <w:rPr>
                <w:sz w:val="20"/>
              </w:rPr>
              <w:t>(2)</w:t>
            </w:r>
          </w:p>
        </w:tc>
        <w:tc>
          <w:tcPr>
            <w:tcW w:w="2870" w:type="dxa"/>
            <w:tcBorders/>
            <w:shd w:fill="auto" w:val="clear"/>
            <w:vAlign w:val="center"/>
          </w:tcPr>
          <w:p>
            <w:pPr>
              <w:pStyle w:val="TableContents"/>
              <w:spacing w:before="0" w:after="283"/>
              <w:jc w:val="left"/>
              <w:rPr>
                <w:sz w:val="20"/>
              </w:rPr>
            </w:pPr>
            <w:r>
              <w:rPr>
                <w:sz w:val="20"/>
              </w:rPr>
              <w:t>Class A Shares sold in a block sale.</w:t>
            </w:r>
          </w:p>
        </w:tc>
      </w:tr>
    </w:tbl>
    <w:p>
      <w:pPr>
        <w:pStyle w:val="TextBody"/>
        <w:spacing w:before="0" w:after="0"/>
        <w:ind w:left="0" w:right="0" w:hanging="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4"/>
        <w:gridCol w:w="9991"/>
      </w:tblGrid>
      <w:tr>
        <w:trPr/>
        <w:tc>
          <w:tcPr>
            <w:tcW w:w="214" w:type="dxa"/>
            <w:tcBorders/>
            <w:shd w:fill="auto" w:val="clear"/>
            <w:vAlign w:val="center"/>
          </w:tcPr>
          <w:p>
            <w:pPr>
              <w:pStyle w:val="TableContents"/>
              <w:spacing w:before="0" w:after="283"/>
              <w:jc w:val="left"/>
              <w:rPr>
                <w:sz w:val="20"/>
              </w:rPr>
            </w:pPr>
            <w:r>
              <w:rPr>
                <w:sz w:val="20"/>
              </w:rPr>
              <w:t>(3)</w:t>
            </w:r>
          </w:p>
        </w:tc>
        <w:tc>
          <w:tcPr>
            <w:tcW w:w="9991" w:type="dxa"/>
            <w:tcBorders/>
            <w:shd w:fill="auto" w:val="clear"/>
            <w:vAlign w:val="center"/>
          </w:tcPr>
          <w:p>
            <w:pPr>
              <w:pStyle w:val="TableContents"/>
              <w:spacing w:before="0" w:after="283"/>
              <w:jc w:val="left"/>
              <w:rPr>
                <w:sz w:val="20"/>
              </w:rPr>
            </w:pPr>
            <w:r>
              <w:rPr>
                <w:sz w:val="20"/>
              </w:rPr>
              <w:t>On December 22, 2022, pursuant to the Issuer’s previously announced exchange offer, the Reporting Persons exchanged 7,238,025 warrants, which previously entitled the Reporting Persons to purchase one Class A Share at a price of $11.50 per whole share at any time commencing on the later of one year from the closing of the Issuer’s initial public offering or 30 days after the completion of an initial business combination of the Company, for 1,809,506 Class A Shares.</w:t>
            </w:r>
          </w:p>
        </w:tc>
      </w:tr>
    </w:tbl>
    <w:p>
      <w:pPr>
        <w:pStyle w:val="TextBody"/>
        <w:spacing w:before="0" w:after="0"/>
        <w:ind w:left="0" w:right="0" w:hanging="0"/>
        <w:jc w:val="left"/>
        <w:rPr>
          <w:caps w:val="false"/>
          <w:smallCaps w:val="false"/>
        </w:rPr>
      </w:pPr>
      <w:r>
        <w:rPr>
          <w:caps w:val="false"/>
          <w:smallCaps w:val="false"/>
        </w:rPr>
        <w:t> </w:t>
      </w:r>
    </w:p>
    <w:tbl>
      <w:tblPr>
        <w:tblW w:w="5110" w:type="dxa"/>
        <w:jc w:val="left"/>
        <w:tblInd w:w="0" w:type="dxa"/>
        <w:tblCellMar>
          <w:top w:w="0" w:type="dxa"/>
          <w:left w:w="0" w:type="dxa"/>
          <w:bottom w:w="0" w:type="dxa"/>
          <w:right w:w="0" w:type="dxa"/>
        </w:tblCellMar>
      </w:tblPr>
      <w:tblGrid>
        <w:gridCol w:w="260"/>
        <w:gridCol w:w="4850"/>
      </w:tblGrid>
      <w:tr>
        <w:trPr/>
        <w:tc>
          <w:tcPr>
            <w:tcW w:w="260" w:type="dxa"/>
            <w:tcBorders/>
            <w:shd w:fill="auto" w:val="clear"/>
            <w:vAlign w:val="center"/>
          </w:tcPr>
          <w:p>
            <w:pPr>
              <w:pStyle w:val="TableContents"/>
              <w:spacing w:before="0" w:after="283"/>
              <w:jc w:val="left"/>
              <w:rPr>
                <w:sz w:val="20"/>
              </w:rPr>
            </w:pPr>
            <w:r>
              <w:rPr>
                <w:sz w:val="20"/>
              </w:rPr>
              <w:t>(4)</w:t>
            </w:r>
          </w:p>
        </w:tc>
        <w:tc>
          <w:tcPr>
            <w:tcW w:w="4850" w:type="dxa"/>
            <w:tcBorders/>
            <w:shd w:fill="auto" w:val="clear"/>
            <w:vAlign w:val="center"/>
          </w:tcPr>
          <w:p>
            <w:pPr>
              <w:pStyle w:val="TableContents"/>
              <w:spacing w:before="0" w:after="283"/>
              <w:jc w:val="left"/>
              <w:rPr>
                <w:sz w:val="20"/>
              </w:rPr>
            </w:pPr>
            <w:r>
              <w:rPr>
                <w:sz w:val="20"/>
              </w:rPr>
              <w:t>Class A Shares sold pursuant to a Rule 10b5-1 trading plan.</w:t>
            </w:r>
          </w:p>
        </w:tc>
      </w:tr>
    </w:tbl>
    <w:p>
      <w:pPr>
        <w:pStyle w:val="TextBody"/>
        <w:spacing w:before="0" w:after="0"/>
        <w:ind w:left="0" w:right="0" w:hanging="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4"/>
        <w:gridCol w:w="9991"/>
      </w:tblGrid>
      <w:tr>
        <w:trPr/>
        <w:tc>
          <w:tcPr>
            <w:tcW w:w="214" w:type="dxa"/>
            <w:tcBorders/>
            <w:shd w:fill="auto" w:val="clear"/>
            <w:vAlign w:val="center"/>
          </w:tcPr>
          <w:p>
            <w:pPr>
              <w:pStyle w:val="TableContents"/>
              <w:spacing w:before="0" w:after="283"/>
              <w:jc w:val="left"/>
              <w:rPr>
                <w:sz w:val="20"/>
              </w:rPr>
            </w:pPr>
            <w:r>
              <w:rPr>
                <w:sz w:val="20"/>
              </w:rPr>
              <w:t>(5)</w:t>
            </w:r>
          </w:p>
        </w:tc>
        <w:tc>
          <w:tcPr>
            <w:tcW w:w="9991" w:type="dxa"/>
            <w:tcBorders/>
            <w:shd w:fill="auto" w:val="clear"/>
            <w:vAlign w:val="center"/>
          </w:tcPr>
          <w:p>
            <w:pPr>
              <w:pStyle w:val="TableContents"/>
              <w:spacing w:before="0" w:after="283"/>
              <w:jc w:val="left"/>
              <w:rPr>
                <w:sz w:val="20"/>
              </w:rPr>
            </w:pPr>
            <w:r>
              <w:rPr>
                <w:sz w:val="20"/>
              </w:rPr>
              <w:t>The reported price is a volume weighted average price (“VWAP”). 250,000 shares were sold pursuant to a block trade for $7.00 per share and 5,200 shares were sold in open market transactions for a VWAP of $6.96 per share, net of commissions and other execution-related costs. The reporting person undertakes to provide the relevant amount of shares sold to the market at each price to the SEC, the Issuer or any stockholder of the Issuer upon request.</w:t>
            </w:r>
          </w:p>
        </w:tc>
      </w:tr>
    </w:tbl>
    <w:p>
      <w:pPr>
        <w:pStyle w:val="TextBody"/>
        <w:spacing w:before="0" w:after="0"/>
        <w:ind w:left="0" w:right="0" w:hanging="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6"/>
        <w:gridCol w:w="9989"/>
      </w:tblGrid>
      <w:tr>
        <w:trPr/>
        <w:tc>
          <w:tcPr>
            <w:tcW w:w="216" w:type="dxa"/>
            <w:tcBorders/>
            <w:shd w:fill="auto" w:val="clear"/>
            <w:vAlign w:val="center"/>
          </w:tcPr>
          <w:p>
            <w:pPr>
              <w:pStyle w:val="TableContents"/>
              <w:spacing w:before="0" w:after="283"/>
              <w:jc w:val="left"/>
              <w:rPr>
                <w:sz w:val="20"/>
              </w:rPr>
            </w:pPr>
            <w:r>
              <w:rPr>
                <w:sz w:val="20"/>
              </w:rPr>
              <w:t>(6)</w:t>
            </w:r>
          </w:p>
        </w:tc>
        <w:tc>
          <w:tcPr>
            <w:tcW w:w="9989" w:type="dxa"/>
            <w:tcBorders/>
            <w:shd w:fill="auto" w:val="clear"/>
            <w:vAlign w:val="center"/>
          </w:tcPr>
          <w:p>
            <w:pPr>
              <w:pStyle w:val="TableContents"/>
              <w:spacing w:before="0" w:after="283"/>
              <w:jc w:val="left"/>
              <w:rPr>
                <w:sz w:val="20"/>
              </w:rPr>
            </w:pPr>
            <w:r>
              <w:rPr>
                <w:sz w:val="20"/>
              </w:rPr>
              <w:t>The reported price is VWAP. 250,000 shares were sold pursuant to a block trade for $7.00 per share and 1,500 shares were sold in open market transactions for a VWAP of $7.01 per share, net of commissions and other execution-related costs. The reporting person undertakes to provide the relevant amount of shares sold to the market at each price to the SEC, the Issuer or any stockholder of the Issuer upon request.</w:t>
            </w:r>
          </w:p>
        </w:tc>
      </w:tr>
    </w:tbl>
    <w:p>
      <w:pPr>
        <w:pStyle w:val="TextBody"/>
        <w:spacing w:before="0" w:after="0"/>
        <w:ind w:left="0" w:right="0" w:hanging="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vAlign w:val="center"/>
          </w:tcPr>
          <w:p>
            <w:pPr>
              <w:pStyle w:val="TableContents"/>
              <w:spacing w:before="0" w:after="283"/>
              <w:jc w:val="left"/>
              <w:rPr>
                <w:sz w:val="20"/>
              </w:rPr>
            </w:pPr>
            <w:r>
              <w:rPr>
                <w:sz w:val="20"/>
              </w:rPr>
              <w:t>(7)</w:t>
            </w:r>
          </w:p>
        </w:tc>
        <w:tc>
          <w:tcPr>
            <w:tcW w:w="9885" w:type="dxa"/>
            <w:tcBorders/>
            <w:shd w:fill="auto" w:val="clear"/>
            <w:vAlign w:val="center"/>
          </w:tcPr>
          <w:p>
            <w:pPr>
              <w:pStyle w:val="TableContents"/>
              <w:spacing w:before="0" w:after="283"/>
              <w:jc w:val="left"/>
              <w:rPr>
                <w:sz w:val="20"/>
              </w:rPr>
            </w:pPr>
            <w:r>
              <w:rPr>
                <w:sz w:val="20"/>
              </w:rPr>
              <w:t>Pursuant to the Side Letter, the Reporting Person forfeited 197,258 Class A Shares.</w:t>
            </w:r>
          </w:p>
        </w:tc>
      </w:tr>
      <w:tr>
        <w:trPr/>
        <w:tc>
          <w:tcPr>
            <w:tcW w:w="320" w:type="dxa"/>
            <w:tcBorders/>
            <w:shd w:fill="auto" w:val="clear"/>
            <w:vAlign w:val="center"/>
          </w:tcPr>
          <w:p>
            <w:pPr>
              <w:pStyle w:val="TableContents"/>
              <w:spacing w:before="0" w:after="283"/>
              <w:jc w:val="left"/>
              <w:rPr/>
            </w:pPr>
            <w:r>
              <w:rPr/>
              <w:t> </w:t>
            </w:r>
          </w:p>
        </w:tc>
        <w:tc>
          <w:tcPr>
            <w:tcW w:w="9885" w:type="dxa"/>
            <w:tcBorders/>
            <w:shd w:fill="auto" w:val="clear"/>
            <w:vAlign w:val="center"/>
          </w:tcPr>
          <w:p>
            <w:pPr>
              <w:pStyle w:val="TableContents"/>
              <w:spacing w:before="0" w:after="283"/>
              <w:jc w:val="left"/>
              <w:rPr/>
            </w:pPr>
            <w:r>
              <w:rPr/>
              <w:t> </w:t>
            </w:r>
          </w:p>
        </w:tc>
      </w:tr>
      <w:tr>
        <w:trPr/>
        <w:tc>
          <w:tcPr>
            <w:tcW w:w="320" w:type="dxa"/>
            <w:tcBorders/>
            <w:shd w:fill="auto" w:val="clear"/>
            <w:vAlign w:val="center"/>
          </w:tcPr>
          <w:p>
            <w:pPr>
              <w:pStyle w:val="TableContents"/>
              <w:spacing w:before="0" w:after="283"/>
              <w:jc w:val="left"/>
              <w:rPr>
                <w:sz w:val="20"/>
              </w:rPr>
            </w:pPr>
            <w:r>
              <w:rPr>
                <w:sz w:val="20"/>
              </w:rPr>
              <w:t>(8)</w:t>
            </w:r>
          </w:p>
        </w:tc>
        <w:tc>
          <w:tcPr>
            <w:tcW w:w="9885" w:type="dxa"/>
            <w:tcBorders/>
            <w:shd w:fill="auto" w:val="clear"/>
            <w:vAlign w:val="center"/>
          </w:tcPr>
          <w:p>
            <w:pPr>
              <w:pStyle w:val="TableContents"/>
              <w:spacing w:before="0" w:after="283"/>
              <w:jc w:val="left"/>
              <w:rPr>
                <w:sz w:val="20"/>
              </w:rPr>
            </w:pPr>
            <w:r>
              <w:rPr>
                <w:sz w:val="20"/>
              </w:rPr>
              <w:t>The reported price is a VWAP. 250,000 shares were sold pursuant to a block trade for $7.00 per share and 8,600 shares were sold in open market transactions for a VWAP of $7.15 per share, net of commissions and other execution-related costs. The reporting person undertakes to provide the relevant amount of shares sold to the market at each price to the SEC, the Issuer or any stockholder of the Issuer upon request.</w:t>
            </w:r>
          </w:p>
        </w:tc>
      </w:tr>
      <w:tr>
        <w:trPr/>
        <w:tc>
          <w:tcPr>
            <w:tcW w:w="320" w:type="dxa"/>
            <w:tcBorders/>
            <w:shd w:fill="auto" w:val="clear"/>
            <w:vAlign w:val="center"/>
          </w:tcPr>
          <w:p>
            <w:pPr>
              <w:pStyle w:val="TableContents"/>
              <w:spacing w:before="0" w:after="283"/>
              <w:jc w:val="left"/>
              <w:rPr/>
            </w:pPr>
            <w:r>
              <w:rPr/>
              <w:t> </w:t>
            </w:r>
          </w:p>
        </w:tc>
        <w:tc>
          <w:tcPr>
            <w:tcW w:w="9885" w:type="dxa"/>
            <w:tcBorders/>
            <w:shd w:fill="auto" w:val="clear"/>
            <w:vAlign w:val="center"/>
          </w:tcPr>
          <w:p>
            <w:pPr>
              <w:pStyle w:val="TableContents"/>
              <w:spacing w:before="0" w:after="283"/>
              <w:jc w:val="left"/>
              <w:rPr/>
            </w:pPr>
            <w:r>
              <w:rPr/>
              <w:t> </w:t>
            </w:r>
          </w:p>
        </w:tc>
      </w:tr>
      <w:tr>
        <w:trPr/>
        <w:tc>
          <w:tcPr>
            <w:tcW w:w="320" w:type="dxa"/>
            <w:tcBorders/>
            <w:shd w:fill="auto" w:val="clear"/>
            <w:vAlign w:val="center"/>
          </w:tcPr>
          <w:p>
            <w:pPr>
              <w:pStyle w:val="TableContents"/>
              <w:spacing w:before="0" w:after="283"/>
              <w:jc w:val="left"/>
              <w:rPr>
                <w:sz w:val="20"/>
              </w:rPr>
            </w:pPr>
            <w:r>
              <w:rPr>
                <w:sz w:val="20"/>
              </w:rPr>
              <w:t>(9)</w:t>
            </w:r>
          </w:p>
        </w:tc>
        <w:tc>
          <w:tcPr>
            <w:tcW w:w="9885" w:type="dxa"/>
            <w:tcBorders/>
            <w:shd w:fill="auto" w:val="clear"/>
            <w:vAlign w:val="center"/>
          </w:tcPr>
          <w:p>
            <w:pPr>
              <w:pStyle w:val="TableContents"/>
              <w:spacing w:before="0" w:after="283"/>
              <w:jc w:val="left"/>
              <w:rPr>
                <w:sz w:val="20"/>
              </w:rPr>
            </w:pPr>
            <w:r>
              <w:rPr>
                <w:sz w:val="20"/>
              </w:rPr>
              <w:t xml:space="preserve">On April 27, 2023, the Sponsor transferred for no consideration 5,943,014 Class A Shares to its partners, including (i) 1,339,662 Class A Shares to Mr. Revers, (ii) 331,235 Class A Shares to ACHP B, (iii) 69,572 Class A Shares to ACTC GP and (iv) 99,371 Class A Shares to Special Ops Holdings. </w:t>
            </w:r>
          </w:p>
        </w:tc>
      </w:tr>
      <w:tr>
        <w:trPr/>
        <w:tc>
          <w:tcPr>
            <w:tcW w:w="320" w:type="dxa"/>
            <w:tcBorders/>
            <w:shd w:fill="auto" w:val="clear"/>
            <w:vAlign w:val="center"/>
          </w:tcPr>
          <w:p>
            <w:pPr>
              <w:pStyle w:val="TableContents"/>
              <w:spacing w:before="0" w:after="283"/>
              <w:jc w:val="left"/>
              <w:rPr/>
            </w:pPr>
            <w:r>
              <w:rPr/>
              <w:t> </w:t>
            </w:r>
          </w:p>
        </w:tc>
        <w:tc>
          <w:tcPr>
            <w:tcW w:w="9885" w:type="dxa"/>
            <w:tcBorders/>
            <w:shd w:fill="auto" w:val="clear"/>
            <w:vAlign w:val="center"/>
          </w:tcPr>
          <w:p>
            <w:pPr>
              <w:pStyle w:val="TableContents"/>
              <w:spacing w:before="0" w:after="283"/>
              <w:jc w:val="left"/>
              <w:rPr/>
            </w:pPr>
            <w:r>
              <w:rPr/>
              <w:t> </w:t>
            </w:r>
          </w:p>
        </w:tc>
      </w:tr>
      <w:tr>
        <w:trPr/>
        <w:tc>
          <w:tcPr>
            <w:tcW w:w="320" w:type="dxa"/>
            <w:tcBorders/>
            <w:shd w:fill="auto" w:val="clear"/>
            <w:vAlign w:val="center"/>
          </w:tcPr>
          <w:p>
            <w:pPr>
              <w:pStyle w:val="TableContents"/>
              <w:spacing w:before="0" w:after="283"/>
              <w:jc w:val="left"/>
              <w:rPr>
                <w:sz w:val="20"/>
              </w:rPr>
            </w:pPr>
            <w:r>
              <w:rPr>
                <w:sz w:val="20"/>
              </w:rPr>
              <w:t>(10)</w:t>
            </w:r>
          </w:p>
        </w:tc>
        <w:tc>
          <w:tcPr>
            <w:tcW w:w="9885" w:type="dxa"/>
            <w:tcBorders/>
            <w:shd w:fill="auto" w:val="clear"/>
            <w:vAlign w:val="center"/>
          </w:tcPr>
          <w:p>
            <w:pPr>
              <w:pStyle w:val="TableContents"/>
              <w:spacing w:before="0" w:after="283"/>
              <w:jc w:val="left"/>
              <w:rPr>
                <w:sz w:val="20"/>
              </w:rPr>
            </w:pPr>
            <w:r>
              <w:rPr>
                <w:sz w:val="20"/>
              </w:rPr>
              <w:t>The reported price reflects the closing price of the Class A Shares as of April 27, 2023.</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TextBody"/>
        <w:spacing w:before="0" w:after="283"/>
        <w:ind w:left="0" w:right="0" w:hanging="0"/>
        <w:rPr>
          <w:bdr w:val="single" w:sz="12" w:space="1" w:color="000000"/>
        </w:rPr>
      </w:pPr>
      <w:r>
        <w:rPr>
          <w:bdr w:val="single" w:sz="12" w:space="1" w:color="000000"/>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2566</Words>
  <CharactersWithSpaces>15004</CharactersWithSpaces>
  <Paragraphs>508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