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20,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4932</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6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 Anthony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OPAL Fuels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North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1450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 Allen McConnell,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M. Welch,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Sheppard, Mullin,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Richter &amp; Hampton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653-8700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September 20,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181,764,740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up to 181,764,740 shares of Class A common stock, par value $0.0001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consisting of:</w:t>
      </w:r>
    </w:p>
    <w:p>
      <w:pPr>
        <w:spacing w:after="0" w:line="159" w:lineRule="exact"/>
        <w:rPr>
          <w:sz w:val="20"/>
          <w:szCs w:val="20"/>
          <w:color w:val="auto"/>
        </w:rPr>
      </w:pPr>
    </w:p>
    <w:p>
      <w:pPr>
        <w:jc w:val="both"/>
        <w:ind w:left="340" w:firstLine="316"/>
        <w:spacing w:after="0" w:line="258" w:lineRule="auto"/>
        <w:tabs>
          <w:tab w:leader="none" w:pos="8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10,838,609 shares of Class A common stock issued under the Business Combination Agreement, dated as of December 2, 2021 (as the same has been or may be amended, modified, supplemented or waived from time to time, the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by and among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Opal Fuels LLC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 and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to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certain former directors of ArcLight originally acquired by such parties for an effective purchase price of approximately $0.003 per share;</w:t>
      </w:r>
    </w:p>
    <w:p>
      <w:pPr>
        <w:spacing w:after="0" w:line="183"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9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144,399,037 shares of Class A common stock issuable upon the conversion of Class C common stock issuable to Opal Holdco and Hillman RNG Investments, LLC (the “</w:t>
      </w:r>
      <w:r>
        <w:rPr>
          <w:rFonts w:ascii="Times New Roman" w:cs="Times New Roman" w:eastAsia="Times New Roman" w:hAnsi="Times New Roman"/>
          <w:sz w:val="18"/>
          <w:szCs w:val="18"/>
          <w:b w:val="1"/>
          <w:bCs w:val="1"/>
          <w:i w:val="1"/>
          <w:iCs w:val="1"/>
          <w:color w:val="auto"/>
        </w:rPr>
        <w:t>Opco Common Equityholders</w:t>
      </w:r>
      <w:r>
        <w:rPr>
          <w:rFonts w:ascii="Times New Roman" w:cs="Times New Roman" w:eastAsia="Times New Roman" w:hAnsi="Times New Roman"/>
          <w:sz w:val="18"/>
          <w:szCs w:val="18"/>
          <w:color w:val="auto"/>
        </w:rPr>
        <w:t>”) upon the exchange of Opco Common Units (as defined below) and the cancellation of an equal number of shares of Class D common stock (as defined in this prospectus) originally issued as consideration in connection with the Business Combination at a per share value of $10.00 per share;</w:t>
      </w:r>
    </w:p>
    <w:p>
      <w:pPr>
        <w:spacing w:after="0" w:line="179"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101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by us of 9,223,261 shares of Class A common stock underlying the Private Placement Warrants (as defined in this prospectus) issued under the Business Combination Agreement that were originally purchased at a purchase price of $1.00 per warrant, which warrants are exercisable for shares of our Class A common stock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offer and sale by us of 6,223,233 shares of Class A common stock underlying the Public Warrants (as defined in this prospectus) issued under the Business Combination Agreement that were originally issued as part of the units sold by Arclight at a purchase price of $10.00 per unit in its initial public offering, which warrants are exercisable for shares of our Class A common stock at an exercise price of $11.50 per share; and</w:t>
      </w:r>
    </w:p>
    <w:p>
      <w:pPr>
        <w:spacing w:after="0" w:line="176" w:lineRule="exact"/>
        <w:rPr>
          <w:sz w:val="20"/>
          <w:szCs w:val="20"/>
          <w:color w:val="auto"/>
        </w:rPr>
      </w:pPr>
    </w:p>
    <w:p>
      <w:pPr>
        <w:ind w:left="340" w:right="20" w:firstLine="316"/>
        <w:spacing w:after="0" w:line="282" w:lineRule="auto"/>
        <w:tabs>
          <w:tab w:leader="none" w:pos="9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11,080,600 shares of Class A common stock originally issued and sold to certain of the Selling Holders pursuant to subscription agreements dated as of December 2, 2021 (collectively,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at a purchase price of $10.00 per share.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98.0% of shares outstanding of the Company as of September 16, 2022 (after giving effect to the issuance of shares upon exercise of outstanding Warrants and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$9.69 as of September 16, 2022, Sponsor and other holders of the Founder Shares would experience a potential profit of up to approximately $9.687 per share, or up to approximately $75,355,909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Holders pursuant to this prospectus.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September 16, 2022, the closing price of our Class A common stock was $9.69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 We will bear all costs, expenses and fees in connection with the registration of the securities. The Selling Holders will bear all commissions and discounts, if any, attributable to their respective sales of the securities.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Class A common stock.</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Our shares of Class A common stock are listed on the Nasdaq Capital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 “OPAL.” On September 16, 2022, the closing price of our Class A common stock was $9.69 per share. Our public warrants are listed on Nasdaq under the symbol “OPALW.” On September 16, 2022, the closing price of our public warrants was $1.57 per warrant.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10 of this prospectus.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2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0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75"/>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SELECTED DEFINITIONS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vi</w:t>
            </w:r>
          </w:p>
        </w:tc>
      </w:tr>
      <w:tr>
        <w:trPr>
          <w:trHeight w:val="176"/>
        </w:trPr>
        <w:tc>
          <w:tcPr>
            <w:tcW w:w="634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3400" w:type="dxa"/>
            <w:vAlign w:val="bottom"/>
            <w:tcBorders>
              <w:top w:val="single" w:sz="8" w:color="CCEEFF"/>
            </w:tcBorders>
            <w:gridSpan w:val="3"/>
          </w:tcPr>
          <w:p>
            <w:pPr>
              <w:spacing w:after="0"/>
              <w:rPr>
                <w:sz w:val="15"/>
                <w:szCs w:val="15"/>
                <w:color w:val="auto"/>
              </w:rPr>
            </w:pPr>
          </w:p>
        </w:tc>
        <w:tc>
          <w:tcPr>
            <w:tcW w:w="1500" w:type="dxa"/>
            <w:vAlign w:val="bottom"/>
            <w:tcBorders>
              <w:top w:val="single" w:sz="8" w:color="CCEEFF"/>
            </w:tcBorders>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7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SELECTED HISTORICAL CONSOLIDATED FINANCIAL INFORMATION</w:t>
            </w:r>
          </w:p>
        </w:tc>
        <w:tc>
          <w:tcPr>
            <w:tcW w:w="4000" w:type="dxa"/>
            <w:vAlign w:val="bottom"/>
            <w:tcBorders>
              <w:bottom w:val="single" w:sz="8" w:color="CCEEFF"/>
            </w:tcBorders>
            <w:gridSpan w:val="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MARKET PRICE, TICKER SYMBOL, AND DIVIDEND INFORMATION</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480" w:type="dxa"/>
            <w:vAlign w:val="bottom"/>
            <w:tcBorders>
              <w:bottom w:val="single" w:sz="8" w:color="CCEEFF"/>
            </w:tcBorders>
            <w:gridSpan w:val="19"/>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6"/>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1500" w:type="dxa"/>
            <w:vAlign w:val="bottom"/>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8880" w:type="dxa"/>
            <w:vAlign w:val="bottom"/>
            <w:tcBorders>
              <w:bottom w:val="single" w:sz="8" w:color="CCEEFF"/>
            </w:tcBorders>
            <w:gridSpan w:val="2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280" w:type="dxa"/>
            <w:vAlign w:val="bottom"/>
            <w:tcBorders>
              <w:bottom w:val="single" w:sz="8" w:color="CCEEFF"/>
            </w:tcBorders>
            <w:gridSpan w:val="11"/>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50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BENEFICIAL OWNERSHIP</w:t>
            </w:r>
          </w:p>
        </w:tc>
        <w:tc>
          <w:tcPr>
            <w:tcW w:w="7580" w:type="dxa"/>
            <w:vAlign w:val="bottom"/>
            <w:tcBorders>
              <w:bottom w:val="single" w:sz="8" w:color="CCEEFF"/>
            </w:tcBorders>
            <w:gridSpan w:val="1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88"/>
              </w:rPr>
              <w:t>111</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SELLING HOLDERS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60" w:type="dxa"/>
            <w:vAlign w:val="bottom"/>
            <w:tcBorders>
              <w:bottom w:val="single" w:sz="8" w:color="CCEEFF"/>
            </w:tcBorders>
            <w:gridSpan w:val="6"/>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680" w:type="dxa"/>
            <w:vAlign w:val="bottom"/>
            <w:tcBorders>
              <w:bottom w:val="single" w:sz="8" w:color="CCEEFF"/>
            </w:tcBorders>
            <w:gridSpan w:val="1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127</w:t>
            </w:r>
          </w:p>
        </w:tc>
      </w:tr>
      <w:tr>
        <w:trPr>
          <w:trHeight w:val="176"/>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60" w:type="dxa"/>
            <w:vAlign w:val="bottom"/>
            <w:tcBorders>
              <w:bottom w:val="single" w:sz="8" w:color="CCEEFF"/>
            </w:tcBorders>
            <w:gridSpan w:val="23"/>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5"/>
        </w:trPr>
        <w:tc>
          <w:tcPr>
            <w:tcW w:w="97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0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75"/>
        </w:trPr>
        <w:tc>
          <w:tcPr>
            <w:tcW w:w="97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500" w:type="dxa"/>
            <w:vAlign w:val="bottom"/>
            <w:shd w:val="clear" w:color="auto" w:fill="CCEEFF"/>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used in this prospectus, unless the context otherwise requires:</w:t>
      </w:r>
    </w:p>
    <w:p>
      <w:pPr>
        <w:spacing w:after="0" w:line="22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Transaction Corp. II, a blank check company incorporated as a Cayman Islands exempt company, and our previous name prior to the Closing.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“Ares” refers to ARRC Beacon LLC, a Delaware limited liability company.</w:t>
      </w:r>
    </w:p>
    <w:p>
      <w:pPr>
        <w:spacing w:after="0" w:line="225"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“BCA” or “Business Combination Agreement” refers to the Business Combination Agreement dated as of December 2, 2021 (as the same has been or may be amended, modified, supplemented or waived from time to time), by and among ArcLight, Opco and OPAL Holdco.</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Combination” refers to the transaction contemplated by the BCA.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“Bylaws” refers to the bylaws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“Charter” refers to certificate of incorporation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A Units” refers to the Class A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“Class B Units” refers to the Class B Units as defined in the Second A&amp;R LLC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“Closing” refers to the closing of the Business Combination.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“Closing Date” refers to July 21, 2022.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“Common Stock” refers to the collective shares of Class A common stock, Class B common stock, Class C common stock and Class D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i w:val="1"/>
          <w:iCs w:val="1"/>
          <w:color w:val="auto"/>
        </w:rPr>
        <w:t>”).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refers to the Investment Company Act of 1940, as amended.</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“IPO” refers to ArcLight’s initial public offering of its Class A ordinary shares and ArcLight Public Warrants pursuant to the IPO Registration Statement and completed on March 25,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“IPO Registration Statement” refers to ArcLight’s Registration Statement on Form S-1, filed with the SEC (File No. 333-252730), on March 22,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“Meteora” refers to Meteora Capital Partners and its 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refers to the Nasdaq Capital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“NextEra” refers to Mendocino Capital,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and “OPAL Fuels” refers to OPAL Fuels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Board” refers to our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Holdco” refers to OPAL Holdco LLC, a Delaware limited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Preferred Stock” refers to our shares of preferred stock, par value $0.0001 per share.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“Private Placement Warrants” refers to the 9,223,261 redeemable warrants that were exchanged for the ArcLight Private Placement Warrants in connection with the Closing, entitling the holder thereof to purchase Class A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“Public Warrants” refers to the 6,223,261 redeemable warrants exchanged for the ArcLight Public Warrants in connection with the Closing, entitling the holder thereof to purchase Class A common stock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refers collectively to the Private Placement Warrants together with the Public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refers to OPAL Fuels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Common Equityholders” refers to OPAL Holdco and Hillman.</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“Opco Common Units” refers to the Class B Units resulting from the re-classification of the collective Opco common units existing immediately prior to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Units” refers to the 1,000,000 Series A preferred units of Opco held by NextEra.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A-1 Preferred Units” refers to the 300,000 Series A-1 preferred units of Opco held by Hillman.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the Charter and the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“Person” means an individual, partnership, corporation, limited liability company, joint stock company, unincorporated organization or association, trust, joint venture or other similar entity, whether or not a legal entity.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“PIPE Investment” refers to the PIPE Investors that purchased a total of 11,080,600 shares of Class A common stock in connection with the Closing at a cash purchase price of $10.00 per share pursuant to the Subscription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Investors” refers, collectively, to the institutional and accredited investors that entered into Subscription Agreements with ArcLight.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 refers to the U.S. Securities and Exchange Commission.</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“Second A&amp;R LLC Agreement” refers to the Second Amended and Restated Limited Liability Company Agreement of Opco.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refers to ArcLight CTC Holdings II, L.P., a Delaware limited partnership.</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“Subscription Agreements” refer to the subscription agreements (as amended from time to time) that ArcLight entered into in connection with the Business Combination Agreement, each dated as of December 2, 2021.</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“Advanced Clean Trucks Regulation” refers to the rules adopted by the California Air Resources Board on June 25, 2020 requiring the sale of zero-emission heavy-duty trucks.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“ADG” refers to anaerobic digester gas.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“BOD” refers to biochemical oxygen demand.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 refers to the California Air Resources Board.</w:t>
      </w:r>
    </w:p>
    <w:p>
      <w:pPr>
        <w:spacing w:after="0" w:line="19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w:t>
      </w:r>
      <w:r>
        <w:rPr>
          <w:rFonts w:ascii="MS PGothic" w:cs="MS PGothic" w:eastAsia="MS PGothic" w:hAnsi="MS PGothic"/>
          <w:sz w:val="18"/>
          <w:szCs w:val="18"/>
          <w:i w:val="1"/>
          <w:iCs w:val="1"/>
          <w:color w:val="auto"/>
        </w:rPr>
        <w:t>₂</w:t>
      </w:r>
      <w:r>
        <w:rPr>
          <w:rFonts w:ascii="Times New Roman" w:cs="Times New Roman" w:eastAsia="Times New Roman" w:hAnsi="Times New Roman"/>
          <w:sz w:val="18"/>
          <w:szCs w:val="18"/>
          <w:i w:val="1"/>
          <w:iCs w:val="1"/>
          <w:color w:val="auto"/>
        </w:rPr>
        <w:t>” refers to Carbon dioxide.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refers to environment, health and safety.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“EISA” refers to Energy Independence and Security Act of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“EPACT 2005” refers to the Energy Policy Act of 2005.</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refers to the U.S. Federal Energy Regulatory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“LCFS” refers to Low Carbon Fuel Standard or similar types of federal and state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149"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“Obligated Parties” means refiners or importers of gasoline or diesel fuel under the RFS program.</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“QFs” refers to qualifying small power production facilities under the Federal Power Act and the Public Utility Regulatory Policies Act of 1978,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“RECs” refers to Renewable Energy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“RPS” refers to Renewable Portfolio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“RTOs” refers to Regional Transmission Organizations.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2020 Executive Order” refers to Executive Order N-79-20 issued by the Governor of the State of California in September 2020.</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benefits of the Business Combination, which may be affected by, among other things, competition, our ability to grow and manage growth profitably, maintain relationships with customers and suppliers and retain key employees;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landfill gas and livestock waste projects that generate electricity and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and hydrogen dispensing stations;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 market conditions and global and economic factors beyond our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related to the global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and operators, on which we operate our landfill gas and livestock waste projects that generate electricity and (iii) RNG prices for Environmental Attributes, low carbon fuel standard credits and other incentives;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or obtain debt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7162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t>SUMMARY</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Capture and Conversion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Dispensing and Monetization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our current network of 75 Fueling Stations in 18 states in the United States, including more than 20 stations in California.</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2021, we signed a purchase and sale agreement with NextEra providing for the exclusive purchase by NextEra of 90% of our Environmental Attributes (RINs and LCFS credits). Under the agreement, we will receive the net proceeds paid to NextEra by NextEra customers for the purchase of such Environmental Attributes (or in certain circumstances an index-based or pre-negotiated price) less a specified discount.</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8284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8284845"/>
                    </a:xfrm>
                    <a:prstGeom prst="rect">
                      <a:avLst/>
                    </a:prstGeom>
                    <a:noFill/>
                  </pic:spPr>
                </pic:pic>
              </a:graphicData>
            </a:graphic>
          </wp:anchor>
        </w:drawing>
        <w:t>Hydrogen Fuel</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270"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As of that date, our RNG projects in operation had a design capacity of 2.8 million MMBtus per year and our Renewable Power Projects in operation had a nameplate capacity of 123.7 MW per hour. In addition to these projects in operation, we are actively pursuing expansion of our RNG-generating capacity and, accordingly, have a portfolio of RNG projects in construction or in development, with ten of our current Renewable Power Projects being considered candidates for conversion to RNG projects in the foreseeable future. See “</w:t>
      </w:r>
      <w:r>
        <w:rPr>
          <w:rFonts w:ascii="Times New Roman" w:cs="Times New Roman" w:eastAsia="Times New Roman" w:hAnsi="Times New Roman"/>
          <w:sz w:val="18"/>
          <w:szCs w:val="18"/>
          <w:i w:val="1"/>
          <w:iCs w:val="1"/>
          <w:color w:val="auto"/>
        </w:rPr>
        <w:t>Business—Our Projects</w:t>
      </w:r>
      <w:r>
        <w:rPr>
          <w:rFonts w:ascii="Times New Roman" w:cs="Times New Roman" w:eastAsia="Times New Roman" w:hAnsi="Times New Roman"/>
          <w:sz w:val="18"/>
          <w:szCs w:val="18"/>
          <w:color w:val="auto"/>
        </w:rPr>
        <w:t>” for further detail of our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aim to (i) maintain and grow our position as a leading producer and dispenser of RNG in the United States and (ii) maintain and increase our position as a leading provider of RNG to the heavy and medium-duty commercial vehicle market in the U.S. We support these objectives through a multi-pronged strategy of:</w:t>
      </w:r>
    </w:p>
    <w:p>
      <w:pPr>
        <w:spacing w:after="0" w:line="172" w:lineRule="exact"/>
        <w:rPr>
          <w:sz w:val="20"/>
          <w:szCs w:val="20"/>
          <w:color w:val="auto"/>
        </w:rPr>
      </w:pPr>
    </w:p>
    <w:p>
      <w:pPr>
        <w:jc w:val="both"/>
        <w:ind w:left="660" w:right="20" w:hanging="331"/>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Promoting the reduction of methane and GHG emissions and expanding the use of renewable fuels to displace fossil-based fuels</w:t>
      </w:r>
      <w:r>
        <w:rPr>
          <w:rFonts w:ascii="Times New Roman" w:cs="Times New Roman" w:eastAsia="Times New Roman" w:hAnsi="Times New Roman"/>
          <w:sz w:val="18"/>
          <w:szCs w:val="18"/>
          <w:color w:val="auto"/>
        </w:rPr>
        <w:t>: We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82"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industry position as a full-service partner for development opportunities, including through strategic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Throughout our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Expanding our capabilities to new feedstock sources and technologies</w:t>
      </w:r>
      <w:r>
        <w:rPr>
          <w:rFonts w:ascii="Times New Roman" w:cs="Times New Roman" w:eastAsia="Times New Roman" w:hAnsi="Times New Roman"/>
          <w:sz w:val="18"/>
          <w:szCs w:val="18"/>
          <w:color w:val="auto"/>
        </w:rPr>
        <w:t>: We believe we will be able to enter new markets for our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spacing w:after="0" w:line="179"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Empowering our customers to achieve their sustainability and carbon reduction objectives</w:t>
      </w:r>
      <w:r>
        <w:rPr>
          <w:rFonts w:ascii="Times New Roman" w:cs="Times New Roman" w:eastAsia="Times New Roman" w:hAnsi="Times New Roman"/>
          <w:sz w:val="18"/>
          <w:szCs w:val="18"/>
          <w:color w:val="auto"/>
        </w:rPr>
        <w:t>: We are well positioned to empower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ArcLight completed the Business Combination as contemplated by the Business Combination Agreement. In connection with this,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ArcLight; (ii) each issued and outstanding Class A ordinary share (including Class A ordinary shares resulting from the conversion of Class B ordinary shares into Class A ordinary shares) was automatically converted, on a one-for-one basis, into a share of our Class A common stock; (iii) each issued and outstanding warrant to purchase Class A ordinary shares of ArcLight automatically converted into a warrant to acquire one share of our Class A common stock upon substantially the same economic terms;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our Class A common stock and one-fifth of one Warrant.</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620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On July 21, 2022, as contemplated by the Business Combination Agreement:</w:t>
      </w:r>
    </w:p>
    <w:p>
      <w:pPr>
        <w:spacing w:after="0" w:line="225" w:lineRule="exact"/>
        <w:rPr>
          <w:sz w:val="20"/>
          <w:szCs w:val="20"/>
          <w:color w:val="auto"/>
        </w:rPr>
      </w:pPr>
    </w:p>
    <w:p>
      <w:pPr>
        <w:jc w:val="both"/>
        <w:ind w:left="660" w:right="20" w:hanging="331"/>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and its members caused the existing limited liability company agreement to be amended and restated and in connection therewith, all of the common units of OPAL Fuels LLC issued and outstanding immediately prior to the Closing were re-classified into 144,399,037 Class B Units;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$123,362,579 (representing (x) the amount of cash in the trust account established by ArcLight with the proceeds from the IPO as of immediately prior to the Closing, after giving effect to the exercise of redemption rights by any ArcLight shareholders and the set aside of funds in escrow to support a forward purchase agreement, plus (y) the aggregate cash proceeds received in respect of the PIPE Investment;</w:t>
      </w:r>
    </w:p>
    <w:p>
      <w:pPr>
        <w:spacing w:after="0" w:line="179"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contributed to OPAL Fuels LLC, and it in turn distributed to pre-closing members of Opco, 144,399,037 shares of our Class D common stock originally issued as consideration in connection with the Business Combination at a per share value of $10.00 per share;</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directly to Ares, 3,059,533 shares of our Class A common stock;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LLC issued to us 25,171,390 Class A Units of OPAL Fuels LLC.</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accredited and institutional investors in connection with the Business Combination, concurrently with the Closing of the Business Combination, we received $105,806,000 in proceeds from the PIPE Investors, in exchange for which we issued 10,580,600 shares of our Class A common stock issued to the PIPE Investors. We received the remaining $5.0 million subscribed for pursuant to the PIPE Investment from one of the PIPE Investors subsequent to the Closing and issued 500,000 shares of Class A common stock.</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of ArcLight properly exercised their right to have their ordinary shares redeemed for a full pro rata portion of the trust account holding the proceeds from the IPO, calculated as of two business days prior to the Closing, which was approximately $10.00 per share, or $274,186,522 in the aggregate.</w:t>
      </w:r>
    </w:p>
    <w:p>
      <w:pPr>
        <w:spacing w:after="0" w:line="172"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purchase obligations to Meteora under the Forward Purchase Agreement.</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22, 2022, our Class A common stock and Public Warrants commenced trading on The Nasdaq Capital Market under the symbols “OPAL” and “OPALW,” respectively, subject to ongoing review of our satisfaction of all listing criteria following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a Delaware corporation. Our principal executive offices are located at One North Lexington Avenue, Suite 1450, White Plains, New York 10601 and our telephone number is (914) 705-4000. Our website is </w:t>
      </w:r>
      <w:r>
        <w:rPr>
          <w:rFonts w:ascii="Times New Roman" w:cs="Times New Roman" w:eastAsia="Times New Roman" w:hAnsi="Times New Roman"/>
          <w:sz w:val="18"/>
          <w:szCs w:val="18"/>
          <w:i w:val="1"/>
          <w:iCs w:val="1"/>
          <w:color w:val="auto"/>
        </w:rPr>
        <w:t>www.opalfuels.com</w:t>
      </w:r>
      <w:r>
        <w:rPr>
          <w:rFonts w:ascii="Times New Roman" w:cs="Times New Roman" w:eastAsia="Times New Roman" w:hAnsi="Times New Roman"/>
          <w:sz w:val="18"/>
          <w:szCs w:val="18"/>
          <w:color w:val="auto"/>
        </w:rPr>
        <w:t>. Our website and the information contained on, or accessed through, its website are not part of this prospectus, and you should rely only on the information contained in this prospectus when making a decision as to whether to invest in our securities.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661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Risk Factor 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10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Third Party Relationships and Government Regulation of Our Business</w:t>
      </w:r>
    </w:p>
    <w:p>
      <w:pPr>
        <w:spacing w:after="0" w:line="229" w:lineRule="exact"/>
        <w:rPr>
          <w:sz w:val="20"/>
          <w:szCs w:val="20"/>
          <w:color w:val="auto"/>
        </w:rPr>
      </w:pPr>
    </w:p>
    <w:p>
      <w:pPr>
        <w:jc w:val="both"/>
        <w:ind w:left="660" w:right="20" w:hanging="331"/>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83" w:lineRule="exact"/>
        <w:rPr>
          <w:rFonts w:ascii="Times New Roman" w:cs="Times New Roman" w:eastAsia="Times New Roman" w:hAnsi="Times New Roman"/>
          <w:sz w:val="18"/>
          <w:szCs w:val="18"/>
          <w:color w:val="auto"/>
        </w:rPr>
      </w:pPr>
    </w:p>
    <w:p>
      <w:pPr>
        <w:jc w:val="both"/>
        <w:ind w:left="660" w:right="20" w:hanging="331"/>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79"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litigation or administrative proceedings that could materially impact our operations, including proceedings in the future related to projects we subsequently acquire.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Risks Related to Our Business</w:t>
      </w:r>
    </w:p>
    <w:p>
      <w:pPr>
        <w:spacing w:after="0" w:line="229" w:lineRule="exact"/>
        <w:rPr>
          <w:sz w:val="20"/>
          <w:szCs w:val="20"/>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price of oil, gasoline, diesel, natural gas, RNG or Environmental Attributes could adversely affect our business;</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may continue in the future to use, forward-sale and hedging arrangements, to mitigate certain risks, but the use of such arrangements could have a material adverse effect on our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7436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t>Additional Risk Factors Relating to Our Business in General</w:t>
      </w:r>
    </w:p>
    <w:p>
      <w:pPr>
        <w:spacing w:after="0" w:line="229" w:lineRule="exact"/>
        <w:rPr>
          <w:sz w:val="20"/>
          <w:szCs w:val="20"/>
          <w:color w:val="auto"/>
        </w:rPr>
      </w:pPr>
    </w:p>
    <w:p>
      <w:pPr>
        <w:jc w:val="both"/>
        <w:ind w:left="660" w:right="20" w:hanging="33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spacing w:after="0" w:line="175" w:lineRule="exact"/>
        <w:rPr>
          <w:rFonts w:ascii="Times New Roman" w:cs="Times New Roman" w:eastAsia="Times New Roman" w:hAnsi="Times New Roman"/>
          <w:sz w:val="18"/>
          <w:szCs w:val="18"/>
          <w:color w:val="auto"/>
        </w:rPr>
      </w:pPr>
    </w:p>
    <w:p>
      <w:pPr>
        <w:jc w:val="both"/>
        <w:ind w:left="660" w:right="20" w:hanging="331"/>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accounting losses and may incur additional losses in the future;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a capital-intensive business and are pursuing a business plan requiring significant access to capital. We may fail to get access to said capital in a timely manner or obtain capital at unfavorable terms.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relationships with our counterparties and suppliers may experience disruptions in connection with the Business Combination, which may limit our business; and</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timely and effectively implement controls and procedures required by Section 404(a) of the Sarbanes-Oxley Act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spacing w:after="0" w:line="180" w:lineRule="exact"/>
        <w:rPr>
          <w:sz w:val="20"/>
          <w:szCs w:val="20"/>
          <w:color w:val="auto"/>
        </w:rPr>
      </w:pPr>
    </w:p>
    <w:p>
      <w:pPr>
        <w:jc w:val="both"/>
        <w:ind w:left="660" w:right="20" w:hanging="331"/>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pacing w:after="0" w:line="157"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regarding mandatory audit firm rotation or a supplement to the auditor’s report providing additional information about the audit and the financial statements; and</w:t>
      </w:r>
    </w:p>
    <w:p>
      <w:pPr>
        <w:spacing w:after="0" w:line="174"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w:t>
      </w:r>
    </w:p>
    <w:p>
      <w:pPr>
        <w:ind w:right="20" w:firstLine="5"/>
        <w:spacing w:after="0" w:line="260"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in any three-year period, issued more than $1.0 billion in non-convertible debt securities; and (iv) December 31, 2026 (the last day of the fiscal year following the fifth anniversary of ArcLight becoming a public company).</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0" w:right="439" w:bottom="1440" w:gutter="0" w:footer="0" w:header="0"/>
        </w:sectPr>
      </w:pPr>
    </w:p>
    <w:bookmarkStart w:id="15" w:name="page16"/>
    <w:bookmarkEnd w:id="15"/>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36130" cy="2498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498725"/>
                    </a:xfrm>
                    <a:prstGeom prst="rect">
                      <a:avLst/>
                    </a:prstGeom>
                    <a:noFill/>
                  </pic:spPr>
                </pic:pic>
              </a:graphicData>
            </a:graphic>
          </wp:anchor>
        </w:drawing>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8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titled “</w:t>
      </w:r>
      <w:r>
        <w:rPr>
          <w:rFonts w:ascii="Times New Roman" w:cs="Times New Roman" w:eastAsia="Times New Roman" w:hAnsi="Times New Roman"/>
          <w:sz w:val="18"/>
          <w:szCs w:val="18"/>
          <w:i w:val="1"/>
          <w:iCs w:val="1"/>
          <w:color w:val="auto"/>
        </w:rPr>
        <w:t>Risk Factors—Risks Related to the Company—We are an “emerging growth company,” 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to comply with the reduced disclosure requirements as a public company may make our common stock less attractive to investors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04"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455"/>
        </w:trPr>
        <w:tc>
          <w:tcPr>
            <w:tcW w:w="40" w:type="dxa"/>
            <w:vAlign w:val="bottom"/>
            <w:tcBorders>
              <w:right w:val="single" w:sz="8" w:color="auto"/>
            </w:tcBorders>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Issuer</w:t>
            </w: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OPAL Fuels Inc.</w:t>
            </w:r>
          </w:p>
        </w:tc>
      </w:tr>
      <w:tr>
        <w:trPr>
          <w:trHeight w:val="432"/>
        </w:trPr>
        <w:tc>
          <w:tcPr>
            <w:tcW w:w="40" w:type="dxa"/>
            <w:vAlign w:val="bottom"/>
            <w:tcBorders>
              <w:right w:val="single" w:sz="8" w:color="auto"/>
            </w:tcBorders>
          </w:tcPr>
          <w:p>
            <w:pPr>
              <w:spacing w:after="0"/>
              <w:rPr>
                <w:sz w:val="24"/>
                <w:szCs w:val="24"/>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 common stock offered by the Selling Holders</w:t>
            </w: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Up to 181,764,740 shares of Class A common stock, consisting of:</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10,838,609 shares of Class A common stock issued under the Business Combination</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Agreement to Ares, Sponsor and certain former directors of ArcLight originally</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acquired by such parties for an effective purchase price of approximately $0.003 per</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share;</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144,399,037 shares of Class A common stock issuable upon the conversion of Class C</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common stock issuable to the Opco Common Equityholders upon the exchange of</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Opco Common Units and the cancellation of an equal number of shares of Class D</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common stock originally issued as consideration in connection with the Business</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Combination at a per share value of $10.00 per share;</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9,223,261 shares of Class A common stock underlying the Private Placement Warrants</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that were originally purchased at a purchase price of $1.00 per warrant;</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6,223,233 shares of Class A common stock underlying the Public Warrants that were</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originally issued as part of the units sold by Arclight at a purchase price of $10.00 per</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unit in its initial public offering; and</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spacing w:after="0"/>
              <w:rPr>
                <w:sz w:val="24"/>
                <w:szCs w:val="24"/>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11,080,600 shares of Class A common stock issued to the PIPE Investors at a purchase</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price of $10.00 per share.</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 common stock issuable upon the exchange of all</w:t>
            </w: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144,399,037</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Opco Common Units</w:t>
            </w:r>
          </w:p>
        </w:tc>
        <w:tc>
          <w:tcPr>
            <w:tcW w:w="686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of Class A common</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stock by the Selling Holders. We could receive up to an aggregate of $177,634,681 if all of</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Warrants are exercised for cash. However, we will only receive such proceeds if and</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when the holders of the Warrants choose to exercise them. The exercise of the Warrants,</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and any proceeds we may receive from their exercise, are highly dependent on the price of</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our Class A common stock and the spread between the exercise price of the Warrants and</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price of our Class A common stock at the time of exercise. We have 15,446,494</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outstanding Warrants to purchase 15,446,494 shares of our Class A common stock,</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exercisable at an exercise price of $11.50 per share. If the market price of our Class A</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is less than the exercise price of a holder’s Warrants, it is unlikely that</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holders will choose to exercise. As of September 16, 2022, the closing price of our Class A</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common stock was $9.69 per share. There can be no assurance that the Warrants will be in</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money prior to their expiration. In addition, the Sponsor (as defined herein), or its</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permitted transferees, have the option to exercise the Private Placement Warrants on a</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cashless basis. As such, it is possible that we may never generate any cash proceeds from</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exercise of our Warrants. We will bear all costs, expenses and fees in connection with</w:t>
            </w:r>
          </w:p>
        </w:tc>
      </w:tr>
      <w:tr>
        <w:trPr>
          <w:trHeight w:val="216"/>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registration of the securities. The Selling Holders will bear all commissions and</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discounts, if any, attributable to their respective sales of the securities.</w:t>
            </w:r>
          </w:p>
        </w:tc>
      </w:tr>
      <w:tr>
        <w:trPr>
          <w:trHeight w:val="414"/>
        </w:trPr>
        <w:tc>
          <w:tcPr>
            <w:tcW w:w="40" w:type="dxa"/>
            <w:vAlign w:val="bottom"/>
            <w:tcBorders>
              <w:right w:val="single" w:sz="8" w:color="auto"/>
            </w:tcBorders>
          </w:tcPr>
          <w:p>
            <w:pPr>
              <w:spacing w:after="0"/>
              <w:rPr>
                <w:sz w:val="24"/>
                <w:szCs w:val="24"/>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 for our shares of common stock and warrants</w:t>
            </w: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Our Class A common stock and public warrants are listed for trading on Nasdaq under the</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symbols “OPAL” and “OPALW,” respectively.</w:t>
            </w:r>
          </w:p>
        </w:tc>
      </w:tr>
      <w:tr>
        <w:trPr>
          <w:trHeight w:val="412"/>
        </w:trPr>
        <w:tc>
          <w:tcPr>
            <w:tcW w:w="40" w:type="dxa"/>
            <w:vAlign w:val="bottom"/>
            <w:tcBorders>
              <w:right w:val="single" w:sz="8" w:color="auto"/>
            </w:tcBorders>
          </w:tcPr>
          <w:p>
            <w:pPr>
              <w:spacing w:after="0"/>
              <w:rPr>
                <w:sz w:val="24"/>
                <w:szCs w:val="24"/>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w:t>
            </w:r>
          </w:p>
        </w:tc>
      </w:tr>
      <w:tr>
        <w:trPr>
          <w:trHeight w:val="218"/>
        </w:trPr>
        <w:tc>
          <w:tcPr>
            <w:tcW w:w="40" w:type="dxa"/>
            <w:vAlign w:val="bottom"/>
            <w:tcBorders>
              <w:right w:val="single" w:sz="8" w:color="auto"/>
            </w:tcBorders>
          </w:tcPr>
          <w:p>
            <w:pPr>
              <w:spacing w:after="0"/>
              <w:rPr>
                <w:sz w:val="18"/>
                <w:szCs w:val="18"/>
                <w:color w:val="auto"/>
              </w:rPr>
            </w:pPr>
          </w:p>
        </w:tc>
        <w:tc>
          <w:tcPr>
            <w:tcW w:w="4340" w:type="dxa"/>
            <w:vAlign w:val="bottom"/>
          </w:tcPr>
          <w:p>
            <w:pPr>
              <w:spacing w:after="0"/>
              <w:rPr>
                <w:sz w:val="18"/>
                <w:szCs w:val="18"/>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tc>
      </w:tr>
      <w:tr>
        <w:trPr>
          <w:trHeight w:val="234"/>
        </w:trPr>
        <w:tc>
          <w:tcPr>
            <w:tcW w:w="40" w:type="dxa"/>
            <w:vAlign w:val="bottom"/>
            <w:tcBorders>
              <w:right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68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elsewhere in this prospectus.</w:t>
            </w:r>
          </w:p>
        </w:tc>
      </w:tr>
      <w:tr>
        <w:trPr>
          <w:trHeight w:val="139"/>
        </w:trPr>
        <w:tc>
          <w:tcPr>
            <w:tcW w:w="40" w:type="dxa"/>
            <w:vAlign w:val="bottom"/>
            <w:tcBorders>
              <w:right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6860" w:type="dxa"/>
            <w:vAlign w:val="bottom"/>
            <w:tcBorders>
              <w:bottom w:val="single" w:sz="8" w:color="auto"/>
              <w:right w:val="single" w:sz="8" w:color="auto"/>
            </w:tcBorders>
          </w:tcPr>
          <w:p>
            <w:pPr>
              <w:spacing w:after="0"/>
              <w:rPr>
                <w:sz w:val="12"/>
                <w:szCs w:val="12"/>
                <w:color w:val="auto"/>
              </w:rPr>
            </w:pPr>
          </w:p>
        </w:tc>
      </w:tr>
      <w:tr>
        <w:trPr>
          <w:trHeight w:val="658"/>
        </w:trPr>
        <w:tc>
          <w:tcPr>
            <w:tcW w:w="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66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selected consolidated historical statements of operations and of cash flows data of Opco for the years ended December 31, 2021, 2020 and 2019 and the historical consolidated balance sheet data as of December 31, 2021 and 2020 are derived from Opco’s audited consolidated financial statements included elsewhere in this prospectus. The selected condensed consolidated historical statements of operations and of cash flows data of Opco for the six months ended June 30, 2022 and 2021 and the condensed consolidated historical balance sheet data as of June 30, 2022 are derived from Opco’s unaudited interim condensed consolidated financial statements included elsewhere in this prospectus. In Opco’s management’s opinion, the consolidated historical financial statements include all adjustments necessary to state fairly Opco’s financial position, results of operations and cash flows as of and for the periods presented herein.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Opco’s historical results are not necessarily indicative of the results that may be expected in the future and Opco’s results for the six months ended June 30, 2022 are not necessarily indicative of the results that may be expected for the full year ending December 31, 2022 or any other period. You should read the selected consolidated historical financial data together with the section titled “Management’s Discussion and Analysis of Financial Condition and Results of Operations” and Opco’s audited consolidated and unaudited condensed consolidated financial statements and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dollars except per unit data)</w:t>
            </w:r>
          </w:p>
        </w:tc>
        <w:tc>
          <w:tcPr>
            <w:tcW w:w="180" w:type="dxa"/>
            <w:vAlign w:val="bottom"/>
          </w:tcPr>
          <w:p>
            <w:pPr>
              <w:spacing w:after="0"/>
              <w:rPr>
                <w:sz w:val="21"/>
                <w:szCs w:val="21"/>
                <w:color w:val="auto"/>
              </w:rPr>
            </w:pPr>
          </w:p>
        </w:tc>
        <w:tc>
          <w:tcPr>
            <w:tcW w:w="25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01"/>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(Restated) </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 xml:space="preserve">(Restated) </w:t>
            </w:r>
            <w:r>
              <w:rPr>
                <w:rFonts w:ascii="Times New Roman" w:cs="Times New Roman" w:eastAsia="Times New Roman" w:hAnsi="Times New Roman"/>
                <w:sz w:val="29"/>
                <w:szCs w:val="29"/>
                <w:b w:val="1"/>
                <w:bCs w:val="1"/>
                <w:color w:val="auto"/>
                <w:w w:val="98"/>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102,264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117,706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75,589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90,168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90,972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18,810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11,185</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20,474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6,558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(6,408)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loss (gain) on interest rate swaps, net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Paid-in-kind preferred dividends</w:t>
            </w: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29"/>
                <w:szCs w:val="29"/>
                <w:color w:val="auto"/>
                <w:vertAlign w:val="superscript"/>
              </w:rPr>
              <w:t>(2)</w:t>
            </w:r>
          </w:p>
        </w:tc>
        <w:tc>
          <w:tcPr>
            <w:tcW w:w="180" w:type="dxa"/>
            <w:vAlign w:val="bottom"/>
          </w:tcPr>
          <w:p>
            <w:pPr>
              <w:spacing w:after="0"/>
              <w:rPr>
                <w:sz w:val="22"/>
                <w:szCs w:val="22"/>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2"/>
                <w:szCs w:val="22"/>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Data: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16,808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(54,298)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121,961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28,278</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21,453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24,653</w:t>
            </w:r>
          </w:p>
        </w:tc>
        <w:tc>
          <w:tcPr>
            <w:tcW w:w="0" w:type="dxa"/>
            <w:vAlign w:val="bottom"/>
          </w:tcPr>
          <w:p>
            <w:pPr>
              <w:spacing w:after="0"/>
              <w:rPr>
                <w:sz w:val="1"/>
                <w:szCs w:val="1"/>
                <w:color w:val="auto"/>
              </w:rPr>
            </w:pPr>
          </w:p>
        </w:tc>
      </w:tr>
      <w:tr>
        <w:trPr>
          <w:trHeight w:val="184"/>
        </w:trPr>
        <w:tc>
          <w:tcPr>
            <w:tcW w:w="46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line="275" w:lineRule="exact"/>
              <w:rPr>
                <w:sz w:val="20"/>
                <w:szCs w:val="20"/>
                <w:color w:val="auto"/>
              </w:rPr>
            </w:pPr>
            <w:r>
              <w:rPr>
                <w:rFonts w:ascii="Times New Roman" w:cs="Times New Roman" w:eastAsia="Times New Roman" w:hAnsi="Times New Roman"/>
                <w:sz w:val="17"/>
                <w:szCs w:val="17"/>
                <w:color w:val="auto"/>
              </w:rPr>
              <w:t>(857</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196"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Financials Statements</w:t>
      </w:r>
      <w:r>
        <w:rPr>
          <w:rFonts w:ascii="Times New Roman" w:cs="Times New Roman" w:eastAsia="Times New Roman" w:hAnsi="Times New Roman"/>
          <w:sz w:val="18"/>
          <w:szCs w:val="18"/>
          <w:color w:val="auto"/>
        </w:rPr>
        <w:t xml:space="preserve"> to Opco’s audited consolidated financial statements, we have restated the consolidated financial statements for the years ended December 31, 2020 and 2019.</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1"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Opco’s audited consolidated financial statements, the Company amended its limited liability company agreement on November 29, 2021 to convert its outstanding membership interests into 986 common units. The earnings per unit have been presented retrospectively for all periods presented.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8"/>
                <w:szCs w:val="18"/>
                <w:color w:val="auto"/>
              </w:rPr>
            </w:pPr>
          </w:p>
        </w:tc>
        <w:tc>
          <w:tcPr>
            <w:tcW w:w="230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5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dollars)</w:t>
            </w: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2"/>
                <w:szCs w:val="22"/>
                <w:color w:val="auto"/>
              </w:rPr>
            </w:pPr>
          </w:p>
        </w:tc>
        <w:tc>
          <w:tcPr>
            <w:tcW w:w="230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 xml:space="preserve">(Restated) </w:t>
            </w:r>
            <w:r>
              <w:rPr>
                <w:rFonts w:ascii="Times New Roman" w:cs="Times New Roman" w:eastAsia="Times New Roman" w:hAnsi="Times New Roman"/>
                <w:sz w:val="29"/>
                <w:szCs w:val="29"/>
                <w:b w:val="1"/>
                <w:bCs w:val="1"/>
                <w:color w:val="auto"/>
                <w:w w:val="98"/>
                <w:vertAlign w:val="superscript"/>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Debt - current and non-current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5"/>
              </w:rPr>
              <w:t>229,103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305,323</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285,887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Redeemable preferred units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132,645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380"/>
              <w:spacing w:after="0" w:line="203" w:lineRule="exact"/>
              <w:rPr>
                <w:sz w:val="20"/>
                <w:szCs w:val="20"/>
                <w:color w:val="auto"/>
              </w:rPr>
            </w:pPr>
            <w:r>
              <w:rPr>
                <w:rFonts w:ascii="Times New Roman" w:cs="Times New Roman" w:eastAsia="Times New Roman" w:hAnsi="Times New Roman"/>
                <w:sz w:val="18"/>
                <w:szCs w:val="18"/>
                <w:color w:val="auto"/>
                <w:w w:val="92"/>
              </w:rPr>
              <w:t>30,210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64,747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hanging="332"/>
        <w:spacing w:after="0" w:line="196"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Financials Statements</w:t>
      </w:r>
      <w:r>
        <w:rPr>
          <w:rFonts w:ascii="Times New Roman" w:cs="Times New Roman" w:eastAsia="Times New Roman" w:hAnsi="Times New Roman"/>
          <w:sz w:val="18"/>
          <w:szCs w:val="18"/>
          <w:color w:val="auto"/>
        </w:rPr>
        <w:t xml:space="preserve"> to Opco’s audited consolidated financial statements, we have restated the consolidated financial statements for the year ended December 31, 2020.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TICKER SYMBOL, AND DIVIDEND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OPAL’s Class A common stock and public warrants are listed for trading on Nasdaq under the symbols “OPAL” and “OPALW,”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closing price of the Class A common stock and the warrants to purchase Class A common stock on September 16, 2022 was $9.69, and $1.57, respectively. Holders of Class A common stock and warrants should obtain current market quotations for their securities.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Third Party Relationships and Government Regulation of Our Business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 w:cs="Times New Roman" w:eastAsia="Times New Roman" w:hAnsi="Times New Roman"/>
          <w:sz w:val="18"/>
          <w:szCs w:val="18"/>
          <w:i w:val="1"/>
          <w:iCs w:val="1"/>
          <w:color w:val="auto"/>
        </w:rPr>
        <w:t>Business—Our Projects.</w:t>
      </w:r>
      <w:r>
        <w:rPr>
          <w:rFonts w:ascii="Times New Roman" w:cs="Times New Roman" w:eastAsia="Times New Roman" w:hAnsi="Times New Roman"/>
          <w:sz w:val="18"/>
          <w:szCs w:val="18"/>
          <w:color w:val="auto"/>
        </w:rPr>
        <w:t>” In addition, the biogas rights are typically specific to the right to produce electricity generated from renewable sources (“</w:t>
      </w:r>
      <w:r>
        <w:rPr>
          <w:rFonts w:ascii="Times New Roman" w:cs="Times New Roman" w:eastAsia="Times New Roman" w:hAnsi="Times New Roman"/>
          <w:sz w:val="18"/>
          <w:szCs w:val="18"/>
          <w:b w:val="1"/>
          <w:bCs w:val="1"/>
          <w:i w:val="1"/>
          <w:iCs w:val="1"/>
          <w:color w:val="auto"/>
        </w:rPr>
        <w:t>Renewable Power</w:t>
      </w:r>
      <w:r>
        <w:rPr>
          <w:rFonts w:ascii="Times New Roman" w:cs="Times New Roman" w:eastAsia="Times New Roman" w:hAnsi="Times New Roman"/>
          <w:sz w:val="18"/>
          <w:szCs w:val="18"/>
          <w:color w:val="auto"/>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owners and operators of biogas project sites generally make no warranties to us as to the quality or quantity of gas produced.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from time to time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 w:cs="Times New Roman" w:eastAsia="Times New Roman" w:hAnsi="Times New Roman"/>
          <w:sz w:val="18"/>
          <w:szCs w:val="18"/>
          <w:b w:val="1"/>
          <w:bCs w:val="1"/>
          <w:i w:val="1"/>
          <w:iCs w:val="1"/>
          <w:color w:val="auto"/>
        </w:rPr>
        <w:t>Advanced Clean Trucks Regulation</w:t>
      </w:r>
      <w:r>
        <w:rPr>
          <w:rFonts w:ascii="Times New Roman" w:cs="Times New Roman" w:eastAsia="Times New Roman" w:hAnsi="Times New Roman"/>
          <w:sz w:val="18"/>
          <w:szCs w:val="18"/>
          <w:color w:val="auto"/>
        </w:rPr>
        <w:t>”) and Executive Order N-79-20 issued by the Governor of the State of California in September 2020 (the “</w:t>
      </w:r>
      <w:r>
        <w:rPr>
          <w:rFonts w:ascii="Times New Roman" w:cs="Times New Roman" w:eastAsia="Times New Roman" w:hAnsi="Times New Roman"/>
          <w:sz w:val="18"/>
          <w:szCs w:val="18"/>
          <w:b w:val="1"/>
          <w:bCs w:val="1"/>
          <w:i w:val="1"/>
          <w:iCs w:val="1"/>
          <w:color w:val="auto"/>
        </w:rPr>
        <w:t>September 2020 Executive Order</w:t>
      </w:r>
      <w:r>
        <w:rPr>
          <w:rFonts w:ascii="Times New Roman" w:cs="Times New Roman" w:eastAsia="Times New Roman" w:hAnsi="Times New Roman"/>
          <w:sz w:val="18"/>
          <w:szCs w:val="18"/>
          <w:color w:val="auto"/>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Numerous government entities have the power to enforce difficult and costly compliance measures or corrective actions pursuant to these laws and regulations and the permits issued under them. We may be required to make significant capital and operating expenditures on an ongoing basis, or to perform remedial or other corrective actions in connection with our Biogas Conversion Projects and Fueling Stations, to comply with the requirements of these environmental laws and regulations or the terms and conditions of our permits. Failure to comply with these laws and regulations or the terms or conditions of our permits may result in the assessment of sanctions, including administrative, civil or criminal penalties, the imposition of investigatory or remedial obligations, and the issuance of orders limiting or prohibiting some or all of our operations. In addition, we may experience delays in obtaining or be unable to obtain required environmental regulatory permits, consents, waivers or approvals, which may delay or interrupt our operations and limit our growth and revenue.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example, our Arbor Hills landfill gas facility in Northville, MI has entered into a Consent Decree, which was fully executed and submitted to the United States District Court for the Eastern District of Michigan on September 9, 2021, with the US Department of Justice, the EPA, Michigan Attorney General, Michigan Department of Environment, Great Lakes, and Energy and Michigan Department of Environmental Quality to resolve notices of violation relating to sulfur oxide emissions exceedances, failure to timely perform source testing and improper use of diesel fuel as an alternative to landfill gas for start-up combustion. The Company has agreed to pay total penalties of $750,000 and is required to install pollution control equipment to reduce emissions from the facility. See </w:t>
      </w:r>
      <w:r>
        <w:rPr>
          <w:rFonts w:ascii="Times New Roman" w:cs="Times New Roman" w:eastAsia="Times New Roman" w:hAnsi="Times New Roman"/>
          <w:sz w:val="18"/>
          <w:szCs w:val="18"/>
          <w:i w:val="1"/>
          <w:iCs w:val="1"/>
          <w:color w:val="auto"/>
        </w:rPr>
        <w:t>“Business—Legal Proceedings—Arbor Hills Matter.”</w:t>
      </w:r>
      <w:r>
        <w:rPr>
          <w:rFonts w:ascii="Times New Roman" w:cs="Times New Roman" w:eastAsia="Times New Roman" w:hAnsi="Times New Roman"/>
          <w:sz w:val="18"/>
          <w:szCs w:val="18"/>
          <w:color w:val="auto"/>
        </w:rPr>
        <w:t xml:space="preserve"> In addition, on July 30, 2021, Richmond Energy, a Company subsidiary, entered into a Consent Order with the Virginia Department of Environmental Quality (“</w:t>
      </w:r>
      <w:r>
        <w:rPr>
          <w:rFonts w:ascii="Times New Roman" w:cs="Times New Roman" w:eastAsia="Times New Roman" w:hAnsi="Times New Roman"/>
          <w:sz w:val="18"/>
          <w:szCs w:val="18"/>
          <w:b w:val="1"/>
          <w:bCs w:val="1"/>
          <w:i w:val="1"/>
          <w:iCs w:val="1"/>
          <w:color w:val="auto"/>
        </w:rPr>
        <w:t>VDEQ</w:t>
      </w:r>
      <w:r>
        <w:rPr>
          <w:rFonts w:ascii="Times New Roman" w:cs="Times New Roman" w:eastAsia="Times New Roman" w:hAnsi="Times New Roman"/>
          <w:sz w:val="18"/>
          <w:szCs w:val="18"/>
          <w:color w:val="auto"/>
        </w:rPr>
        <w:t>”)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facility has been shut down since April 3, 2020 while the Richmond Energy modifies the facility’s permit, which will require the installation of a chiller treatment system at an estimated cost of $1.0 million. The facility is expected to be back online within the next six to twelve months.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w:t>
      </w:r>
    </w:p>
    <w:p>
      <w:pPr>
        <w:spacing w:after="0" w:line="6" w:lineRule="exact"/>
        <w:rPr>
          <w:sz w:val="20"/>
          <w:szCs w:val="20"/>
          <w:color w:val="auto"/>
        </w:rPr>
      </w:pPr>
    </w:p>
    <w:p>
      <w:pPr>
        <w:ind w:right="20" w:firstLine="8"/>
        <w:spacing w:after="0" w:line="260" w:lineRule="auto"/>
        <w:tabs>
          <w:tab w:leader="none" w:pos="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development of emissions reduction targets and (vi) establish the special presidential envoy for climate on the National Security Council. At this time, we cannot predict the outcome of any of these executive orders on our operations.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U.S. Environmental Protection Agency (“</w:t>
      </w:r>
      <w:r>
        <w:rPr>
          <w:rFonts w:ascii="Times New Roman" w:cs="Times New Roman" w:eastAsia="Times New Roman" w:hAnsi="Times New Roman"/>
          <w:sz w:val="18"/>
          <w:szCs w:val="18"/>
          <w:b w:val="1"/>
          <w:bCs w:val="1"/>
          <w:i w:val="1"/>
          <w:iCs w:val="1"/>
          <w:color w:val="auto"/>
        </w:rPr>
        <w:t>EPA</w:t>
      </w:r>
      <w:r>
        <w:rPr>
          <w:rFonts w:ascii="Times New Roman" w:cs="Times New Roman" w:eastAsia="Times New Roman" w:hAnsi="Times New Roman"/>
          <w:sz w:val="18"/>
          <w:szCs w:val="18"/>
          <w:color w:val="auto"/>
        </w:rPr>
        <w:t>”) annually sets proposed and actual renewable volume obligations (“</w:t>
      </w:r>
      <w:r>
        <w:rPr>
          <w:rFonts w:ascii="Times New Roman" w:cs="Times New Roman" w:eastAsia="Times New Roman" w:hAnsi="Times New Roman"/>
          <w:sz w:val="18"/>
          <w:szCs w:val="18"/>
          <w:b w:val="1"/>
          <w:bCs w:val="1"/>
          <w:i w:val="1"/>
          <w:iCs w:val="1"/>
          <w:color w:val="auto"/>
        </w:rPr>
        <w:t>RVOs</w:t>
      </w:r>
      <w:r>
        <w:rPr>
          <w:rFonts w:ascii="Times New Roman" w:cs="Times New Roman" w:eastAsia="Times New Roman" w:hAnsi="Times New Roman"/>
          <w:sz w:val="18"/>
          <w:szCs w:val="18"/>
          <w:color w:val="auto"/>
        </w:rPr>
        <w:t>”) for the Renewable Identification Numbers (“</w:t>
      </w:r>
      <w:r>
        <w:rPr>
          <w:rFonts w:ascii="Times New Roman" w:cs="Times New Roman" w:eastAsia="Times New Roman" w:hAnsi="Times New Roman"/>
          <w:sz w:val="18"/>
          <w:szCs w:val="18"/>
          <w:b w:val="1"/>
          <w:bCs w:val="1"/>
          <w:i w:val="1"/>
          <w:iCs w:val="1"/>
          <w:color w:val="auto"/>
        </w:rPr>
        <w:t>RIN</w:t>
      </w:r>
      <w:r>
        <w:rPr>
          <w:rFonts w:ascii="Times New Roman" w:cs="Times New Roman" w:eastAsia="Times New Roman" w:hAnsi="Times New Roman"/>
          <w:sz w:val="18"/>
          <w:szCs w:val="18"/>
          <w:color w:val="auto"/>
        </w:rPr>
        <w:t>”) market in accordance with the mandates established by the Energy Independence and Security Act of 2007 (the “</w:t>
      </w:r>
      <w:r>
        <w:rPr>
          <w:rFonts w:ascii="Times New Roman" w:cs="Times New Roman" w:eastAsia="Times New Roman" w:hAnsi="Times New Roman"/>
          <w:sz w:val="18"/>
          <w:szCs w:val="18"/>
          <w:b w:val="1"/>
          <w:bCs w:val="1"/>
          <w:i w:val="1"/>
          <w:iCs w:val="1"/>
          <w:color w:val="auto"/>
        </w:rPr>
        <w:t>EISA</w:t>
      </w:r>
      <w:r>
        <w:rPr>
          <w:rFonts w:ascii="Times New Roman" w:cs="Times New Roman" w:eastAsia="Times New Roman" w:hAnsi="Times New Roman"/>
          <w:sz w:val="18"/>
          <w:szCs w:val="18"/>
          <w:color w:val="auto"/>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 w:cs="Times New Roman" w:eastAsia="Times New Roman" w:hAnsi="Times New Roman"/>
          <w:sz w:val="18"/>
          <w:szCs w:val="18"/>
          <w:b w:val="1"/>
          <w:bCs w:val="1"/>
          <w:i w:val="1"/>
          <w:iCs w:val="1"/>
          <w:color w:val="auto"/>
        </w:rPr>
        <w:t>RFS</w:t>
      </w:r>
      <w:r>
        <w:rPr>
          <w:rFonts w:ascii="Times New Roman" w:cs="Times New Roman" w:eastAsia="Times New Roman" w:hAnsi="Times New Roman"/>
          <w:sz w:val="18"/>
          <w:szCs w:val="18"/>
          <w:color w:val="auto"/>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86"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On the state level, the economics of RNG are enhanced by low-carbon fuel initiatives, particularly a well-established Low Carbon Fuel Standard (“</w:t>
      </w:r>
      <w:r>
        <w:rPr>
          <w:rFonts w:ascii="Times New Roman" w:cs="Times New Roman" w:eastAsia="Times New Roman" w:hAnsi="Times New Roman"/>
          <w:sz w:val="18"/>
          <w:szCs w:val="18"/>
          <w:b w:val="1"/>
          <w:bCs w:val="1"/>
          <w:i w:val="1"/>
          <w:iCs w:val="1"/>
          <w:color w:val="auto"/>
        </w:rPr>
        <w:t>LCFS</w:t>
      </w:r>
      <w:r>
        <w:rPr>
          <w:rFonts w:ascii="Times New Roman" w:cs="Times New Roman" w:eastAsia="Times New Roman" w:hAnsi="Times New Roman"/>
          <w:sz w:val="18"/>
          <w:szCs w:val="18"/>
          <w:color w:val="auto"/>
        </w:rPr>
        <w:t>”) program in California and similar developing programs in Oregon and Washington (with several other states also actively considering similar initiatives). In California’s case, in 2009, the California Air Resource Board (“</w:t>
      </w:r>
      <w:r>
        <w:rPr>
          <w:rFonts w:ascii="Times New Roman" w:cs="Times New Roman" w:eastAsia="Times New Roman" w:hAnsi="Times New Roman"/>
          <w:sz w:val="18"/>
          <w:szCs w:val="18"/>
          <w:b w:val="1"/>
          <w:bCs w:val="1"/>
          <w:i w:val="1"/>
          <w:iCs w:val="1"/>
          <w:color w:val="auto"/>
        </w:rPr>
        <w:t>CARB</w:t>
      </w:r>
      <w:r>
        <w:rPr>
          <w:rFonts w:ascii="Times New Roman" w:cs="Times New Roman" w:eastAsia="Times New Roman" w:hAnsi="Times New Roman"/>
          <w:sz w:val="18"/>
          <w:szCs w:val="18"/>
          <w:color w:val="auto"/>
        </w:rPr>
        <w:t>”) adopted LCFS regulations aimed at reducing the Carbon Intensity (“</w:t>
      </w:r>
      <w:r>
        <w:rPr>
          <w:rFonts w:ascii="Times New Roman" w:cs="Times New Roman" w:eastAsia="Times New Roman" w:hAnsi="Times New Roman"/>
          <w:sz w:val="18"/>
          <w:szCs w:val="18"/>
          <w:b w:val="1"/>
          <w:bCs w:val="1"/>
          <w:i w:val="1"/>
          <w:iCs w:val="1"/>
          <w:color w:val="auto"/>
        </w:rPr>
        <w:t>CI</w:t>
      </w:r>
      <w:r>
        <w:rPr>
          <w:rFonts w:ascii="Times New Roman" w:cs="Times New Roman" w:eastAsia="Times New Roman" w:hAnsi="Times New Roman"/>
          <w:sz w:val="18"/>
          <w:szCs w:val="18"/>
          <w:color w:val="auto"/>
        </w:rPr>
        <w:t>”) of transportation fuel sold and purchased in the state. A CI score is calculated as grams of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equivalent per megajoule of energy by the fuel. Under the California and California-type LCFS programs, the CI score is dependent upon a full lifecycle analysis that evaluates the greenhouse gases (“</w:t>
      </w:r>
      <w:r>
        <w:rPr>
          <w:rFonts w:ascii="Times New Roman" w:cs="Times New Roman" w:eastAsia="Times New Roman" w:hAnsi="Times New Roman"/>
          <w:sz w:val="18"/>
          <w:szCs w:val="18"/>
          <w:b w:val="1"/>
          <w:bCs w:val="1"/>
          <w:i w:val="1"/>
          <w:iCs w:val="1"/>
          <w:color w:val="auto"/>
        </w:rPr>
        <w:t>GHG</w:t>
      </w:r>
      <w:r>
        <w:rPr>
          <w:rFonts w:ascii="Times New Roman" w:cs="Times New Roman" w:eastAsia="Times New Roman" w:hAnsi="Times New Roman"/>
          <w:sz w:val="18"/>
          <w:szCs w:val="18"/>
          <w:color w:val="auto"/>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generate revenue from sales of RINs and LCFS credits depends on our strict compliance with such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our current electric generating facilities are qualifying small power production facilities (“</w:t>
      </w:r>
      <w:r>
        <w:rPr>
          <w:rFonts w:ascii="Times New Roman" w:cs="Times New Roman" w:eastAsia="Times New Roman" w:hAnsi="Times New Roman"/>
          <w:sz w:val="18"/>
          <w:szCs w:val="18"/>
          <w:b w:val="1"/>
          <w:bCs w:val="1"/>
          <w:i w:val="1"/>
          <w:iCs w:val="1"/>
          <w:color w:val="auto"/>
        </w:rPr>
        <w:t>QFs</w:t>
      </w:r>
      <w:r>
        <w:rPr>
          <w:rFonts w:ascii="Times New Roman" w:cs="Times New Roman" w:eastAsia="Times New Roman" w:hAnsi="Times New Roman"/>
          <w:sz w:val="18"/>
          <w:szCs w:val="18"/>
          <w:color w:val="auto"/>
        </w:rPr>
        <w:t>”)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 w:cs="Times New Roman" w:eastAsia="Times New Roman" w:hAnsi="Times New Roman"/>
          <w:sz w:val="18"/>
          <w:szCs w:val="18"/>
          <w:b w:val="1"/>
          <w:bCs w:val="1"/>
          <w:i w:val="1"/>
          <w:iCs w:val="1"/>
          <w:color w:val="auto"/>
        </w:rPr>
        <w:t>MBR Authority</w:t>
      </w:r>
      <w:r>
        <w:rPr>
          <w:rFonts w:ascii="Times New Roman" w:cs="Times New Roman" w:eastAsia="Times New Roman" w:hAnsi="Times New Roman"/>
          <w:sz w:val="18"/>
          <w:szCs w:val="18"/>
          <w:color w:val="auto"/>
        </w:rPr>
        <w:t>”) or any other approval from the U.S. Federal Energy Regulatory Commission (“</w:t>
      </w:r>
      <w:r>
        <w:rPr>
          <w:rFonts w:ascii="Times New Roman" w:cs="Times New Roman" w:eastAsia="Times New Roman" w:hAnsi="Times New Roman"/>
          <w:sz w:val="18"/>
          <w:szCs w:val="18"/>
          <w:b w:val="1"/>
          <w:bCs w:val="1"/>
          <w:i w:val="1"/>
          <w:iCs w:val="1"/>
          <w:color w:val="auto"/>
        </w:rPr>
        <w:t>FERC</w:t>
      </w:r>
      <w:r>
        <w:rPr>
          <w:rFonts w:ascii="Times New Roman" w:cs="Times New Roman" w:eastAsia="Times New Roman" w:hAnsi="Times New Roman"/>
          <w:sz w:val="18"/>
          <w:szCs w:val="18"/>
          <w:color w:val="auto"/>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5" w:name="page26"/>
    <w:bookmarkEnd w:id="2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 w:cs="Times New Roman" w:eastAsia="Times New Roman" w:hAnsi="Times New Roman"/>
          <w:sz w:val="18"/>
          <w:szCs w:val="18"/>
          <w:b w:val="1"/>
          <w:bCs w:val="1"/>
          <w:i w:val="1"/>
          <w:iCs w:val="1"/>
          <w:color w:val="auto"/>
        </w:rPr>
        <w:t>RPS</w:t>
      </w:r>
      <w:r>
        <w:rPr>
          <w:rFonts w:ascii="Times New Roman" w:cs="Times New Roman" w:eastAsia="Times New Roman" w:hAnsi="Times New Roman"/>
          <w:sz w:val="18"/>
          <w:szCs w:val="18"/>
          <w:color w:val="auto"/>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Existing,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Risks Related to Our Business</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volatility in the price of oil, gasoline, diesel, natural gas, RNG, or Environmental Attribute prices could adversely affect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18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w:t>
      </w:r>
    </w:p>
    <w:p>
      <w:pPr>
        <w:spacing w:after="0" w:line="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power or in patterns of power usage, including the potential development of demand-side management tools and practices;</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fuels or new technologies for the production of power; (vii) federal and state regulations; and (viii) actions of the Independent System Operators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and Regional Transmission Organizations (“</w:t>
      </w:r>
      <w:r>
        <w:rPr>
          <w:rFonts w:ascii="Times New Roman" w:cs="Times New Roman" w:eastAsia="Times New Roman" w:hAnsi="Times New Roman"/>
          <w:sz w:val="18"/>
          <w:szCs w:val="18"/>
          <w:b w:val="1"/>
          <w:bCs w:val="1"/>
          <w:i w:val="1"/>
          <w:iCs w:val="1"/>
          <w:color w:val="auto"/>
        </w:rPr>
        <w:t>RTOs</w:t>
      </w:r>
      <w:r>
        <w:rPr>
          <w:rFonts w:ascii="Times New Roman" w:cs="Times New Roman" w:eastAsia="Times New Roman" w:hAnsi="Times New Roman"/>
          <w:sz w:val="18"/>
          <w:szCs w:val="18"/>
          <w:color w:val="auto"/>
        </w:rPr>
        <w:t>”) that control and administer regional power markets.</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volume and composition of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Biogas Capture Business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convert, develop and operate Biogas Conversion Projects, as well as expand production at current Biogas Conversion Projects, is subject to many risks.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several additional risks,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commodity prices, such as natural gas and wholesale electricity prices, which could have a significant effect on our revenues and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markets where we have less experience, such as our Biogas Conversion Projects for biogas recovery at livestock farms;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land rights, including ownership, leases, easements, zoning rights and building permits;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keeping in good standing permits, authorizations and consents from local city, county, state and US federal government agencies and organizations;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including potential termination, under short-term and long-term contracts for failing to produce or deliver a sufficient quantity and acceptable quality of RNG in accordance with our contractual obligations;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regulatory changes related to the transportation of RNG, which may increase the transportation cost for delivering under our contracts then in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and authorization of local utilities or other energy development off-takers to ensure successful interconnection to energy grids to enable power and gas sales;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Biogas Conversion Projects.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related to acquiring existing projects,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could significantly deplete our cash reserves or result in dilution to our existing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or assets may not improve our customer offerings or market position as planned;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companies;</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counterparties of the acquired companies may terminate their relationships with the acquired companies as a result of or following the acquisition;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certain areas, such as tax planning and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and expenses related to complying with additional laws, rules or regulations in new jurisdictions;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diverse enterprises;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an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development and operation of our Biogas Conversion Projects involves significant risks and hazards.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Dispensing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color w:val="auto"/>
        </w:rPr>
        <w:t>In addition, other factors related to the development and operation of renewable energy projects could adversely affect our business, including:</w:t>
      </w:r>
    </w:p>
    <w:p>
      <w:pPr>
        <w:spacing w:after="0" w:line="27" w:lineRule="exact"/>
        <w:rPr>
          <w:sz w:val="20"/>
          <w:szCs w:val="20"/>
          <w:color w:val="auto"/>
        </w:rPr>
      </w:pPr>
    </w:p>
    <w:p>
      <w:pPr>
        <w:jc w:val="both"/>
        <w:ind w:firstLine="8"/>
        <w:spacing w:after="0" w:line="250" w:lineRule="auto"/>
        <w:tabs>
          <w:tab w:leader="none" w:pos="2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Also, other important fleet markets, including airports and public transit, had slower than expected volume and customer growth in 2018, 2019 and 2020, which was largely reversed in 2021, but may continue into 2022 and beyond.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factors that may influence the adoption of natural gas vehicle fuels, many of which are beyond our control, include, among others:</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demand for trucks that use natural gas vehicle fuels due to business disruptions and depressed oil prices;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in the supply, demand, use and prices of crude oil, gasoline, diesel, RNG, natural gas and other vehicle fuels, such as electricity, hydrogen, renewable diesel, biodiesel and ethanol;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Emissions and other environmental regulations and pressures on producing, transporting, and dispensing our fuels.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June 2020, CARB adopted the Advanced Clean Trucks regulation, which requires manufacturers to sell a gradually increasing proportion of zero-emission electric trucks, vans and pickup trucks from 2024 onwards. By the 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financing, construction, and development of Fueling Station projects by us or our partners that own projects may not commence on anticipated timelines or at all.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acquisition, financing, construction and development of projects involves numerous risks,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all necessary rights to land access and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cost and schedule for completing construction;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assumptions with respect to the biogas potential, including quality, volume, and asset life;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project on acceptable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deliveries or increases in the price of equipment or other materials;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and other regulatory issues, license revocation and changes in legal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labor disputes and work stoppages or the inability to find an adequate supply of workers;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quality and timely performance of third-party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and environmental problems;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or supply chain disruptions;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health crises, pandemics, catastrophic events, including fires, explosions, earthquakes, droughts and acts of terrorism, and other force majeure events;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interconnection and access to utilities.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new projects have no operating history. A new project may be unable to fund principal and interest payments under its debt service obligations or may operate at a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Business in General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Biogas Conversion Projects and Fueling Stations are newly constructed or are under construction and may not perform as we expect.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pro forma consolidated indebtedness as of June 30, 2022 would have been approximately $210.5 million, or approximately 41.7% of our total pro forma capitalization of $504.6 million at such date. See </w:t>
      </w:r>
      <w:r>
        <w:rPr>
          <w:rFonts w:ascii="Times New Roman" w:cs="Times New Roman" w:eastAsia="Times New Roman" w:hAnsi="Times New Roman"/>
          <w:sz w:val="18"/>
          <w:szCs w:val="18"/>
          <w:i w:val="1"/>
          <w:iCs w:val="1"/>
          <w:color w:val="auto"/>
        </w:rPr>
        <w:t>“Unaudited Pro Forma Combined Financial Information”</w:t>
      </w:r>
      <w:r>
        <w:rPr>
          <w:rFonts w:ascii="Times New Roman" w:cs="Times New Roman" w:eastAsia="Times New Roman" w:hAnsi="Times New Roman"/>
          <w:sz w:val="18"/>
          <w:szCs w:val="18"/>
          <w:color w:val="auto"/>
        </w:rPr>
        <w:t xml:space="preserve"> elsewhere in this prospectus for a discussion of the related pro forma adjustments and assumptions. Additionally, on November 29, 2021, we entered into an Exchange Agreement with Hillman pursuant to which Opco issued to Hillman Series A-1 Preferred Units of Opco,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Opco, which are redeemable after four years at the option of NextEra for an aggregate redemption price of $100.0 million plus accrued and unpaid dividends thereon.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substantial indebtedness and preferred units redemption obligations could have important consequences, including, for example:</w:t>
      </w:r>
    </w:p>
    <w:p>
      <w:pPr>
        <w:spacing w:after="0" w:line="225"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financial flexibility could reduce our ability to plan for and react to unexpected opportunities;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accounting losses and may incur additional losses in the future.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Opco and its predecessor companies have incurred net losses historically, including a net loss of $6.7 million for the six months ended June 30, 2022, net income attributable to OPAL Fuels LLC of $41.4 million for the year ended December 31, 2021 and net loss of $25.4 million for the year ended December 31, 2020, respectively.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could adversely affect our business performance. Our management team has limited experience in operating a public company such as us.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measures intended to reduce its spread have, and may continue to, adversely affect our business, results of operations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delay in the adoption of natural gas vehicle fuels by heavy-duty trucks and/or a delay in increasing the use of our vehicle fuels;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business disruptions on the production of vehicles and engines that use our fuels, which has resulted in, and may continue to result in, plant closures, decreased manufacturing capacity, and delays in deliveries;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depressed oil and diesel prices, especially relative to natural gas prices and for a prolonged period, which may decrease the price-related incentive for operators to adopt trucks that use our vehicle fuels.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relationships with our counterparties and suppliers may experience disruptions as a result of the Business Combination, which may limit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Parties with which Opco did business prior to the Business Combination or with which we may do business in the future, including our counterparties and suppliers, may experience uncertainty as a result of the Business Combination, including with respect to current or future business relationships with us. As a result, our business relationships may be subject to disruptions if our counterparties and suppliers or others attempt to negotiate changes in existing business relationships or consider entering into business relationships with parties other than us. For example, certain of our counterparties, suppliers and third-party providers may have had contractual consent rights or termination rights that were triggered by a change of control or assignment of the rights and obligations of contracts that was transferred in connection with the Business Combination These disruptions could harm relationships with our existing third parties with whom we have relationships and preclude us from attracting new third parties, all of which could have a material adverse effect on our business, financial condition and results of operations, cash flows, and/or share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Opco’s and ArcLight’s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and audit of Opco’s consolidated financial statements for each of the years ended December 31, 2021, 2020 and 2019, material weaknesses were identified in Opco’s internal control over financial reporting. In addition, a material weakness in the internal controls over financial reporting of ArcLight was identified as of November 24, 2021.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respect to Opco, these material weaknesses identified were as follows:</w:t>
      </w:r>
    </w:p>
    <w:p>
      <w:pPr>
        <w:spacing w:after="0" w:line="225"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an adequate control environment, including internal communications, to allow for timeliness of reviews for the accounting and disclosures of significant and unusual transactions and contracts;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lack of appropriate segregation of duties and appropriate access controls as certain employees have the ability to prepare and post journal entries while other employees have inappropriate access to certain financial systems. For various transactions and account reconciliations, the same person was the originator and preparer of financial information without further review by an independent person with sufficient accounting and/or financial reporting competence and authority;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did not have timely and effective reviews over standard account reconciliations and related accounting analysis which resulted in various audit adjustments that we corrected;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controls over application of ASC-606 were not designed and implemented appropriately during the current year.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ArcLight, in connection with the preparation of ArcLight’s financial statements as of December 31, 2021, ArcLight concluded it was appropriate to restate the presentation of ArcLight Class A Ordinary Shares subject to possible redemption to reflect its ordinary shares within temporary equity after determining the ordinary shares’ redemption feature is not solely within its control. As part of such process, ArcLight identified a material weakness in its internal controls over financial reporting related to the accounting for its complex financial instruments (including redeemable equity instruments as described above).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accounts or disclosures that would result in a material misstatement to our annual or interim financial statements that would not be prevented or detected.</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and begun executing on a plan to remediate these material weaknesses, including the hiring of a Chief Financial Officer and a Chief Accounting Officer. Our remediation plans may include measures such as: hiring additional accounting and financial reporting personnel with appropriate technical accounting knowledge and public company experience in financial reporting; designing and implementing formal processes, policies and procedures supporting our financial close process, including creating standard balance sheet reconciliation templates and journal entry controls; and designing and implementing controls to formalize roles and review responsibilities to align with our team’s skills and experience in designing and implementing formal controls over segregation of duties.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timely and effectively implement controls and procedures required by Section 404(a) of the Sarbanes-Oxley Act could have a material adverse effect on its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Opco historically as a privately-held company or by ArcLight prior to the closing of the Business Combination.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17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3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 The shares of Class A common stock being offered for resale pursuant to this prospectus by the Selling Holders represent approximately 98.0% of shares outstanding of the Company as of September 16, 2022 (after giving effect to the issuance of shares upon exercise of outstanding Warrants and upon the conversion of Class C common stock to be issued to the Opco Common Equityholders upon the exchange by them of Opco Common Units).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Approximately 155,237,646 of these shares of Class A common stock are currently subject to restrictions on transfer under a 180-day lock-up agreement entered into between us and the holders of those shares. These restrictions are due to expire on January 17, 2023, resulting in these shares becoming eligible for public sale on January 18, 2023. Sales of such shares may be made under the registration statement filed under the Securities Act of 1933, as amended (the “Securities Act”), of which this prospectus is a part or in reliance upon an exemption from registration under the Securities Act. Pursuant to the Investor Rights Agreement, those stockholders are entitled to have the registration statement under the Securities Act of which this prospectus is a part kept effective for a prolonged period of time such that registered resales of their shares of Class A common stock can be made.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this registration statement is effective and until such time that it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Class A common stock sell a significant portion of their securities, it may negatively impact the market price of the shares of our Class A common stock and such holders still may receive significant proceeds.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Opco Common Equityholders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7,779,076 Founder Shares were purchased at an effective price of $0.003 per share. Accordingly, holders of the Founder Shares could sell their securities at a per-share price that is less than $10.00 and still realize a significant profit from the sale of those securities that could not be realized by our other shareholders. On September 16, 2022, the closing price of our Class A common stock was $9.69. Based on this closing price, the aggregate sales price of the Founder Shares would be approximately $75,379,246.</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Founder Shares are currently subject to restrictions on transfer under applicable lock-up agreements; however, these restrictions are due to expire on January 17, 2023, resulting in these shares becoming eligible for public sale on January 18, 2023, if they are registered under the Securities Act, or if they qualify for an exemption from registration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reputations or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terms of ArcLight’s placement agent agreements with BofA Securities, Inc. (“</w:t>
      </w:r>
      <w:r>
        <w:rPr>
          <w:rFonts w:ascii="Times New Roman" w:cs="Times New Roman" w:eastAsia="Times New Roman" w:hAnsi="Times New Roman"/>
          <w:sz w:val="18"/>
          <w:szCs w:val="18"/>
          <w:b w:val="1"/>
          <w:bCs w:val="1"/>
          <w:i w:val="1"/>
          <w:iCs w:val="1"/>
          <w:color w:val="auto"/>
        </w:rPr>
        <w:t>BofA</w:t>
      </w:r>
      <w:r>
        <w:rPr>
          <w:rFonts w:ascii="Times New Roman" w:cs="Times New Roman" w:eastAsia="Times New Roman" w:hAnsi="Times New Roman"/>
          <w:sz w:val="18"/>
          <w:szCs w:val="18"/>
          <w:color w:val="auto"/>
        </w:rPr>
        <w:t>”), Credit Suisse Securities (USA) LLC (“</w:t>
      </w:r>
      <w:r>
        <w:rPr>
          <w:rFonts w:ascii="Times New Roman" w:cs="Times New Roman" w:eastAsia="Times New Roman" w:hAnsi="Times New Roman"/>
          <w:sz w:val="18"/>
          <w:szCs w:val="18"/>
          <w:b w:val="1"/>
          <w:bCs w:val="1"/>
          <w:i w:val="1"/>
          <w:iCs w:val="1"/>
          <w:color w:val="auto"/>
        </w:rPr>
        <w:t>CS</w:t>
      </w:r>
      <w:r>
        <w:rPr>
          <w:rFonts w:ascii="Times New Roman" w:cs="Times New Roman" w:eastAsia="Times New Roman" w:hAnsi="Times New Roman"/>
          <w:sz w:val="18"/>
          <w:szCs w:val="18"/>
          <w:color w:val="auto"/>
        </w:rPr>
        <w:t>”), Barclays Capital Inc. (“</w:t>
      </w:r>
      <w:r>
        <w:rPr>
          <w:rFonts w:ascii="Times New Roman" w:cs="Times New Roman" w:eastAsia="Times New Roman" w:hAnsi="Times New Roman"/>
          <w:sz w:val="18"/>
          <w:szCs w:val="18"/>
          <w:b w:val="1"/>
          <w:bCs w:val="1"/>
          <w:i w:val="1"/>
          <w:iCs w:val="1"/>
          <w:color w:val="auto"/>
        </w:rPr>
        <w:t>Barclays</w:t>
      </w:r>
      <w:r>
        <w:rPr>
          <w:rFonts w:ascii="Times New Roman" w:cs="Times New Roman" w:eastAsia="Times New Roman" w:hAnsi="Times New Roman"/>
          <w:sz w:val="18"/>
          <w:szCs w:val="18"/>
          <w:color w:val="auto"/>
        </w:rPr>
        <w:t>”) and Citigroup Global Markets Inc. (“</w:t>
      </w:r>
      <w:r>
        <w:rPr>
          <w:rFonts w:ascii="Times New Roman" w:cs="Times New Roman" w:eastAsia="Times New Roman" w:hAnsi="Times New Roman"/>
          <w:sz w:val="18"/>
          <w:szCs w:val="18"/>
          <w:b w:val="1"/>
          <w:bCs w:val="1"/>
          <w:i w:val="1"/>
          <w:iCs w:val="1"/>
          <w:color w:val="auto"/>
        </w:rPr>
        <w:t>Citi</w:t>
      </w:r>
      <w:r>
        <w:rPr>
          <w:rFonts w:ascii="Times New Roman" w:cs="Times New Roman" w:eastAsia="Times New Roman" w:hAnsi="Times New Roman"/>
          <w:sz w:val="18"/>
          <w:szCs w:val="18"/>
          <w:color w:val="auto"/>
        </w:rPr>
        <w:t>” and together with BofA, CS and Barclays, the “</w:t>
      </w:r>
      <w:r>
        <w:rPr>
          <w:rFonts w:ascii="Times New Roman" w:cs="Times New Roman" w:eastAsia="Times New Roman" w:hAnsi="Times New Roman"/>
          <w:sz w:val="18"/>
          <w:szCs w:val="18"/>
          <w:b w:val="1"/>
          <w:bCs w:val="1"/>
          <w:i w:val="1"/>
          <w:iCs w:val="1"/>
          <w:color w:val="auto"/>
        </w:rPr>
        <w:t>Advisors</w:t>
      </w:r>
      <w:r>
        <w:rPr>
          <w:rFonts w:ascii="Times New Roman" w:cs="Times New Roman" w:eastAsia="Times New Roman" w:hAnsi="Times New Roman"/>
          <w:sz w:val="18"/>
          <w:szCs w:val="18"/>
          <w:color w:val="auto"/>
        </w:rPr>
        <w:t xml:space="preserve">”)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Opco’s financial advisory agreements with BofA and CS, Opco agreed to indemnify and hold harmless each of BofA and CS, their affiliates and each of their respective directors, officers, employees and agents from and against any losses and claims arising in any manner out of or in connection with the services provided to Opco thereunder. Accordingly, if any claims, litigation, disputes or other legal proceedings are brought by third parties against any of the Advisors in relation to the services it provided to ArcLight or Opco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as described under </w:t>
      </w:r>
      <w:r>
        <w:rPr>
          <w:rFonts w:ascii="Times New Roman" w:cs="Times New Roman" w:eastAsia="Times New Roman" w:hAnsi="Times New Roman"/>
          <w:sz w:val="18"/>
          <w:szCs w:val="18"/>
          <w:i w:val="1"/>
          <w:iCs w:val="1"/>
          <w:color w:val="auto"/>
        </w:rPr>
        <w:t>Summary—Recent Developments</w:t>
      </w:r>
      <w:r>
        <w:rPr>
          <w:rFonts w:ascii="Times New Roman" w:cs="Times New Roman" w:eastAsia="Times New Roman" w:hAnsi="Times New Roman"/>
          <w:sz w:val="18"/>
          <w:szCs w:val="18"/>
          <w:color w:val="auto"/>
        </w:rPr>
        <w:t>.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may have an adverse effect on the market price of our Class A common stock.</w:t>
      </w:r>
    </w:p>
    <w:p>
      <w:pPr>
        <w:spacing w:after="0" w:line="229"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As of the date of this prospectus, we have 6,223,233 outstanding Public Warrants to purchase 6,223,233 shares of our Class A common stock, exercisable at an exercise price of $11.50 per share, which expire on the earlier to occur of July 21, 2027</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redemption; and (ii) 9,223,261 outstanding Private Warrants to purchase 9,223,261 shares of our Class A common stock, exercisable at an exercise price of $11.50 per share, which expire on the</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earlier to occur of July 21, 2027</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or redemption. The exercise of a significant number of the Warrants in the future may have an adverse effect on the market price of our Class A common stock, in that it may increase the number of shares that are available for sale in the market.</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exercise of Warrants, and any proceeds we may receive from their exercise, are highly dependent on the price of our Class A common stock and the spread between the exercise price of the Warrant and the price of our Class A common stock at the time of exercise. For example, to the extent that the price of our Class A common stock exceeds $11.50 per share, it is more likely that holders of our Warrants will exercise their warrants. If the price of our Class A common stock is less than $11.50 per share, it is unlikely that such holders will exercise their warrants. As of September 16, 2022, the closing price of our Class A common stock was $9.69 per share. There can be no assurance that all of our Warrants will be in the money prior to their expiration. Further, our Sponsor and its permitted transferees have the option to exercise the Private Warrants on a cashless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7"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Five years after the Closing of the IBC.</w:t>
      </w:r>
    </w:p>
    <w:p>
      <w:pPr>
        <w:ind w:left="340" w:hanging="332"/>
        <w:spacing w:after="0" w:line="180" w:lineRule="auto"/>
        <w:tabs>
          <w:tab w:leader="none" w:pos="34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Five years after the Closing of the IBC.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$1.07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85.7% of our outstanding Common Stock as of July 21, 2022. All of these shares (with the exception of 800,600 shares of Class A common stock purchased by Fortistar in the PIPE Investment) are Class D common stock, which have no economic rights but are entitled to five votes per share, giving Mr. Mark Comora control over 96.7% of our voting power. OPAL Holdco and Hillman are controlled, indirectly, by Mr. Mark Comora through entities affiliated with Mr. Mark Comora, including Fortistar and certain of its other affiliates. Mr. Mark Comora is the Chairman of our board.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he, in his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direct interests in Opco, and we are accordingly dependent upon distributions from Opco Fuels to pay dividends and taxes and other expenses.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Opco. We therefore have no independent means of generating revenue. We intend to cause our subsidiaries (including Opco)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Opco. As managing member of Opco, we generally have control over all of the affairs and decision making of Opco. On the basis of our control over Opco, we believe our direct interest in Opco is not an “investment security” within the meaning of the Investment Company Act. If we were to cease participation in the management of Opco, however, our interest in Opco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Opco, members of their respective management teams and related entities or any combination thereof and materially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the shares of Class A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 that we will be able to comply with the continued listing standards of Nasdaq.</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shares of Class A common stock and the Public Warrants are listed on Nasdaq under the symbols “OPAL” and “OPALW,” respectively. If Nasdaq delists our securities from trading on its exchange for failure to meet the listing standards, we and our stockholders could face significant negative consequences including:</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common stock is a “penny stock” which will require brokers trading in the Class A common stock to adhere to more stringent rules;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reduction in the level of trading activity in the secondary trading market for shares of the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are contained in the Organizational Documents that could delay or prevent a change of control.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our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establish the number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the Bylaws;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jurisdictions in which certain stockholder litigation may be brought.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anti-takeover provisions, together with the control of the voting power of by OPAL Holdco, could make it more difficult for a third -party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 See </w:t>
      </w:r>
      <w:r>
        <w:rPr>
          <w:rFonts w:ascii="Times New Roman" w:cs="Times New Roman" w:eastAsia="Times New Roman" w:hAnsi="Times New Roman"/>
          <w:sz w:val="18"/>
          <w:szCs w:val="18"/>
          <w:i w:val="1"/>
          <w:iCs w:val="1"/>
          <w:color w:val="auto"/>
        </w:rPr>
        <w:t>“Description of Securities—Anti-Takeover Effects of Provisions of Delaware Law and the Organizational Documents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$316.0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$433.0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its ability to make payments under the Tax Receivable Agreement depends on the ability of Opco to make distributions to it. To the extent that OPAL is unable to make payments under the Tax Receivable Agreement for any reason, such payments will be deferred and will accrue interest until paid, which could negatively impact OPAL’s results of operations and could also affect its liquidity in periods in which such payments are made.</w:t>
      </w:r>
    </w:p>
    <w:p>
      <w:pPr>
        <w:spacing w:after="0" w:line="176"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repurchase up to 2 million shares of our Class A common stock from an investor with whom we entered into a forward purchase agreement in connection with the Business Combination Closing, which would reduce the amount of cash available to us to fund our growth plan.</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Arclight entered into the Forward Purchase Agreement with Meteora, pursuant to which Meteora purchased 2,000,000 Class A ordinary shares of ArcLight from shareholders that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We have agreed that on the six-month anniversary of the Closing of the Business Combination, to the extent Meteora still holds such shares, Meteora may elect to cause us to purchase such shares at a per share price of $10.02 per share. If Meteora holds some or all of the 2 million shares on that date, and the per share trading price of our Class A common shares is less than $10.02 per share, we would expect that Meteora will exercise this repurchase right with respect to such shares. The Company has placed $20,040,000 in escrow to secure its purchase obligations to Meteora under the Forward Purchase Agreement and has accounted for such an amount as restricted cash on its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All of the shares of Class A common stock offered by the Selling Holders pursuant to this prospectus will be sold by the Selling Holders for their respective accounts. We will not receive any of the proceeds from these sales. We could receive up to an aggregate of $177,634,681 if all of the Warrants are exercised for cash. However, we will only receive such proceeds if and when the holders of the Warrants choose to exercise them. The exercise of the Warrants, and any proceeds we may receive from their exercise, are highly dependent on the price of our Class A common stock and the spread between the exercise price of the Warrants and the price of our Class A common stock at the time of exercise. We have 15,446,494 outstanding Warrants to purchase 15,446,494 shares of our Class A common stock, exercisable at an exercise price of $11.50 per share. If the market price of our Class A common stock is less than the exercise price of a holder’s Warrants, it is unlikely that holders will choose to exercise. As of September 16, 2022, the closing price of our Class A common stock was $9.69 per share. There can be no assurance that the Warrants will be in the money prior to their expiration. In addition, the Sponsor (as defined herein), or its permitted transferees, have the option to exercise the Private Placement Warrants on a cashless basis. As such, it is possible that we may never generate any cash proceeds from the exercise of our Warrants.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to aid you in your analysis of the financial aspects of the Transactions (as defined below) and is for informational purposes only. The unaudited pro forma condensed combined financial information presents the pro forma effects of the following transactions, collectively referred to as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for purposes of this section, and other related events as described in Note 1 to the accompanying Notes to the unaudited pro forma condensed combined financial information:</w:t>
      </w:r>
    </w:p>
    <w:p>
      <w:pPr>
        <w:spacing w:after="0" w:line="183" w:lineRule="exact"/>
        <w:rPr>
          <w:sz w:val="20"/>
          <w:szCs w:val="20"/>
          <w:color w:val="auto"/>
        </w:rPr>
      </w:pPr>
    </w:p>
    <w:p>
      <w:pPr>
        <w:ind w:left="660" w:hanging="328"/>
        <w:spacing w:after="0" w:line="28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Opal Fuels LLC (“Opco”) and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referred to herein as the “Business Combination”, including the other events contemplated by the Business Combination Agreement;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purchased 1,000,000 Opco Series A Preferred Units (the “</w:t>
      </w:r>
      <w:r>
        <w:rPr>
          <w:rFonts w:ascii="Times New Roman" w:cs="Times New Roman" w:eastAsia="Times New Roman" w:hAnsi="Times New Roman"/>
          <w:sz w:val="18"/>
          <w:szCs w:val="18"/>
          <w:b w:val="1"/>
          <w:bCs w:val="1"/>
          <w:i w:val="1"/>
          <w:iCs w:val="1"/>
          <w:color w:val="auto"/>
        </w:rPr>
        <w:t>NextEra Subscription</w:t>
      </w:r>
      <w:r>
        <w:rPr>
          <w:rFonts w:ascii="Times New Roman" w:cs="Times New Roman" w:eastAsia="Times New Roman" w:hAnsi="Times New Roman"/>
          <w:sz w:val="18"/>
          <w:szCs w:val="18"/>
          <w:color w:val="auto"/>
        </w:rPr>
        <w:t>”) as of June 30, 2022;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by Opco in May of 2021 (the “</w:t>
      </w:r>
      <w:r>
        <w:rPr>
          <w:rFonts w:ascii="Times New Roman" w:cs="Times New Roman" w:eastAsia="Times New Roman" w:hAnsi="Times New Roman"/>
          <w:sz w:val="18"/>
          <w:szCs w:val="18"/>
          <w:b w:val="1"/>
          <w:bCs w:val="1"/>
          <w:i w:val="1"/>
          <w:iCs w:val="1"/>
          <w:color w:val="auto"/>
        </w:rPr>
        <w:t>Beacon Transaction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Opco as of June 30, 2022 combines the historical unaudited condensed consolidated balance sheet of Opco as of June 30, 2022 and the historical unaudited condensed balance sheet of ArcLight as of June 30, 2022, adjusted to give pro forma effect to the Business Combination, the PIPE Investment and certain other events related to the Business Combination between Opco and ArcLight, in each case, as if the Business Combination, PIPE Investment, and other events had been consummated on June 30, 2022. The Beacon Transaction was consummated on May 1, 2021 and, accordingly, activity relating to Beacon is reflected within the unaudited condensed consolidated balance sheet of Opco as of June 30, 2022.</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six months ended June 30, 2022 combines the historical unaudited condensed consolidated statement of operations of Opco for the six months ended June 30, 2022, and the historical unaudited condensed statement of operations of ArcLight for the six months ended June 30, 2022,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Opco for the year ended December 31, 2021 combines the historical audited consolidated statement of operations of Opco for the year ended December 31, 2021, the historical audited consolidated statement of operations of ArcLight for the period from January 13, 2021 (inception) through December 31, 2021, and the historical audited statement of operations of Beacon for the four-month period ended April 30, 2021, on a pro forma basis as if the Business Combination, the PIPE Investment and other related events contemplated by the Business Combination Agreement, the NextEra Subscription as described below and in the accompanying notes to the unaudited pro forma condensed combined financial statements, had been consummated on January 1, 2021.</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(as defined in Note 1 below) would have been had the Transactions taken place as of June 30, 2022,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and the PIPE Transaction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ArcLight, as of, and for the three and six months ended June 30, 2022, and the historical audited financial statements of ArcLight as of December 31, 2021 and for the period from January 13, 2021 (inception) through December 31, 2021, included elsewhere in this prospectus;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Opco, as of, and for the three and six months ended June 30, 2022, and the historical audited consolidated financial statements of Opco as of and for the year ended December 31, 2021, included elsewhere in this prospectus;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Beacon, as of, and for the four months ended April 30, 2021, included elsewhere in this prospectus and</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elsewhere in this prospectus.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6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4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4"/>
        </w:trPr>
        <w:tc>
          <w:tcPr>
            <w:tcW w:w="6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OPAL</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ArcLight</w:t>
            </w:r>
          </w:p>
        </w:tc>
        <w:tc>
          <w:tcPr>
            <w:tcW w:w="320" w:type="dxa"/>
            <w:vAlign w:val="bottom"/>
          </w:tcPr>
          <w:p>
            <w:pPr>
              <w:spacing w:after="0"/>
              <w:rPr>
                <w:sz w:val="16"/>
                <w:szCs w:val="16"/>
                <w:color w:val="auto"/>
              </w:rPr>
            </w:pPr>
          </w:p>
        </w:tc>
        <w:tc>
          <w:tcPr>
            <w:tcW w:w="1100" w:type="dxa"/>
            <w:vAlign w:val="bottom"/>
            <w:gridSpan w:val="3"/>
          </w:tcPr>
          <w:p>
            <w:pPr>
              <w:jc w:val="center"/>
              <w:ind w:right="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10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6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100" w:type="dxa"/>
            <w:vAlign w:val="bottom"/>
          </w:tcPr>
          <w:p>
            <w:pPr>
              <w:spacing w:after="0"/>
              <w:rPr>
                <w:sz w:val="21"/>
                <w:szCs w:val="21"/>
                <w:color w:val="auto"/>
              </w:rPr>
            </w:pPr>
          </w:p>
        </w:tc>
        <w:tc>
          <w:tcPr>
            <w:tcW w:w="10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(Note 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2194a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110,806</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235,661</w:t>
            </w: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311,616</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6a</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(9,259) 6e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(274,187)</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6i</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24,781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inventory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5464b</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162,969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138,351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302,085</w:t>
            </w: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spares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229,411</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229,411</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311,616</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(311,616) 6a</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(6,443) 6e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54,608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6j</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r>
      <w:tr>
        <w:trPr>
          <w:trHeight w:val="210"/>
        </w:trPr>
        <w:tc>
          <w:tcPr>
            <w:tcW w:w="60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512,242</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312,381</w:t>
            </w: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(179,708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644,915</w:t>
            </w:r>
          </w:p>
        </w:tc>
        <w:tc>
          <w:tcPr>
            <w:tcW w:w="100" w:type="dxa"/>
            <w:vAlign w:val="bottom"/>
            <w:tcBorders>
              <w:top w:val="single" w:sz="8" w:color="CCEEFF"/>
              <w:bottom w:val="single" w:sz="8" w:color="CCEEFF"/>
            </w:tcBorders>
          </w:tcPr>
          <w:p>
            <w:pPr>
              <w:spacing w:after="0"/>
              <w:rPr>
                <w:sz w:val="18"/>
                <w:szCs w:val="18"/>
                <w:color w:val="auto"/>
              </w:rPr>
            </w:pPr>
          </w:p>
        </w:tc>
      </w:tr>
      <w:tr>
        <w:trPr>
          <w:trHeight w:val="148"/>
        </w:trPr>
        <w:tc>
          <w:tcPr>
            <w:tcW w:w="6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7,745</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6,2224c</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(1,400) 6e</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15,582</w:t>
            </w:r>
          </w:p>
        </w:tc>
      </w:tr>
      <w:tr>
        <w:trPr>
          <w:trHeight w:val="216"/>
        </w:trPr>
        <w:tc>
          <w:tcPr>
            <w:tcW w:w="6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(6,243) 6e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3"/>
              </w:rPr>
              <w:t>6e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18,263</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7,159</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r>
      <w:tr>
        <w:trPr>
          <w:trHeight w:val="198"/>
        </w:trPr>
        <w:tc>
          <w:tcPr>
            <w:tcW w:w="6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72,396</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72,396</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Municipality loan -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6l</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r>
      <w:tr>
        <w:trPr>
          <w:trHeight w:val="237"/>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155,758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4,301</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60,820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(30,410) 6d</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30,410</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62,013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62,013</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16,219</w:t>
            </w: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6j</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51,900</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6k</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51,900</w:t>
            </w:r>
          </w:p>
        </w:tc>
      </w:tr>
      <w:tr>
        <w:trPr>
          <w:trHeight w:val="23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r>
      <w:tr>
        <w:trPr>
          <w:trHeight w:val="236"/>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305,323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574"/>
        </w:trPr>
        <w:tc>
          <w:tcPr>
            <w:tcW w:w="60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6" w:right="339" w:bottom="177"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8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80" w:type="dxa"/>
            <w:vAlign w:val="bottom"/>
          </w:tcPr>
          <w:p>
            <w:pPr>
              <w:spacing w:after="0"/>
              <w:rPr>
                <w:sz w:val="16"/>
                <w:szCs w:val="16"/>
                <w:color w:val="auto"/>
              </w:rPr>
            </w:pPr>
          </w:p>
        </w:tc>
        <w:tc>
          <w:tcPr>
            <w:tcW w:w="11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Opco</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184"/>
        </w:trPr>
        <w:tc>
          <w:tcPr>
            <w:tcW w:w="58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 of $10.00</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311,516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units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Series A-1 preferred units</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noncontrolling interest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101,228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31,417</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6c</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56,636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136,553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83,503</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5,000,000 shares authorized; none issued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31,116,305 shares subject to possible redemption)</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7,779,076 shares issued and outstanding</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A common stock</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6b</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6i</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OPAL Class B common stock</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New OPAL Class D common stock</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110,805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6b</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30,410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311,513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(274,184)</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6i</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6m</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21,651</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6g</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6h</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17,638</w:t>
            </w:r>
          </w:p>
        </w:tc>
        <w:tc>
          <w:tcPr>
            <w:tcW w:w="0" w:type="dxa"/>
            <w:vAlign w:val="bottom"/>
          </w:tcPr>
          <w:p>
            <w:pPr>
              <w:spacing w:after="0"/>
              <w:rPr>
                <w:sz w:val="1"/>
                <w:szCs w:val="1"/>
                <w:color w:val="auto"/>
              </w:rPr>
            </w:pPr>
          </w:p>
        </w:tc>
      </w:tr>
      <w:tr>
        <w:trPr>
          <w:trHeight w:val="23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512,242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312,381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(179,708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644,915</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8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5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Opco</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 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50,815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50,815</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19,152</w:t>
            </w: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32,297</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RNG fuel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3,125</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3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1,307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(1,818)</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4e</w:t>
            </w:r>
          </w:p>
        </w:tc>
        <w:tc>
          <w:tcPr>
            <w:tcW w:w="100" w:type="dxa"/>
            <w:vAlign w:val="bottom"/>
          </w:tcPr>
          <w:p>
            <w:pPr>
              <w:spacing w:after="0"/>
              <w:rPr>
                <w:sz w:val="18"/>
                <w:szCs w:val="18"/>
                <w:color w:val="auto"/>
              </w:rPr>
            </w:pPr>
          </w:p>
        </w:tc>
        <w:tc>
          <w:tcPr>
            <w:tcW w:w="15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(440) 7c</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7,172</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1,923</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Paid in kind preferred dividend</w:t>
            </w: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2,772</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7b</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(8,124) 7b</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(8,124)</w:t>
            </w:r>
          </w:p>
        </w:tc>
        <w:tc>
          <w:tcPr>
            <w:tcW w:w="0" w:type="dxa"/>
            <w:vAlign w:val="bottom"/>
          </w:tcPr>
          <w:p>
            <w:pPr>
              <w:spacing w:after="0"/>
              <w:rPr>
                <w:sz w:val="1"/>
                <w:szCs w:val="1"/>
                <w:color w:val="auto"/>
              </w:rPr>
            </w:pPr>
          </w:p>
        </w:tc>
      </w:tr>
      <w:tr>
        <w:trPr>
          <w:trHeight w:val="26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right"/>
              <w:ind w:right="21"/>
              <w:spacing w:after="0" w:line="256" w:lineRule="exact"/>
              <w:rPr>
                <w:sz w:val="20"/>
                <w:szCs w:val="20"/>
                <w:color w:val="auto"/>
              </w:rPr>
            </w:pPr>
            <w:r>
              <w:rPr>
                <w:rFonts w:ascii="Times New Roman" w:cs="Times New Roman" w:eastAsia="Times New Roman" w:hAnsi="Times New Roman"/>
                <w:sz w:val="16"/>
                <w:szCs w:val="16"/>
                <w:color w:val="auto"/>
              </w:rPr>
              <w:t>(499</w:t>
            </w:r>
            <w:r>
              <w:rPr>
                <w:rFonts w:ascii="Times New Roman" w:cs="Times New Roman" w:eastAsia="Times New Roman" w:hAnsi="Times New Roman"/>
                <w:sz w:val="29"/>
                <w:szCs w:val="29"/>
                <w:color w:val="auto"/>
                <w:vertAlign w:val="superscript"/>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6"/>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Stockholders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units outstanding, basic and diluted</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unit, basic and diluted</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A common stock, basic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Class B common stock, basic and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7,779,076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of New OPAL Class A common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 basic and 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24,757,483</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 forma net income per share attributable to New OPAL Class A</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 basic and diluted</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655"/>
        </w:trPr>
        <w:tc>
          <w:tcPr>
            <w:tcW w:w="5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Beacon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5"/>
            <w:vMerge w:val="continue"/>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OPAL</w:t>
            </w:r>
          </w:p>
        </w:tc>
        <w:tc>
          <w:tcPr>
            <w:tcW w:w="100" w:type="dxa"/>
            <w:vAlign w:val="bottom"/>
          </w:tcPr>
          <w:p>
            <w:pPr>
              <w:spacing w:after="0"/>
              <w:rPr>
                <w:sz w:val="22"/>
                <w:szCs w:val="2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320" w:type="dxa"/>
            <w:vAlign w:val="bottom"/>
          </w:tcPr>
          <w:p>
            <w:pPr>
              <w:spacing w:after="0"/>
              <w:rPr>
                <w:sz w:val="22"/>
                <w:szCs w:val="22"/>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Beacon</w:t>
            </w:r>
          </w:p>
        </w:tc>
        <w:tc>
          <w:tcPr>
            <w:tcW w:w="380" w:type="dxa"/>
            <w:vAlign w:val="bottom"/>
          </w:tcPr>
          <w:p>
            <w:pPr>
              <w:spacing w:after="0"/>
              <w:rPr>
                <w:sz w:val="16"/>
                <w:szCs w:val="16"/>
                <w:color w:val="auto"/>
              </w:rPr>
            </w:pPr>
          </w:p>
        </w:tc>
        <w:tc>
          <w:tcPr>
            <w:tcW w:w="108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Fuels and</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ArcLight</w:t>
            </w:r>
          </w:p>
        </w:tc>
        <w:tc>
          <w:tcPr>
            <w:tcW w:w="320" w:type="dxa"/>
            <w:vAlign w:val="bottom"/>
          </w:tcPr>
          <w:p>
            <w:pPr>
              <w:spacing w:after="0"/>
              <w:rPr>
                <w:sz w:val="16"/>
                <w:szCs w:val="16"/>
                <w:color w:val="auto"/>
              </w:rPr>
            </w:pPr>
          </w:p>
        </w:tc>
        <w:tc>
          <w:tcPr>
            <w:tcW w:w="110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340" w:type="dxa"/>
            <w:vAlign w:val="bottom"/>
          </w:tcPr>
          <w:p>
            <w:pPr>
              <w:spacing w:after="0"/>
              <w:rPr>
                <w:sz w:val="16"/>
                <w:szCs w:val="16"/>
                <w:color w:val="auto"/>
              </w:rPr>
            </w:pPr>
          </w:p>
        </w:tc>
        <w:tc>
          <w:tcPr>
            <w:tcW w:w="110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Opco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Beacon</w:t>
            </w:r>
          </w:p>
        </w:tc>
        <w:tc>
          <w:tcPr>
            <w:tcW w:w="10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 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(Note 7)</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83,672</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45,324</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45,324</w:t>
            </w:r>
          </w:p>
        </w:tc>
        <w:tc>
          <w:tcPr>
            <w:tcW w:w="0" w:type="dxa"/>
            <w:vAlign w:val="bottom"/>
          </w:tcPr>
          <w:p>
            <w:pPr>
              <w:spacing w:after="0"/>
              <w:rPr>
                <w:sz w:val="1"/>
                <w:szCs w:val="1"/>
                <w:color w:val="auto"/>
              </w:rPr>
            </w:pPr>
          </w:p>
        </w:tc>
      </w:tr>
      <w:tr>
        <w:trPr>
          <w:trHeight w:val="249"/>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50,440</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50,440</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179,436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179,436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5b</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47,472</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47,472</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sales -</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31,152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31,152</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 Fuel</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station services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42,838</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42,838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Environmental credit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processing services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5c</w:t>
            </w: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29,836</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4,945</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4f</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7h</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38,981</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5d</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11,413</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155,098</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9,047</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(1,434)</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162,711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4,200</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171,856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11,026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1,434</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16,725</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6"/>
                <w:szCs w:val="16"/>
                <w:b w:val="1"/>
                <w:bCs w:val="1"/>
                <w:color w:val="auto"/>
              </w:rPr>
              <w:t>(4,945</w:t>
            </w:r>
            <w:r>
              <w:rPr>
                <w:rFonts w:ascii="Times New Roman" w:cs="Times New Roman" w:eastAsia="Times New Roman" w:hAnsi="Times New Roman"/>
                <w:sz w:val="29"/>
                <w:szCs w:val="29"/>
                <w:b w:val="1"/>
                <w:bCs w:val="1"/>
                <w:color w:val="auto"/>
                <w:vertAlign w:val="superscript"/>
              </w:rPr>
              <w:t>)</w:t>
            </w: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(4,200</w:t>
            </w:r>
            <w:r>
              <w:rPr>
                <w:rFonts w:ascii="Times New Roman" w:cs="Times New Roman" w:eastAsia="Times New Roman" w:hAnsi="Times New Roman"/>
                <w:sz w:val="29"/>
                <w:szCs w:val="29"/>
                <w:b w:val="1"/>
                <w:bCs w:val="1"/>
                <w:color w:val="auto"/>
                <w:vertAlign w:val="superscript"/>
              </w:rPr>
              <w:t>)</w:t>
            </w: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7,580</w:t>
            </w: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financing</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net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4g</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7g</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derivative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warrant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(10,800)</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from equity</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method investments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19,818</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deconsolidation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VIEs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15,025</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15,025</w:t>
            </w:r>
          </w:p>
        </w:tc>
        <w:tc>
          <w:tcPr>
            <w:tcW w:w="0" w:type="dxa"/>
            <w:vAlign w:val="bottom"/>
          </w:tcPr>
          <w:p>
            <w:pPr>
              <w:spacing w:after="0"/>
              <w:rPr>
                <w:sz w:val="1"/>
                <w:szCs w:val="1"/>
                <w:color w:val="auto"/>
              </w:rPr>
            </w:pPr>
          </w:p>
        </w:tc>
      </w:tr>
      <w:tr>
        <w:trPr>
          <w:trHeight w:val="249"/>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5e</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Income before</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 for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44,076</w:t>
            </w: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27"/>
        </w:trPr>
        <w:tc>
          <w:tcPr>
            <w:tcW w:w="19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tcBorders>
              <w:right w:val="single" w:sz="8" w:color="CCEEFF"/>
            </w:tcBorders>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income taxes</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3"/>
              </w:rPr>
              <w:t>7e</w:t>
            </w: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44,076</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23,668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 in kind preferred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7f</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w:t>
            </w:r>
          </w:p>
        </w:tc>
        <w:tc>
          <w:tcPr>
            <w:tcW w:w="2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27,718</w:t>
            </w:r>
          </w:p>
        </w:tc>
        <w:tc>
          <w:tcPr>
            <w:tcW w:w="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7f</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27,718</w:t>
            </w:r>
          </w:p>
        </w:tc>
        <w:tc>
          <w:tcPr>
            <w:tcW w:w="0" w:type="dxa"/>
            <w:vAlign w:val="bottom"/>
          </w:tcPr>
          <w:p>
            <w:pPr>
              <w:spacing w:after="0"/>
              <w:rPr>
                <w:sz w:val="1"/>
                <w:szCs w:val="1"/>
                <w:color w:val="auto"/>
              </w:rPr>
            </w:pPr>
          </w:p>
        </w:tc>
      </w:tr>
      <w:tr>
        <w:trPr>
          <w:trHeight w:val="198"/>
        </w:trPr>
        <w:tc>
          <w:tcPr>
            <w:tcW w:w="194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(39,931</w:t>
            </w:r>
            <w:r>
              <w:rPr>
                <w:rFonts w:ascii="Times New Roman" w:cs="Times New Roman" w:eastAsia="Times New Roman" w:hAnsi="Times New Roman"/>
                <w:sz w:val="35"/>
                <w:szCs w:val="35"/>
                <w:b w:val="1"/>
                <w:bCs w:val="1"/>
                <w:color w:val="auto"/>
                <w:vertAlign w:val="superscript"/>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41,363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5,399</w:t>
            </w: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(2,092)</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(16,195)</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40"/>
              <w:spacing w:after="0" w:line="278" w:lineRule="exact"/>
              <w:rPr>
                <w:sz w:val="20"/>
                <w:szCs w:val="20"/>
                <w:color w:val="auto"/>
              </w:rPr>
            </w:pPr>
            <w:r>
              <w:rPr>
                <w:rFonts w:ascii="Times New Roman" w:cs="Times New Roman" w:eastAsia="Times New Roman" w:hAnsi="Times New Roman"/>
                <w:sz w:val="17"/>
                <w:szCs w:val="17"/>
                <w:b w:val="1"/>
                <w:bCs w:val="1"/>
                <w:color w:val="auto"/>
              </w:rPr>
              <w:t>(11,456</w:t>
            </w:r>
            <w:r>
              <w:rPr>
                <w:rFonts w:ascii="Times New Roman" w:cs="Times New Roman" w:eastAsia="Times New Roman" w:hAnsi="Times New Roman"/>
                <w:sz w:val="32"/>
                <w:szCs w:val="32"/>
                <w:b w:val="1"/>
                <w:bCs w:val="1"/>
                <w:color w:val="auto"/>
                <w:vertAlign w:val="superscript"/>
              </w:rPr>
              <w:t>)</w:t>
            </w:r>
          </w:p>
        </w:tc>
        <w:tc>
          <w:tcPr>
            <w:tcW w:w="0" w:type="dxa"/>
            <w:vAlign w:val="bottom"/>
          </w:tcPr>
          <w:p>
            <w:pPr>
              <w:spacing w:after="0"/>
              <w:rPr>
                <w:sz w:val="1"/>
                <w:szCs w:val="1"/>
                <w:color w:val="auto"/>
              </w:rPr>
            </w:pPr>
          </w:p>
        </w:tc>
      </w:tr>
      <w:tr>
        <w:trPr>
          <w:trHeight w:val="157"/>
        </w:trPr>
        <w:tc>
          <w:tcPr>
            <w:tcW w:w="1940" w:type="dxa"/>
            <w:vAlign w:val="bottom"/>
            <w:tcBorders>
              <w:top w:val="single" w:sz="8" w:color="CCEEFF"/>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41,908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per common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basic and diluted</w:t>
            </w:r>
          </w:p>
        </w:tc>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Class A</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25,360,688</w:t>
            </w:r>
          </w:p>
        </w:tc>
        <w:tc>
          <w:tcPr>
            <w:tcW w:w="960" w:type="dxa"/>
            <w:vAlign w:val="bottom"/>
            <w:shd w:val="clear" w:color="auto" w:fill="CCEEFF"/>
          </w:tcPr>
          <w:p>
            <w:pPr>
              <w:spacing w:after="0"/>
              <w:rPr>
                <w:sz w:val="20"/>
                <w:szCs w:val="20"/>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ordinary share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Class B</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7,611,848</w:t>
            </w:r>
          </w:p>
        </w:tc>
        <w:tc>
          <w:tcPr>
            <w:tcW w:w="960" w:type="dxa"/>
            <w:vAlign w:val="bottom"/>
            <w:shd w:val="clear" w:color="auto" w:fill="CCEEFF"/>
          </w:tcPr>
          <w:p>
            <w:pPr>
              <w:spacing w:after="0"/>
              <w:rPr>
                <w:sz w:val="20"/>
                <w:szCs w:val="20"/>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ordinary share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tcPr>
          <w:p>
            <w:pPr>
              <w:spacing w:after="0"/>
              <w:rPr>
                <w:sz w:val="20"/>
                <w:szCs w:val="20"/>
                <w:color w:val="auto"/>
              </w:rPr>
            </w:pPr>
          </w:p>
        </w:tc>
      </w:tr>
      <w:tr>
        <w:trPr>
          <w:trHeight w:val="198"/>
        </w:trPr>
        <w:tc>
          <w:tcPr>
            <w:tcW w:w="3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37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of New</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Class A</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 basic</w:t>
            </w: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76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24,757,483</w:t>
            </w: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loss per</w:t>
            </w:r>
          </w:p>
        </w:tc>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OPAL Class A</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 and diluted</w:t>
            </w:r>
          </w:p>
        </w:tc>
        <w:tc>
          <w:tcPr>
            <w:tcW w:w="376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655"/>
        </w:trPr>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48</w:t>
            </w:r>
          </w:p>
        </w:tc>
        <w:tc>
          <w:tcPr>
            <w:tcW w:w="2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Note 1 — Description of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Business Combination Agreement, on July 21, 2022 ArcLight changed its jurisdiction of incorporation by deregistering as a Cayman Islands exempted company and continuing and domesticating as a corporation incorporated under the laws of the State of Delaware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Following the Domestication, on July 21, 2022, ArcLight changed its name to “OPAL Fuels Inc.” (which is referred to herein as “</w:t>
      </w:r>
      <w:r>
        <w:rPr>
          <w:rFonts w:ascii="Times New Roman" w:cs="Times New Roman" w:eastAsia="Times New Roman" w:hAnsi="Times New Roman"/>
          <w:sz w:val="18"/>
          <w:szCs w:val="18"/>
          <w:b w:val="1"/>
          <w:bCs w:val="1"/>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and each outstanding ArcLight Class B ordinary share converted into one ArcLight Class A ordinary share, each outstanding ArcLight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 became one share of Class A common stock of New OPAL, par value $0.0001 per share (the “</w:t>
      </w:r>
      <w:r>
        <w:rPr>
          <w:rFonts w:ascii="Times New Roman" w:cs="Times New Roman" w:eastAsia="Times New Roman" w:hAnsi="Times New Roman"/>
          <w:sz w:val="18"/>
          <w:szCs w:val="18"/>
          <w:b w:val="1"/>
          <w:bCs w:val="1"/>
          <w:i w:val="1"/>
          <w:iCs w:val="1"/>
          <w:color w:val="auto"/>
        </w:rPr>
        <w:t>New OPAL Class A common stock</w:t>
      </w:r>
      <w:r>
        <w:rPr>
          <w:rFonts w:ascii="Times New Roman" w:cs="Times New Roman" w:eastAsia="Times New Roman" w:hAnsi="Times New Roman"/>
          <w:sz w:val="18"/>
          <w:szCs w:val="18"/>
          <w:color w:val="auto"/>
        </w:rPr>
        <w:t>”), and each outstanding warrant to purchase one ArcLight Class A ordinary share became a warrant to purchase one share of New OPAL Class A common stock at an exercise price of $11.50 per share.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Following the consummation of the Business Combination on July 21, 2022, the Combined Company (“</w:t>
      </w:r>
      <w:r>
        <w:rPr>
          <w:rFonts w:ascii="Times New Roman" w:cs="Times New Roman" w:eastAsia="Times New Roman" w:hAnsi="Times New Roman"/>
          <w:sz w:val="18"/>
          <w:szCs w:val="18"/>
          <w:b w:val="1"/>
          <w:bCs w:val="1"/>
          <w:i w:val="1"/>
          <w:iCs w:val="1"/>
          <w:color w:val="auto"/>
        </w:rPr>
        <w:t>Combined Company</w:t>
      </w:r>
      <w:r>
        <w:rPr>
          <w:rFonts w:ascii="Times New Roman" w:cs="Times New Roman" w:eastAsia="Times New Roman" w:hAnsi="Times New Roman"/>
          <w:sz w:val="18"/>
          <w:szCs w:val="18"/>
          <w:color w:val="auto"/>
        </w:rPr>
        <w:t>” refers to New OPAL and its subsidiaries, including Opco, following consummation of the Business Combinations) is organized in an “Up-C” structure. New OPAL is the managing member of Opco. Opco directly or indirectly holds substantially all of the consolidated assets and business of New OPAL.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consummation of the Business Combination, the events summarized below, among others, occurred:</w:t>
      </w:r>
    </w:p>
    <w:p>
      <w:pPr>
        <w:spacing w:after="0" w:line="221" w:lineRule="exact"/>
        <w:rPr>
          <w:sz w:val="20"/>
          <w:szCs w:val="20"/>
          <w:color w:val="auto"/>
        </w:rPr>
      </w:pPr>
    </w:p>
    <w:p>
      <w:pPr>
        <w:jc w:val="both"/>
        <w:ind w:left="660" w:hanging="328"/>
        <w:spacing w:after="0" w:line="259"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Opco caused Opco’s existing limited liability company agreement to be amended and restated to, among other things, admit New OPAL as a member of Opco and to re-classify Opco’s existing limited liability company membership interests into Class B Units of Opco, calculated as a function of the pre-transaction equity value for Opco equal to $1,501,870,000, less all principal and accrued interest outstanding immediately after the Closing pursuant to certain convertible promissory note, dated as of May 1, 2021 (as amended, including that certain First Amendment to Convertible Note, dated November 29, 2021), held by ARCC Beacon LLC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ArcLight (i) contributed to Opco $128,362,579 in cash, representing the sum of cash in the Trust Account as of immediately prior to the Closing (after giving effect to the ACT Share Redemptions from the Trust Account and the set aside of funds in escrow to support a forward purchase agreement (described further below)) plus the aggregate proceeds of the PIPE Investment received as of the Closing and (ii) issued to Opco 144,399,037 shares of Class D common stock of New OPAL, par value $0.0001 per share (“New OPAL Class D common stock”) (which it in turn distributed to OPAL Holdco and Hillman) at a per share value of $10.00 per share, and (iii) issued 3,059,533 shares of New OPAL Class A common stock to Ares, collectively, in exchange for a number of Class A Units of Opco equal to the 25,171,390 shares of New OPAL Class A common stock issued and outstanding.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the Subscription Agreements with the PIPE Investors, pursuant to which, among other things, in connection with the consummation of the Business Combination, the PIPE Investors party thereto purchased an aggregate of 11,080,600 shares of New OPAL Class A common stock at a cash purchase price of $10.00 per share, resulting in aggregate proceeds of $110.8 million from the PIPE Investment ($105.8 million of which was received as of the Closing and $5.0 million of which was received subsequent to the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related events that have taken place in connection with the Business Combination are summarized below:</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the Hillman Exchange Agreement with Hillman RNG Investments LLC (“</w:t>
      </w:r>
      <w:r>
        <w:rPr>
          <w:rFonts w:ascii="Times New Roman" w:cs="Times New Roman" w:eastAsia="Times New Roman" w:hAnsi="Times New Roman"/>
          <w:sz w:val="18"/>
          <w:szCs w:val="18"/>
          <w:b w:val="1"/>
          <w:bCs w:val="1"/>
          <w:i w:val="1"/>
          <w:iCs w:val="1"/>
          <w:color w:val="auto"/>
        </w:rPr>
        <w:t>Hillman</w:t>
      </w:r>
      <w:r>
        <w:rPr>
          <w:rFonts w:ascii="Times New Roman" w:cs="Times New Roman" w:eastAsia="Times New Roman" w:hAnsi="Times New Roman"/>
          <w:sz w:val="18"/>
          <w:szCs w:val="18"/>
          <w:color w:val="auto"/>
        </w:rPr>
        <w:t>”), pursuant to which Hillman has exchanged all of its equity interests in Opco’s subsidiaries for 300,000 Opco Series A-1 Preferred Units and 14 Pre-Closing Company Common Units. This transaction was consummated in November 2021, and has been reflected in the historical audited consolidated balance sheet as of December 31, 2021;</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the Company entered into the NextEra Subscription Agreement with Mendocino Capital, LLC, a Delaware limited liability company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pursuant to which NextEra agreed to subscribe for up to an aggregate amount of 1,000,000 Company Series A Preferred Units. The Company had drawn $100.0 million as of June 30, 2022, issuing 1,000,000 Series A Preferred Units as of such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execution of the Business Combination Agreement, Opco entered into that certain First Amendment to Convertible Note, dated November 29, 2021 (the “</w:t>
      </w:r>
      <w:r>
        <w:rPr>
          <w:rFonts w:ascii="Times New Roman" w:cs="Times New Roman" w:eastAsia="Times New Roman" w:hAnsi="Times New Roman"/>
          <w:sz w:val="18"/>
          <w:szCs w:val="18"/>
          <w:b w:val="1"/>
          <w:bCs w:val="1"/>
          <w:i w:val="1"/>
          <w:iCs w:val="1"/>
          <w:color w:val="auto"/>
        </w:rPr>
        <w:t>Ares First Amendment</w:t>
      </w:r>
      <w:r>
        <w:rPr>
          <w:rFonts w:ascii="Times New Roman" w:cs="Times New Roman" w:eastAsia="Times New Roman" w:hAnsi="Times New Roman"/>
          <w:sz w:val="18"/>
          <w:szCs w:val="18"/>
          <w:color w:val="auto"/>
        </w:rPr>
        <w:t>”), with Ares, pursuant to which Ares irrevocably agreed to exercise its right to convert fifty percent (50%) of the principal and accrued interest outstanding pursuant to the Ares Note into pre-Closing Opco common units; On July 21, 2022, Ares elected to receive New OPAL Class A common stock in lieu of pre-Closing Opco common units.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jc w:val="both"/>
        <w:ind w:left="660" w:hanging="328"/>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Sponsor Letter Agreement entered into on December 2, 2021 among ArcLight,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Opco and certain other persons concurrently with the execution of the Business Combination Agreement (the “</w:t>
      </w:r>
      <w:r>
        <w:rPr>
          <w:rFonts w:ascii="Times New Roman" w:cs="Times New Roman" w:eastAsia="Times New Roman" w:hAnsi="Times New Roman"/>
          <w:sz w:val="18"/>
          <w:szCs w:val="18"/>
          <w:b w:val="1"/>
          <w:bCs w:val="1"/>
          <w:i w:val="1"/>
          <w:iCs w:val="1"/>
          <w:color w:val="auto"/>
        </w:rPr>
        <w:t>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the Sponsor agreed to subject 10% of its New OPAL Class A common stock (received as a result of the conversion of its ArcLight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immediately prior to the Closing) to vesting and forfeiture conditions relating to VWAP targets for New OPAL Class A common stock sustained over a period of 60 months following the Closing (“</w:t>
      </w:r>
      <w:r>
        <w:rPr>
          <w:rFonts w:ascii="Times New Roman" w:cs="Times New Roman" w:eastAsia="Times New Roman" w:hAnsi="Times New Roman"/>
          <w:sz w:val="18"/>
          <w:szCs w:val="18"/>
          <w:b w:val="1"/>
          <w:bCs w:val="1"/>
          <w:i w:val="1"/>
          <w:iCs w:val="1"/>
          <w:color w:val="auto"/>
        </w:rPr>
        <w:t>Sponsor Earnout Awards</w:t>
      </w:r>
      <w:r>
        <w:rPr>
          <w:rFonts w:ascii="Times New Roman" w:cs="Times New Roman" w:eastAsia="Times New Roman" w:hAnsi="Times New Roman"/>
          <w:sz w:val="18"/>
          <w:szCs w:val="18"/>
          <w:color w:val="auto"/>
        </w:rPr>
        <w:t xml:space="preserve">”). For more information, see the section titled </w:t>
      </w:r>
      <w:r>
        <w:rPr>
          <w:rFonts w:ascii="Times New Roman" w:cs="Times New Roman" w:eastAsia="Times New Roman" w:hAnsi="Times New Roman"/>
          <w:sz w:val="18"/>
          <w:szCs w:val="18"/>
          <w:i w:val="1"/>
          <w:iCs w:val="1"/>
          <w:color w:val="auto"/>
        </w:rPr>
        <w:t>“Certain Relationships and Related Party Transactions—Sponsor Letter Agreement.”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after the Closing, and upon the date on which New OPAL’s annual EBITDA for the calendar year 2023 exceeds $238.0 million (the “</w:t>
      </w:r>
      <w:r>
        <w:rPr>
          <w:rFonts w:ascii="Times New Roman" w:cs="Times New Roman" w:eastAsia="Times New Roman" w:hAnsi="Times New Roman"/>
          <w:sz w:val="18"/>
          <w:szCs w:val="18"/>
          <w:b w:val="1"/>
          <w:bCs w:val="1"/>
          <w:i w:val="1"/>
          <w:iCs w:val="1"/>
          <w:color w:val="auto"/>
        </w:rPr>
        <w:t>First Earnout Triggering Event</w:t>
      </w:r>
      <w:r>
        <w:rPr>
          <w:rFonts w:ascii="Times New Roman" w:cs="Times New Roman" w:eastAsia="Times New Roman" w:hAnsi="Times New Roman"/>
          <w:sz w:val="18"/>
          <w:szCs w:val="18"/>
          <w:color w:val="auto"/>
        </w:rPr>
        <w:t>”), (i) New OPAL will issue to Opco Common Equity holders (the “</w:t>
      </w:r>
      <w:r>
        <w:rPr>
          <w:rFonts w:ascii="Times New Roman" w:cs="Times New Roman" w:eastAsia="Times New Roman" w:hAnsi="Times New Roman"/>
          <w:sz w:val="18"/>
          <w:szCs w:val="18"/>
          <w:b w:val="1"/>
          <w:bCs w:val="1"/>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upon the date on which New OPAL’s annual EBITDA for the calendar year 2024 exceeds $446.0 million (the “</w:t>
      </w:r>
      <w:r>
        <w:rPr>
          <w:rFonts w:ascii="Times New Roman" w:cs="Times New Roman" w:eastAsia="Times New Roman" w:hAnsi="Times New Roman"/>
          <w:sz w:val="18"/>
          <w:szCs w:val="18"/>
          <w:b w:val="1"/>
          <w:bCs w:val="1"/>
          <w:i w:val="1"/>
          <w:iCs w:val="1"/>
          <w:color w:val="auto"/>
        </w:rPr>
        <w:t>Second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Triggering Event</w:t>
      </w:r>
      <w:r>
        <w:rPr>
          <w:rFonts w:ascii="Times New Roman" w:cs="Times New Roman" w:eastAsia="Times New Roman" w:hAnsi="Times New Roman"/>
          <w:sz w:val="18"/>
          <w:szCs w:val="18"/>
          <w:color w:val="auto"/>
        </w:rPr>
        <w:t>”), (i) New OPAL will issue to the Earnout Participants an aggregate of 5,000,000 additional shares of New OPAL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and New OPAL Class D common stock and corresponding OPAL Common Units (collectively, the “</w:t>
      </w:r>
      <w:r>
        <w:rPr>
          <w:rFonts w:ascii="Times New Roman" w:cs="Times New Roman" w:eastAsia="Times New Roman" w:hAnsi="Times New Roman"/>
          <w:sz w:val="18"/>
          <w:szCs w:val="18"/>
          <w:b w:val="1"/>
          <w:bCs w:val="1"/>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w:t>
      </w:r>
      <w:r>
        <w:rPr>
          <w:rFonts w:ascii="Times New Roman" w:cs="Times New Roman" w:eastAsia="Times New Roman" w:hAnsi="Times New Roman"/>
          <w:sz w:val="18"/>
          <w:szCs w:val="18"/>
          <w:b w:val="1"/>
          <w:bCs w:val="1"/>
          <w:i w:val="1"/>
          <w:iCs w:val="1"/>
          <w:color w:val="auto"/>
        </w:rPr>
        <w:t>OPAL Earnout Awards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forward share purchase agreement (the “Forward Purchase Agreement”)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$20,040,000 in escrow at the closing of the Business Combination to secure its obligation to repurchase these 2,000,000 shares at Meteora’s option for a price of $10.02 per share on the date that is six months after Closing of the Business Combination.</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July 21, 2022 agreement between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and the Sponsor, prior to the closing of the Business Combination, certain fund entities and managed accounts for which Encompass exercises investment discretion purchased 1,320,849 Class A ordinary shares of ArcLight, in the aggregate, from shareholders that had previously tendered such shares for redemption but agreed to reverse their redemption and sell such shares to Encompass, resulting in Encompass’ beneficial ownership of a total of 1,320,849 Class A ordinary shares, which Encompass agreed not to redeem in connection with the Business Combination. Additionally, the Sponsor agreed to transfer to Encompass for no consideration, 1,985,236 of the Sponsor’s private placement warrants, which warrants are subject to a 9.9% beneficial ownership limitation on exercise.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in connection with the Closing, Opco and Sponsor entered into a letter agreement (the “</w:t>
      </w:r>
      <w:r>
        <w:rPr>
          <w:rFonts w:ascii="Times New Roman" w:cs="Times New Roman" w:eastAsia="Times New Roman" w:hAnsi="Times New Roman"/>
          <w:sz w:val="18"/>
          <w:szCs w:val="18"/>
          <w:b w:val="1"/>
          <w:bCs w:val="1"/>
          <w:i w:val="1"/>
          <w:iCs w:val="1"/>
          <w:color w:val="auto"/>
        </w:rPr>
        <w:t>Sponsor Side Letter</w:t>
      </w:r>
      <w:r>
        <w:rPr>
          <w:rFonts w:ascii="Times New Roman" w:cs="Times New Roman" w:eastAsia="Times New Roman" w:hAnsi="Times New Roman"/>
          <w:sz w:val="18"/>
          <w:szCs w:val="18"/>
          <w:color w:val="auto"/>
        </w:rPr>
        <w:t>”) whereby Sponsor agreed to transfer, pledge or forfeit up to 150,000 shares of New OPAL Class A common stock held by Sponsor for the benefit of a third party non-affiliate of the Company where no consideration is received by Sponsor in respect thereof, upon and in accordance with the written direction of Opco. Pursuant to such letter agreement, Sponsor further agreed that if the Company were to receive less than $6,800,000 in cash upon the release of the escrow fund established pursuant to the Forward Purchase Agreement (such shortfall amount being referred to as the “</w:t>
      </w:r>
      <w:r>
        <w:rPr>
          <w:rFonts w:ascii="Times New Roman" w:cs="Times New Roman" w:eastAsia="Times New Roman" w:hAnsi="Times New Roman"/>
          <w:sz w:val="18"/>
          <w:szCs w:val="18"/>
          <w:b w:val="1"/>
          <w:bCs w:val="1"/>
          <w:i w:val="1"/>
          <w:iCs w:val="1"/>
          <w:color w:val="auto"/>
        </w:rPr>
        <w:t>Shortfall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Sponsor shall transfer, pledge or forfeit up to an additional 102,000 of the Sponsor Earnout Awards (shares of New OPAL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subject to vesting conditions noted above), with such maximum number of shares pro-rated on a directly proportionate basis based on the size of the Shortfall Amount relative to $6,800,000.</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completion of the Business Combination, New OPAL entered into the Tax Receivable Agreement with OPAL Holdco and Hillman (such persons, and any other persons that from time to time become a party to such agreement, collectively, the “</w:t>
      </w:r>
      <w:r>
        <w:rPr>
          <w:rFonts w:ascii="Times New Roman" w:cs="Times New Roman" w:eastAsia="Times New Roman" w:hAnsi="Times New Roman"/>
          <w:sz w:val="18"/>
          <w:szCs w:val="18"/>
          <w:b w:val="1"/>
          <w:bCs w:val="1"/>
          <w:i w:val="1"/>
          <w:iCs w:val="1"/>
          <w:color w:val="auto"/>
        </w:rPr>
        <w:t>TRA Participants</w:t>
      </w:r>
      <w:r>
        <w:rPr>
          <w:rFonts w:ascii="Times New Roman" w:cs="Times New Roman" w:eastAsia="Times New Roman" w:hAnsi="Times New Roman"/>
          <w:sz w:val="18"/>
          <w:szCs w:val="18"/>
          <w:color w:val="auto"/>
        </w:rPr>
        <w:t xml:space="preserve">”), pursuant to which New OPAL generally will be required to pay to the TRA Participants, in the aggregate, 85% of the amount of cash savings, if any, in U.S. federal, state and local income tax or franchise tax that New OPAL actually realizes as a result of (i) increases to the tax basis of Opco’s assets resulting from future redemptions or exchanges of OPAL Units (together with voting shares of New OPAL Common Stock) for shares of New OPAL Class A common stock or New OPAL Class C common stock, as applicable, or cash, (ii) tax benefits related to imputed interest, and (iii) tax attributes resulting from payments made under the Tax Receivable Agreement. The payment obligations under the Tax Receivable Agreement are New OPAL’s obligations and not obligations of Opco. For more information about the Tax Receivable Agreement, see the section titled </w:t>
      </w:r>
      <w:r>
        <w:rPr>
          <w:rFonts w:ascii="Times New Roman" w:cs="Times New Roman" w:eastAsia="Times New Roman" w:hAnsi="Times New Roman"/>
          <w:sz w:val="18"/>
          <w:szCs w:val="18"/>
          <w:i w:val="1"/>
          <w:iCs w:val="1"/>
          <w:color w:val="auto"/>
        </w:rPr>
        <w:t>“Certain Relationships and Related Party Transactions—Sponsor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May 2022, ArcLight’s and Opco’s Advisors resigned and withdrew from their engagements in connection with the Business Combination. Please see “</w:t>
      </w:r>
      <w:r>
        <w:rPr>
          <w:rFonts w:ascii="Times New Roman" w:cs="Times New Roman" w:eastAsia="Times New Roman" w:hAnsi="Times New Roman"/>
          <w:sz w:val="18"/>
          <w:szCs w:val="18"/>
          <w:i w:val="1"/>
          <w:iCs w:val="1"/>
          <w:color w:val="auto"/>
        </w:rPr>
        <w:t>Summary — Recent Developments</w:t>
      </w:r>
      <w:r>
        <w:rPr>
          <w:rFonts w:ascii="Times New Roman" w:cs="Times New Roman" w:eastAsia="Times New Roman" w:hAnsi="Times New Roman"/>
          <w:sz w:val="18"/>
          <w:szCs w:val="18"/>
          <w:color w:val="auto"/>
        </w:rPr>
        <w:t>” for a description of the potential impacts of such resignation on the Business Combination and Note 6 to this unaudited pro forma condensed combined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June 30, 2021, Opco and Ares signed the Exchange Agreement (the “</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which outlines terms that were substantially agreed to on April 30, 2021. Pursuant to the Exchange Agreement, Opco issued an unsecured convertible promissory note (the “</w:t>
      </w:r>
      <w:r>
        <w:rPr>
          <w:rFonts w:ascii="Times New Roman" w:cs="Times New Roman" w:eastAsia="Times New Roman" w:hAnsi="Times New Roman"/>
          <w:sz w:val="18"/>
          <w:szCs w:val="18"/>
          <w:b w:val="1"/>
          <w:bCs w:val="1"/>
          <w:i w:val="1"/>
          <w:iCs w:val="1"/>
          <w:color w:val="auto"/>
        </w:rPr>
        <w:t>Convertible Note</w:t>
      </w:r>
      <w:r>
        <w:rPr>
          <w:rFonts w:ascii="Times New Roman" w:cs="Times New Roman" w:eastAsia="Times New Roman" w:hAnsi="Times New Roman"/>
          <w:sz w:val="18"/>
          <w:szCs w:val="18"/>
          <w:color w:val="auto"/>
        </w:rPr>
        <w:t>”) in return for Ares’ assignment of its 58% Class B units in Beacon JV to Opco (the “</w:t>
      </w:r>
      <w:r>
        <w:rPr>
          <w:rFonts w:ascii="Times New Roman" w:cs="Times New Roman" w:eastAsia="Times New Roman" w:hAnsi="Times New Roman"/>
          <w:sz w:val="18"/>
          <w:szCs w:val="18"/>
          <w:b w:val="1"/>
          <w:bCs w:val="1"/>
          <w:i w:val="1"/>
          <w:iCs w:val="1"/>
          <w:color w:val="auto"/>
        </w:rPr>
        <w:t>Assignment Agreement</w:t>
      </w:r>
      <w:r>
        <w:rPr>
          <w:rFonts w:ascii="Times New Roman" w:cs="Times New Roman" w:eastAsia="Times New Roman" w:hAnsi="Times New Roman"/>
          <w:sz w:val="18"/>
          <w:szCs w:val="18"/>
          <w:color w:val="auto"/>
        </w:rPr>
        <w:t>”). The transfer date of the aforementioned consideration was set to May 1, 2021. As agreed to on April 30, 2021, Opco obtained unilateral control over Beacon JV on May 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i w:val="1"/>
          <w:iCs w:val="1"/>
          <w:color w:val="auto"/>
        </w:rPr>
        <w:t>Transaction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Management’s Adjustments</w:t>
      </w:r>
      <w:r>
        <w:rPr>
          <w:rFonts w:ascii="Times New Roman" w:cs="Times New Roman" w:eastAsia="Times New Roman" w:hAnsi="Times New Roman"/>
          <w:sz w:val="18"/>
          <w:szCs w:val="18"/>
          <w:color w:val="auto"/>
        </w:rPr>
        <w:t>”). Only Transaction Accounting Adjustments are presented in the unaudited pro forma condensed combined financial information and the notes thereto. The adjustments presented in the unaudited pro forma condensed combined financial statements have been identified and presented to provide relevant information necessary for an understanding of the Combined Company following consummation of the Transactions.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subject to several uncertainties and assumptions as described herein. The combined financial information presents the pro forma effects of the Business Combination and other events as described in Note 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Transaction Accounting Adjustments reflecting the consummation of the Transactions are based on certain currently available information and certain assumptions and methodologies that ArcLight believes are reasonable under the circumstances. The Transaction Accounting Adjustments, which are described in the accompanying notes, may be revised as additional information becomes available and is evaluated. Therefore, it is likely that the actual adjustments will differ from the Transaction Accounting Adjustments, and it is possible the difference may be material. New OPAL believes that its assumptions and methodologies provide a reasonable basis for presenting all of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ArcLight has not had any historical relationship with Opco prior to the Business Combination. Accordingly, no Transaction Accounting Adjustments were required to eliminate activities between the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New OPAL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(2)</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0" w:type="dxa"/>
            <w:vAlign w:val="bottom"/>
            <w:tcBorders>
              <w:bottom w:val="single" w:sz="8" w:color="CCEEFF"/>
            </w:tcBorders>
            <w:gridSpan w:val="2"/>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3,752,181</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Sponsor Shareholders (1)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7,779,076</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Ares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Opco Common Equityholders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144,399,037</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Hillman</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2,021,587</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HoldCo</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2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 forma common stock at Closing</w:t>
            </w:r>
          </w:p>
        </w:tc>
        <w:tc>
          <w:tcPr>
            <w:tcW w:w="1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170,070,427</w:t>
            </w:r>
          </w:p>
        </w:tc>
        <w:tc>
          <w:tcPr>
            <w:tcW w:w="22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763,907 of New OPAL Class A common stock held directly by the Sponsor that are legally issued and outstanding, and subject to forfeiture pursuant to the Sponsor Letter Agreement dated December 2, 2021, and an additional 150,000 of New OPAL Class A common stock held directly by the Sponsor that are subject to forfeiture pursuant to the Sponsor Side Letter.</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section titled “</w:t>
      </w:r>
      <w:r>
        <w:rPr>
          <w:rFonts w:ascii="Times New Roman" w:cs="Times New Roman" w:eastAsia="Times New Roman" w:hAnsi="Times New Roman"/>
          <w:sz w:val="18"/>
          <w:szCs w:val="18"/>
          <w:i w:val="1"/>
          <w:iCs w:val="1"/>
          <w:color w:val="auto"/>
        </w:rPr>
        <w:t>Description of Securities”.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3 — Accounting for the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Business Combination is a common control transaction accounted for similar to a reverse recapitalization, with no goodwill or other intangible assets recorded, in accordance with GAAP. OPAL HoldCo held a controlling financial interest in Opco prior to the closing date. At transaction close, OPAL HoldCo obtained a controlling financial interest in New OPAL and indirectly retained control over Opco through New OPAL. OPAL HoldCo did not relinquish control over Opco during the transaction, instead it affected a transfer of a controlled subsidiary (i.e., Opco) to a newly-controlled subsidiary (i.e., New OPAL) in exchange for issuing Class A common units of Opco for the net assets of New OPAL. As there was no change in control, Opco has been determined to be the accounting acquirer. Under this method of accounting, ArcLight is treated as the “acquired” company for financial reporting purposes. Accordingly, for accounting purposes, the transaction is treated as the equivalent of Opco issuing stock for the net assets of ArcLight, accompanied by a recapitalization. The net assets of ArcLight are stated at historical cost, with no goodwill or other intangible assets recorded.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Sponsor Earnout Awards will be classified as a liability as their settlement terms contain certain variables that preclude them from being considered indexed to New OPAL’s common stock under the “fixed-for-fixed” requirement in ASC 815-40. The estimated fair value of the Sponsor Earnout Awards liability is approximately $5.9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was determined using a Monte Carlo valuation model with a distribution of potential outcomes on a daily basis over the 5-year post-close period,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awards;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5 years following the closing;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Sponsor Earnout Awards has been recorded in the unaudited pro forma condensed combined balance sheet. See Note 6(k). Topic 815 provides guidance that changes in the fair value of the Sponsor Earnout Awards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OPAL Earnout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OPAL Earnout Awards will be classified as a liability under Topic 480 because they are considered indexed to an obligation to repurchase shares by delivering cash or other assets as a result of certain settlement provisions. OPAL Earnout Awards are a possible exception to this accounting treatment as Ares elected to receive New Opal Class A common stock in lieu of pre-Closing Opco common units. The accounting conclusion regarding the classification of the OPAL Earnout Awards is still under evaluation, and for purposes of the unaudited condensed combined pro forma information these awards are presented as liability classified on a preliminary basis. The estimated fair value of the OPAL Earnout Awards liability is approximately $46.0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OPAL Earnout Awards was determined using a Monte Carlo valuation model with a distribution of potential outcomes for stock price and EBITDA over the 2-year period commencing on January 1, 2023 and ending on December 31, 2024,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w:t>
      </w:r>
      <w:r>
        <w:rPr>
          <w:rFonts w:ascii="Times New Roman" w:cs="Times New Roman" w:eastAsia="Times New Roman" w:hAnsi="Times New Roman"/>
          <w:sz w:val="18"/>
          <w:szCs w:val="18"/>
          <w:b w:val="1"/>
          <w:bCs w:val="1"/>
          <w:i w:val="1"/>
          <w:iCs w:val="1"/>
          <w:color w:val="auto"/>
        </w:rPr>
        <w:t>WACC</w:t>
      </w:r>
      <w:r>
        <w:rPr>
          <w:rFonts w:ascii="Times New Roman" w:cs="Times New Roman" w:eastAsia="Times New Roman" w:hAnsi="Times New Roman"/>
          <w:sz w:val="18"/>
          <w:szCs w:val="18"/>
          <w:color w:val="auto"/>
        </w:rPr>
        <w:t>”) — The WACC reflected a derived cost of capital informed by research on cost of capital of a selection of comparable public companies;</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by using an average of historical volatilities of selected industry peers deemed to be comparable to our business corresponding to the expected term of the awards;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2 years earnout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forecast internally derived by Opco for the earnout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OPAL Earnout Awards has been recorded in the unaudited pro forma condensed combined balance sheet. See Note 6(k). Topic 480 provides guidance that changes in the fair value of the OPAL Earnout Awards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put option written to Meteora on 2,000,000 Class A common stock under the Forward Purchase Agreement is presented as a liability based on the company’s preliminary accounting analysis under ASC 480. The estimated fair value of the Forward Purchase Agreement liability is approximately $5.0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was determined using a Monte Carlo valuation model with a distribution of potential outcomes on a daily basis over the 6-month post-close period, and incorporating the most reliable information available as of the June 30, 2022 valuation date Assumptions used in the valuation are as follows:</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ArcLight closing stock price of $9.95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The volatility rate was determined based on historical and implied volatilities of selected industry peers deemed to be comparable to our business corresponding to the expected term of the option;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interest rate is based on the U.S. Treasury yield curve in effect at the time of issuance for zero-coupon U.S. Treasury notes with maturities corresponding to the expected five-year term of the earnout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is the 6 months following the closing;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expected dividend yield is zero, as we do not anticipate distributing dividends on the common stock in the expected term.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Forward Purchase Agreement liability has been recorded in the unaudited pro forma condensed combined balance sheet. See Note 6(l). Topic 480 provides guidance that changes in the fair value of the Forward Purchase Agreement liability in future periods will be recognized in the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Beacon Transaction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acquisition of Beacon has been treated as a business combination and has been accounted for using the acquisition method. OPAL has recorded the fair value of assets and liabilities acquired from Beacon at the acquisition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4 — Reclassifications Made to ArcLight Financial Statement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 adjustments have been made to conform ArcLight’s financial statement presentation to that of Opco’s.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balance sheet as of June 30, 2022:</w:t>
      </w:r>
    </w:p>
    <w:p>
      <w:pPr>
        <w:spacing w:after="0" w:line="225"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$219 thousand from ArcLight’s Cash to Cash and cash equivalents.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$546 thousand from ArcLight’s Prepaid expenses to Prepaid expenses and other current assets.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$30 thousand from ArcLight’s Accrued expenses and $6,192 thousand from ArcLight’s Deferred legal fees to Accrued expenses and other current liabilities.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three months ended June 30, 2022:</w:t>
      </w:r>
    </w:p>
    <w:p>
      <w:pPr>
        <w:spacing w:after="0" w:line="162"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$3,125 thousand from ArcLight’s General and administrative expenses to Selling, general and administrative.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$440 thousand from ArcLight’s Net gain on investments held in Trust Account to Interest and financing expense,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unaudited pro forma condensed combined statement of operations for the period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2021 (inception) to December 31, 2021:</w:t>
      </w:r>
    </w:p>
    <w:p>
      <w:pPr>
        <w:spacing w:after="0" w:line="207"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$4,945 thousand from ArcLight’s General and administrative expenses to Selling, general and administrative.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$463 thousand from ArcLight’s Financing costs — warrant liabilities and $13 thousand from ArcLight’s Net gain on investments held in Trust Account to Interest and financing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Reclassifications Made to Beacon Financial Statement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reclassification adjustments were made to the pro forma condensed combined statement of operations for the four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2021 to conform Beacon financial statement presentation to that of Opco’s:</w:t>
      </w:r>
    </w:p>
    <w:p>
      <w:pPr>
        <w:spacing w:after="0" w:line="207" w:lineRule="exact"/>
        <w:rPr>
          <w:sz w:val="20"/>
          <w:szCs w:val="20"/>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$1,137 thousand from Renewable gas sales, $12,101 thousand from RIN sales, and $74 thousand from Transportation sales to RNG Fuel.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$5,937 thousand from Operations and $460 thousand from Repairs and Maintenance to Costs of sales — RNG fuel.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$317 thousand from General and administrative and $139 thousand from Insurance to Selling, general and administrative.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$1,049 thousand from Depreciation and $11 thousand from Asset retirement obligation accretion to Depreciation, amortization, and accretion.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an intercompany transaction between Opco and Beacon for the amount of $1,134 thousand from Environmental credit processing service and $1,134 thousand from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Adjustments to Unaudited Pro Forma Condensed Combined Balance Sheet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has been prepared to illustrate the effect of the Transactions and has been prepared for informational purposes only. The unaudited pro forma condensed combined balance sheet as of June 30, 2022 includes Transaction Accounting Adjustments that are directly attributable to the Business Combination, and other related events described in Note 1 above.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transaction accounting adjustments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cash held in ArcLight’s Trust Account to cash and cash equivalents as of June 30, 2022 to reflect the cash available to effectuate the Transactions or to fund redemption of existing Public Shareholders. Note that on the Closing date, the actual balance of cash in the Trust Account including accumulated interest earned during the period prior to redemption is approximately $311.6 million.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proceeds of approximately $110.8 million from the issuance and sale of 11,080,600 shares of New OPAL common stock at $10.00 per share pursuant to the Amended Subscription Agreements entered into with the PIPE Investors in connection with the PIPE Investment and subsequent PIPE Extension.</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the carrying value of Opco’s Series A and Series A-1 Preferred Units to Redeemable preferred noncontrolling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65" w:name="page66"/>
    <w:bookmarkEnd w:id="65"/>
    <w:p>
      <w:pPr>
        <w:ind w:left="324" w:hanging="324"/>
        <w:spacing w:after="0" w:line="282"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fifty percent (50%) of the principal and accrued interest outstanding pursuant to the Ares Note into New OPAL Class A common stock.</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recording of estimated additional transaction costs to be incurred of $1,616 thousand in additional paid in capital. The amount represents the estimated incremental advisory, legal, accounting and auditing fees and other professional fees as of June 30, 2022, that are deemed to be direct and incremental costs of the Business Combination and related transactions. The transaction costs excluded $24.9 million in aggregate fees due to ArcLight’s and Opco’s financial advisors for the transaction, including deferred underwriting commissions from ArcLight’s initial public offering. The advisors withdrew from the transaction and waived their fees in whole.</w:t>
      </w:r>
    </w:p>
    <w:p>
      <w:pPr>
        <w:spacing w:after="0" w:line="183" w:lineRule="exact"/>
        <w:rPr>
          <w:rFonts w:ascii="Times New Roman" w:cs="Times New Roman" w:eastAsia="Times New Roman" w:hAnsi="Times New Roman"/>
          <w:sz w:val="18"/>
          <w:szCs w:val="18"/>
          <w:color w:val="auto"/>
        </w:rPr>
      </w:pPr>
    </w:p>
    <w:p>
      <w:pPr>
        <w:jc w:val="both"/>
        <w:ind w:left="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$1,400 thousand and $6,243 thousand decreases to accrued expenses and other current liabilities represent the adjustment to account for payments of accrued transaction cost liabilities in both Opco and ArcLight’s historical balance sheets, respectively, with an offsetting decrease to cash. The $6,443 deferred transaction costs incurred by Opco are adjusted against additional paid-in capital. Additionally, a $4,200 thousand adjustment was made to accrue for estimated fees related to directors’ and officers’ insurance tail policy (which is required as part of the business combination agreement), with offsetting decreases to retained earnings (accumulated deficit) and redeemable noncontrolling interests based on ownership percentage interests.</w:t>
      </w:r>
    </w:p>
    <w:p>
      <w:pPr>
        <w:spacing w:after="0" w:line="187"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prior to ArcLight Class A ordinary shareholders exercise their redemption rights, of Class A ordinary shares of $311,516 thousand to permanent equity. The Transaction Accounting Adjustment also includes conversion of outstanding ArcLight Class A and Class B ordinary shares into New OPAL Class A common stock concurrent with the consummation of the Business Combination.</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prior ArcLight shares with 38,895,381 shares of New OPAL Class A common stock and the elimination of the accumulated deficit of ArcLight. As a result of the recapitalization, ArcLight’s historical accumulated deficit balance of $21,651 thousand on June 30, 2022 was derecognized and reclassified into additional paid in capital. The shares of New OPAL’s Class D common stock issued in exchange for Opco’s capital were recorded at par value in the amount of $15 thousand.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Transactions, New OPAL, as the registrant, does not own 100% of the economic interests in Opco due to the existing equityholders of Opco owning an approximately 85.4% economic interest in Opco. This percentage excludes the 913,907 forfeitable ArcLight Sponsor shares which are recognized as a liability at fair value as detailed above. The calculation of redeemable noncontrolling interest is based on the net assets of Opco and the ownership percentage held by existing equityholders of Opco in Opco following the completion of the Transactions. Shares pursuant to the earnout arrangements have been excluded from the calculation of the redeemable noncontrolling interest until such time they become vested. Accordingly, redeemable noncontrolling interest increased to $136,553 thousand with a corresponding decrease to additional paid-in capital. In addition, as a result of the recapitalization, the carrying value of Opco’s historical members’ equity of $47,681 thousand and retained earnings of $8,955 thousand were reclassified into redeemable noncontrolling interest.</w:t>
      </w:r>
    </w:p>
    <w:p>
      <w:pPr>
        <w:spacing w:after="0" w:line="188"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27,364,124 Class A ordinary shares for approximately $274.2 million allocated to ArcLight common stock and additional paid in capital, using a par value of $0.0001 per share at a redemption price of approximately $10.02 per share.</w:t>
      </w:r>
    </w:p>
    <w:p>
      <w:pPr>
        <w:spacing w:after="0" w:line="157"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New OPAL entered into the tax receivable agreement (the “</w:t>
      </w: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 with OPAL Holdco and Hillman such persons, together with such other persons from time to time that become party thereto, collectively, the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 Pursuant to the Tax Receivable Agreement, New OPAL will be required to pay the TRA Participants 85% of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savings, if any, in U.S. federal, state and local income tax that New OPAL actually realizes (computed using certain simplifying assumptions) as a result of the increases in tax basis and certain other tax benefits related to any exchanges of OPAL Common Units (together with voting shares of New OPAL) for shares of New OPAL Class A common stock or Class C common stock.</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66" w:name="page67"/>
    <w:bookmarkEnd w:id="66"/>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Due to the uncertainty as to the amount and timing of future exchanges of OPAL Common Units by the TRA Participants and as to the price of New OPAL Class A common stock at the time of any such exchanges, the unaudited pro forma condensed combined financial information assumes that no existing equityholders of Opco have exchanged OPAL Common Units in a transaction that would create an obligation under the Tax Receivable Agreement. Therefore, no increases in tax basis in New OPAL’s assets or other tax benefits that may be realized under the Tax Receivable Agreement have been reflected in the unaudited condensed combined pro forma financial information. Future exchanges will result in incremental tax attributes and potential cash tax savings for New OPAL. Depending on New OPAL’s assessment on realizability of such tax attributes, the arising Tax Receivable Agreement liability will be recorded at the exchange date against equity, or at a later point through income. If the TRA Participants were to exchange all of their OPAL Common Units, New OPAL would recognize a deferred tax asset of approximately $508.0 million and a related liability for payments under the Tax Receivable Agreement of approximately $432.0 million, assuming (i) that the TRA Participants redeemed or exchanged all of their OPAL Common Units on the closing date; (ii) a price of $10.00 per share; (iii) a constant combined effective income tax rate of 26.47%; (iv) New OPAL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w:t>
      </w:r>
    </w:p>
    <w:p>
      <w:pPr>
        <w:spacing w:after="0" w:line="192"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ArcLight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80" w:lineRule="exact"/>
        <w:rPr>
          <w:sz w:val="20"/>
          <w:szCs w:val="20"/>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$5,900 and $46,000 thousand of the Sponsor Earnout Awards and the OPAL Earnout Awards, respectively. Refer to Note 3 for more information.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$5,000 thousand fair value of the Forward Purchase Agreement liability and associated fees of $625 thousand. The accounting treatment of these costs is still under evaluation, and for purposes of the unaudited condensed combined pro forma information these costs are presented as an adjustment to the equity issuance proceeds from the business combination.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$2,084 thousand fair value of private placement warrants transferred by Sponsor to Encompass. The accounting treatment of these costs is still under evaluation, and for purposes of the unaudited condensed combined pro forma information these costs are presented as an offsetting contribution and adjustment to issuance proceeds from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Adjustments to Unaudited Pro Forma Condensed Combined Statements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three months ended June 30, 2022 are as follows:</w:t>
      </w:r>
    </w:p>
    <w:p>
      <w:pPr>
        <w:spacing w:after="0" w:line="162" w:lineRule="exact"/>
        <w:rPr>
          <w:sz w:val="20"/>
          <w:szCs w:val="20"/>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percentage interest in Opco. The adjustment to the net income (loss) redeemable preferred noncontrolling interest represents the accrued dividends that would be settled in cash in connection with item 6(d) above.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eliminate the income (loss) from the equity method investments in connection with Beacon prior to the acquisition, and to reflect the reduced depreciation expense pertaining to the acquired property, plant and equipment that was measured at the acquisition date fair value.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is more likely than not that the ArcLight deferred tax assets will not be realized in accordance with ASC 740, no income tax benefit is recognized.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Net income (loss) attributable to redeemable preferred noncontrolling interest and redeemable noncontrolling interest. The Net income (loss) attributable to redeemable noncontrolling interest is based on a 85.4% common ownership interest in Opco. The adjustment to the net income (loss) redeemable preferred noncontrolling interest represents the accrued dividends that would be settled in cash in connection with item 6(d) above.</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earned on marketable securities held in ArcLight’s Trust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$4,200 thousand adjustment for estimated costs attributable to a directors’ and officers’ insurance tail policy which will be contingently incurred upon closing of the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8 — Net Income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Represents the net income (loss) per share calculated using the historical weighted average shares outstanding and the issuance of additional shares in connection with the Business Combination, the PIPE Investment, and other related events, assuming such additional shares were outstanding since January 1, 2021. As the Business Combination and PIPE Investment are being reflected as if they had occurred as of January 1, 2021, the calculation of weighted average shares outstanding for basic and diluted net income (loss) per share assumes the shares issued in connection with the Business Combination and PIPE Investment have been outstanding for the entire periods presented.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OPAL has 6,223,261 public warrants and 9,223,261 private placement warrants. The warrants are exercisable at their $11.50 strike price which exceeds the current market price for New OPAL Class A common stock. The warrants are considered anti-dilutive and were excluded from the diluted earnings per share for the period presented below. In addition, the shares pursuant to the earnout arrangements as discussed in Note 1 were excluded from the diluted earnings per share calculation since such shares are contingently issuable or forfeitable, and the contingencies have not been resolved. Diluted earnings per share also does not reflect the conversion of Opco’s Class B units into New OPAL Class A common stock as the result would be anti-dilutive. As a result, the basic and diluted net income (loss) per share is the same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shares and per share data)</w:t>
            </w: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income (loss) attributable to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of New OPAL Class A common stock – basic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24,757,483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24,757,483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of New OPAL Class A common stock – diluted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24,761,483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24,761,483</w:t>
            </w: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net income (loss) per share (Basic) attributable to New OPAL Class A common stockholders (1)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income (loss) per share (Diluted) attributable to New OPAL Class A common stockholders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3,752,181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ArcLight Public Shareholders (3)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3,756,181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3,756,181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Shareholders (2)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6,865,169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6,865,169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PIPE Investors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11,080,600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11,080,600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OPAL’s Class B and Class D common stock outstanding do not participate in earnings or losses and therefore are not participating securities. As such, a separate presentation of basic and diluted earnings per share of Class B and Class D common stock under the two-class method has not been presented.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763,907 of New OPAL Class A common stock held directly by the Sponsor that are subject to forfeiture pursuant to the Sponsor Letter Agreement and an additional 150,000 of New OPAL Class A common stock held directly by the Sponsor that are subject to forfeiture pursuant to the Sponsor Side Letter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dilutive shares of New OPAL Class A Common Stock pursuant to the Forward Purchase Agreement under the reverse treasury stock method.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unaudited condensed consolidated financial statements as of June 30, 2022 and for the six months ended June 30, 2022 and 2021, its audited consolidated financial statements as of and for the years ended December 31, 2021 and 2020, the related notes, and other information included elsewhere in this prospectus. This discussion and analysis should also be read in conjunction with Unaudited Pro Forma Condensed Combined Financial Information. In addition to historical information, this discussion and analysis includes certain forward-looking statements which reflect our current expectations. Our actual results may materially differ from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landfill gas and dairy manure as the source of the biogas. In addition, we have has recently begun implementing design, development, and construction services for hydrogen fueling stations, and we are pursuing opportunities to diversify its sources of biogas to other waste streams.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separately design, develop, construct, operate and service fueling stations for vehicle fleets across the country that dispense RNG and/or CNG to displace diesel as a fleet transportation fuel. During the six months ended June 30, 2022, we dispensed 13.1 million gasoline gallon equivalents (“</w:t>
      </w:r>
      <w:r>
        <w:rPr>
          <w:rFonts w:ascii="Times New Roman" w:cs="Times New Roman" w:eastAsia="Times New Roman" w:hAnsi="Times New Roman"/>
          <w:sz w:val="18"/>
          <w:szCs w:val="18"/>
          <w:b w:val="1"/>
          <w:bCs w:val="1"/>
          <w:i w:val="1"/>
          <w:iCs w:val="1"/>
          <w:color w:val="auto"/>
        </w:rPr>
        <w:t>GGEs</w:t>
      </w:r>
      <w:r>
        <w:rPr>
          <w:rFonts w:ascii="Times New Roman" w:cs="Times New Roman" w:eastAsia="Times New Roman" w:hAnsi="Times New Roman"/>
          <w:sz w:val="18"/>
          <w:szCs w:val="18"/>
          <w:color w:val="auto"/>
        </w:rPr>
        <w:t>”) of RNG to the transportation market, generating corresponding Environmental Attributes, utilizing its network of 241 Fueling Stations in 40 states in the United States, including more than 32 stations in California as of July 31, 2022. This is a substantial increase from 75 total stations as of December 2021, due to 129 new fueling stations from one fuel dispensing contract. We have has served as the general contractor or supervised qualified third-party contractors to complete over 387 Fueling Station projects and currently service more than 14,000 trucks on a daily basis.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Opco was formed in December 2020 as a wholly owned subsidiary of OPAL Holdco under the laws of the State of Delaware. On December 31, 2020, Fortistar and certain of its affiliated entities (for purposes of this discussion, our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 contributed their respective ownership interests in the following legal entities to Opco in a common-control reorganization: TruStar Energy LLC, Fortistar RNG LLC, Fortistar Methane 3 Holdings LLC, Fortistar Methane 3 LLC, Fortistar Contracting LLC, Fortistar Services LLC, Gas Recovery Systems, LLC, Minnesota Methane LLC and Fortistar Methane 4 LLC. Opco accounted for its receipt of these interests as a transfer under common control, and accordingly retained the historical basis of accounting by its Ultimate Parent as if the entities had always been held by Opco.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21, 2022, we completed the proposed business combination as per the terms of the Business Combination Agreement. 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we received $105.8 million in proceeds from the PIPE Investors, in exchange for which we issued 10,580,600 shares of Class A common stock to the PIPE Investors. We received the remaining $5.0 million subscribed for pursuant to the PIPE Investment from one of the PIPE Investors subsequent to the Closing and issued 500,000 shares of Class A common stock.</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below, the consummation of the PIPE Investment, and the separation of the former ArcLight units, there are currently (i) 25,671,390 shares of our Class A common stock issued and outstanding, (ii) 144,399,037 shares of our Class D common stock issued and outstanding, (iii) no shares of Class B common stock, par value $0.0001 per share (“</w:t>
      </w:r>
      <w:r>
        <w:rPr>
          <w:rFonts w:ascii="Times New Roman" w:cs="Times New Roman" w:eastAsia="Times New Roman" w:hAnsi="Times New Roman"/>
          <w:sz w:val="18"/>
          <w:szCs w:val="18"/>
          <w:b w:val="1"/>
          <w:bCs w:val="1"/>
          <w:i w:val="1"/>
          <w:iCs w:val="1"/>
          <w:color w:val="auto"/>
        </w:rPr>
        <w:t>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 share) and</w:t>
      </w:r>
    </w:p>
    <w:p>
      <w:pPr>
        <w:spacing w:after="0" w:line="3" w:lineRule="exact"/>
        <w:rPr>
          <w:sz w:val="20"/>
          <w:szCs w:val="20"/>
          <w:color w:val="auto"/>
        </w:rPr>
      </w:pPr>
    </w:p>
    <w:p>
      <w:pPr>
        <w:ind w:firstLine="8"/>
        <w:spacing w:after="0" w:line="260" w:lineRule="auto"/>
        <w:tabs>
          <w:tab w:leader="none" w:pos="3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Class C common stock, par value $0.0001 per share,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Class A common stock and warrants commenced trading on Nasdaq under the symbols “OPAL” and “OPALW,” respectively, on July 22, 2022, subject to ongoing review of our satisfaction of all listing criteria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aggregate of $274.2 million was paid from the trust account to holders that properly exercised their right to have their public shares redeemed, and the remaining balance immediately prior to the Closing of $37.6 million remained in the trust account. The remaining amount in the trust account, together with the proceeds from the PIPE Investment, were contributed by us to Opco after the set aside of funds in escrow to support a forward purchase agreement.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shares of Class A common stock being offered for resale pursuant to this prospectus by the Selling Holders represent approximately 98.0% of shares outstanding of the Company as of September 16, 2022 (after giving effect to the issuance of shares upon exercise of outstanding Warrants and upon the conversion of Class C common stock to be issued to the Opco Common Equityholders upon the exchange by them of Opco Common Units). The resale, or expected or potential resale, of these shares in the public market could adversely affect the market price for our Class A common stock and make it more difficult for you to sell your holdings at times and prices that you determine are appropriate. Furthermore, we expect that, because there is a large number of shares being registered pursuant to the registration statement of which this prospectus forms a part,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Sales of substantial numbers of such shares in the public market, including the resale of the shares of Class A common stock held by our stockholders, could adversely affect the market price of our Class A common stock.</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we entered into a purchase and sale agreement with NextEra for the Environmental Attributes generated by the RNG Fuels business. Under this agreement, we plan to sell a minimum of 90% of the Environmental Attributes generated and will receive net proceeds based on the agreed upon price less a specified discount. A specified volume of Environmental Attributes sold per quarter will incur a small fee per environmental attribute in addition to the specified discount. The agreement became effective in the first quarter of 2022. During the six months ended June 30, 2022, we earned net revenues after discount of $29.7 million under this contract which was recorded as part of our “RNG fuels” revenue.</w:t>
      </w:r>
    </w:p>
    <w:p>
      <w:pPr>
        <w:spacing w:after="0" w:line="17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On December 10, 2021, we entered into a new 50/50 joint venture and formed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to convert an existing electric facility into an RNG facility. As of June 30, 2022, we contributed $16.9 million as our share of capital investment towards the project.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22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our discretion prior to June 30, 2022. As of June 30, 2022, we issued 1,000,000 units for total proceeds of $100.0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elsewhere in this prospectus.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RNG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RVOs for D3 RINs in accordance with the mandates established by the EISA. The EPA’s issuance of timely and sufficient annual RVOs to accommodate the RNG industry’s growing production levels is necessary to stabilize the RIN market. The current authorization for the EPA’s issuance of RVOs will expire beginning in 2023, and the EPA may issue RVOs under a modified system that has yet to be developed, which creates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spacing w:after="0" w:line="16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Commercial transportation, including heavy-duty trucking, generates approximately 30% emissions of overall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Markets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generate revenues from sales of RECs and Renewable Power generated by our biogas-to-Renewable Power projects. RECs exist because of legal and governmental regulatory requirements, and a change in law or in governmental policies concerning Renewable Power, LFG, or the sale of RECs could be expected to affect the market for, and the pricing of, the RECs that we can generate through production at our Biogas Conversion Projects. We periodically evaluate opportunities to convert existing biogas-to-Renewable Power projects to RNG production. This strategy has been an increasingly attractive avenue for growth when RNG from landfills became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spacing w:after="0" w:line="172" w:lineRule="exact"/>
        <w:rPr>
          <w:sz w:val="20"/>
          <w:szCs w:val="20"/>
          <w:color w:val="auto"/>
        </w:rPr>
      </w:pPr>
    </w:p>
    <w:p>
      <w:pPr>
        <w:jc w:val="both"/>
        <w:ind w:left="660" w:hanging="328"/>
        <w:spacing w:after="0" w:line="259"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Revenues are derived from the production and sale of RNG and Environmental Attributes to public utilities and other credit-worthy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parties, including direct sales of RNG to commercial fueling stations. We generally sell brown gas in the spot market, RIN and LCFS credits under a medium-term contract, and CNG under 10-year contracts. Contract pricing is generally based on market price at the time of delivery, and our contracts generally do not have minimum volume commitments. Revenues presented under this caption include the results of our reportable segments “RNG Fuel Supply” and “RNG Fuel Dispensing.”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Revenues are derived from the production and sale of both Renewable Power and RECs to public utilities and other credit-worthy counterparties under Power Purchase Agreements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”)s and other arrangements throughout the United States. The majority of our Renewable Power and REC production is sold together on a bundled basis under long-term contracts with fixed per-unit pricing, and without minimum volume commitments. Additionally, we receive revenue from public utilities to maintain capacity so that peak electricity demand may be met on an as-needed basis and from operating and maintenance agreements with landfill owners to maintain the site’s gas collection system. In an effort to reduce volatility in our revenues earned from sale of Renewable Power, we enter into certain commodity swap arrangements from time to time. In these arrangements, we deliver megawatt hour (“</w:t>
      </w:r>
      <w:r>
        <w:rPr>
          <w:rFonts w:ascii="Times New Roman" w:cs="Times New Roman" w:eastAsia="Times New Roman" w:hAnsi="Times New Roman"/>
          <w:sz w:val="18"/>
          <w:szCs w:val="18"/>
          <w:b w:val="1"/>
          <w:bCs w:val="1"/>
          <w:i w:val="1"/>
          <w:iCs w:val="1"/>
          <w:color w:val="auto"/>
        </w:rPr>
        <w:t>MWh</w:t>
      </w:r>
      <w:r>
        <w:rPr>
          <w:rFonts w:ascii="Times New Roman" w:cs="Times New Roman" w:eastAsia="Times New Roman" w:hAnsi="Times New Roman"/>
          <w:sz w:val="18"/>
          <w:szCs w:val="18"/>
          <w:color w:val="auto"/>
        </w:rPr>
        <w:t>”) capacity and receive a variable price based on market conditions. We convert this variable fee to a fixed fee by paying or receiving funds from the counterparty to the commodity swap arrangement based on the difference between the contract fixed price and the market price. Revenues presented under this caption include the results of our reportable segments “Renewable Power 3 Portfolio” and “Renewable Power 4 Portfolio.”</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Revenues are derived from our services to design and construct RNG vehicle fueling stations for fleet operators,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ongoing maintenance services to station owners. Our design and construction arrangements are generally performed within one year and have a guaranteed maximum fixed price. Our maintenance services are generally performed under medium to long-term contracts with volume-based pricing. Revenues presented under this caption include the results of our reportable segments “Fuel Construction Services” and “Fuel Station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221" w:lineRule="exact"/>
        <w:rPr>
          <w:sz w:val="20"/>
          <w:szCs w:val="20"/>
          <w:color w:val="auto"/>
        </w:rPr>
      </w:pPr>
    </w:p>
    <w:p>
      <w:pPr>
        <w:ind w:left="660" w:hanging="328"/>
        <w:spacing w:after="0" w:line="28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gas we capture; service provider costs; salaries and other indirect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production process; utilities; transportation, storage, and insurance; and depreciation of production facilities.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land usage costs; service provider costs; salaries and other indirect expenses related to the production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and depreciation of production facilities.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 equipment supplier costs; service provider costs; and salaries and other indirect expenses.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cost of services provided to us by an affiliate, and marketing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our period-over-period comparisons below for more information about our performance for the six months ended June 30, 2022 and 2021, as well as the fiscal years ended December 31, 2021 and 2020.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 and the Fiscal Years Ended December 31, 2021 and 2020</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the Company’s statement of operations for the six months ended June 30, 2022 and 2021 and the fiscal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6"/>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50,815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19,174</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31,641</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70,360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11,545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58,815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21,437</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(2,285)</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51,250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17,173</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15,124</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54,911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57,784</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44,480</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32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117,706</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48,418</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30,884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11,080</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19,804</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7,376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17,888</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37,755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14,317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14,440</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45,037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11,185</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7,625</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20,474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4,059</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2,499</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8,338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17,689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4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100,957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58,529</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42,428</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155,098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135,542</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19,556</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36"/>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28,862</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32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(3,305)</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(3,103)</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(loss) on</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3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Income from equity method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2,392</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(2,428)</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 on acquisition of equity method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19,818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(19,818)</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18,177</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66,140</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55"/>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(301)</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(6085)%</w:t>
            </w:r>
          </w:p>
        </w:tc>
      </w:tr>
      <w:tr>
        <w:trPr>
          <w:trHeight w:val="180"/>
        </w:trPr>
        <w:tc>
          <w:tcPr>
            <w:tcW w:w="324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Net (loss) income attributable to OPAL</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8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Fuels LLC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
              <w:spacing w:after="0" w:line="278" w:lineRule="exact"/>
              <w:rPr>
                <w:sz w:val="20"/>
                <w:szCs w:val="20"/>
                <w:color w:val="auto"/>
              </w:rPr>
            </w:pPr>
            <w:r>
              <w:rPr>
                <w:rFonts w:ascii="Times New Roman" w:cs="Times New Roman" w:eastAsia="Times New Roman" w:hAnsi="Times New Roman"/>
                <w:sz w:val="17"/>
                <w:szCs w:val="17"/>
                <w:color w:val="auto"/>
              </w:rPr>
              <w:t>(6,745</w:t>
            </w:r>
            <w:r>
              <w:rPr>
                <w:rFonts w:ascii="Times New Roman" w:cs="Times New Roman" w:eastAsia="Times New Roman" w:hAnsi="Times New Roman"/>
                <w:sz w:val="32"/>
                <w:szCs w:val="32"/>
                <w:color w:val="auto"/>
                <w:vertAlign w:val="superscript"/>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18,375</w:t>
            </w:r>
          </w:p>
        </w:tc>
        <w:tc>
          <w:tcPr>
            <w:tcW w:w="980" w:type="dxa"/>
            <w:vAlign w:val="bottom"/>
            <w:gridSpan w:val="2"/>
            <w:shd w:val="clear" w:color="auto" w:fill="CCEEFF"/>
          </w:tcPr>
          <w:p>
            <w:pPr>
              <w:jc w:val="right"/>
              <w:ind w:right="81"/>
              <w:spacing w:after="0" w:line="278" w:lineRule="exact"/>
              <w:rPr>
                <w:sz w:val="20"/>
                <w:szCs w:val="20"/>
                <w:color w:val="auto"/>
              </w:rPr>
            </w:pPr>
            <w:r>
              <w:rPr>
                <w:rFonts w:ascii="Times New Roman" w:cs="Times New Roman" w:eastAsia="Times New Roman" w:hAnsi="Times New Roman"/>
                <w:sz w:val="17"/>
                <w:szCs w:val="17"/>
                <w:color w:val="auto"/>
              </w:rPr>
              <w:t>(25,120</w:t>
            </w:r>
            <w:r>
              <w:rPr>
                <w:rFonts w:ascii="Times New Roman" w:cs="Times New Roman" w:eastAsia="Times New Roman" w:hAnsi="Times New Roman"/>
                <w:sz w:val="32"/>
                <w:szCs w:val="32"/>
                <w:color w:val="auto"/>
                <w:vertAlign w:val="superscript"/>
              </w:rPr>
              <w:t>)</w:t>
            </w:r>
          </w:p>
        </w:tc>
        <w:tc>
          <w:tcPr>
            <w:tcW w:w="1100" w:type="dxa"/>
            <w:vAlign w:val="bottom"/>
            <w:gridSpan w:val="2"/>
            <w:shd w:val="clear" w:color="auto" w:fill="CCEEFF"/>
          </w:tcPr>
          <w:p>
            <w:pPr>
              <w:jc w:val="right"/>
              <w:ind w:right="30"/>
              <w:spacing w:after="0" w:line="278" w:lineRule="exact"/>
              <w:rPr>
                <w:sz w:val="20"/>
                <w:szCs w:val="20"/>
                <w:color w:val="auto"/>
              </w:rPr>
            </w:pPr>
            <w:r>
              <w:rPr>
                <w:rFonts w:ascii="Times New Roman" w:cs="Times New Roman" w:eastAsia="Times New Roman" w:hAnsi="Times New Roman"/>
                <w:sz w:val="17"/>
                <w:szCs w:val="17"/>
                <w:color w:val="auto"/>
              </w:rPr>
              <w:t>(137</w:t>
            </w:r>
            <w:r>
              <w:rPr>
                <w:rFonts w:ascii="Times New Roman" w:cs="Times New Roman" w:eastAsia="Times New Roman" w:hAnsi="Times New Roman"/>
                <w:sz w:val="32"/>
                <w:szCs w:val="32"/>
                <w:color w:val="auto"/>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41,363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1"/>
              <w:spacing w:after="0" w:line="278" w:lineRule="exact"/>
              <w:rPr>
                <w:sz w:val="20"/>
                <w:szCs w:val="20"/>
                <w:color w:val="auto"/>
              </w:rPr>
            </w:pPr>
            <w:r>
              <w:rPr>
                <w:rFonts w:ascii="Times New Roman" w:cs="Times New Roman" w:eastAsia="Times New Roman" w:hAnsi="Times New Roman"/>
                <w:sz w:val="17"/>
                <w:szCs w:val="17"/>
                <w:color w:val="auto"/>
              </w:rPr>
              <w:t>(25,358</w:t>
            </w:r>
            <w:r>
              <w:rPr>
                <w:rFonts w:ascii="Times New Roman" w:cs="Times New Roman" w:eastAsia="Times New Roman" w:hAnsi="Times New Roman"/>
                <w:sz w:val="32"/>
                <w:szCs w:val="32"/>
                <w:color w:val="auto"/>
                <w:vertAlign w:val="superscript"/>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66,721</w:t>
            </w:r>
          </w:p>
        </w:tc>
        <w:tc>
          <w:tcPr>
            <w:tcW w:w="980" w:type="dxa"/>
            <w:vAlign w:val="bottom"/>
            <w:gridSpan w:val="2"/>
            <w:shd w:val="clear" w:color="auto" w:fill="CCEEFF"/>
          </w:tcPr>
          <w:p>
            <w:pPr>
              <w:jc w:val="right"/>
              <w:spacing w:after="0" w:line="278" w:lineRule="exact"/>
              <w:rPr>
                <w:sz w:val="20"/>
                <w:szCs w:val="20"/>
                <w:color w:val="auto"/>
              </w:rPr>
            </w:pPr>
            <w:r>
              <w:rPr>
                <w:rFonts w:ascii="Times New Roman" w:cs="Times New Roman" w:eastAsia="Times New Roman" w:hAnsi="Times New Roman"/>
                <w:sz w:val="17"/>
                <w:szCs w:val="17"/>
                <w:color w:val="auto"/>
              </w:rPr>
              <w:t>263</w:t>
            </w:r>
            <w:r>
              <w:rPr>
                <w:rFonts w:ascii="Times New Roman" w:cs="Times New Roman" w:eastAsia="Times New Roman" w:hAnsi="Times New Roman"/>
                <w:sz w:val="32"/>
                <w:szCs w:val="32"/>
                <w:color w:val="auto"/>
                <w:vertAlign w:val="superscript"/>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RNG Fuel increased by $31.6 million, or 165%, for the six months ended June 30, 2022 compared to the six months ended June 30, 2021.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increase in volumes due to five new sites. Additionally, there was an revenue increase of $1.0 million due to two new RNG facilities coming online - Sunoma and New River.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from RNG Fuel increased by $58.8 million, or 509%, for the year ended December 31, 2021 compared to the year ended December 31, 2020. This change was primarily attributable to the introduction of Beacon revenues upon consolidation in 2021 and the termination of an off-market RNG sales agreement effective in late 2020 resulting in an increase of revenues of $47.3 million. Additionally, revenues increased from the sale of environmental credits of $8.1 million primarily due to increased volumes, and an increase in fuel dispensing sales of $2.9 million as a result of an increase in third party dispensing and OPAL-owned fueling stations.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Renewable Power decreased by $2.3 million, or 11%, for the six months ended June 30, 2022 compared to the six months ended June 30, 2021. This change was attributable primarily due to a decrease of $1.9 million from gas production downtime related to the conversion of a facility from Renewable Power to RNG. Additionally, there was a decrease of $1.0 million due to unplanned maintenance at two facilities offset by a $1.0 million decrease in unrealized loss on commodity swaps.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Renewable Power decreased by $5.9 million, or 12%, for the year ended December 31, 2021 compared to the year ended December 31, 2020. This change was attributable primarily to a decrease of $3.1 million from the reduction in production volumes as a result of closure of two facilities that were impaired in December 2020. Additionally, there was a reduction of $1.3 million due to the change in fair value of commodity swap contracts, a $0.7 million decrease due to the expiration of an existing contract, and a $0.6 million decrease from lower volume of REC sales.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Fuel Station Service increased by $15.1 million, or 88%, for the six months ended June 30, 2022 compared to the six months ended June 30, 2021. This change was primarily attributable to an increase of $12.8 million in construction revenue from additional projects and an increase of $2.6 million from additional service volumes from the addition of 16 new fueling service sites.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Fuel Station Service decreased by $4.5 million, or 8%, for the year ended December 31, 2021 compared to the year ended December 31, 2020. This was primarily attributable to a decrease of revenue by $7.2 million from third party construction projects which were delayed into 2022, partially offset by an increase in revenues from fuel station services of $2.6 million as we built new fuel stations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Fuel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sales from RNG Fuel increased by $19.8 million, or 179%, for the six months ended June 30, 2022 compared to the six months ended June 30, 2021. This change was attributable primarily to the introduction of Beacon’s cost of sales upon consolidation in the second quarter of 2021 resulting in an increase of $9.8 million. There was an increase of $2.2 million from new RNG facilities coming online at Sunoma and New River. The Company incurred $0.8 million of development costs for its Emerald and Central Valley facilities that are currently under construction. Additionally, there was an increase of $4.8 million in costs in downstream dispensing and an increase of $1.7 million in costs for additional brown gas sales.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sales from RNG Fuel increased by $33.7 million, or 457%, for the year ended December 31, 2021 compared to the year ended December 31, 2020. This change was attributable primarily to the introduction of Beacon’s cost of sales upon consolidation in 2021 resulting in an increase of $22.4 million, a $1.9 million increase in development costs for building new RNG facilities and a $8.8 million increase relating to increased dispensing fees from an increased volume of environmental credits generated.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Renewable Power decreased by $1.9 million, or 11%, for the six months ended June 30, 2022 compared to the six months ended June 30, 2021. The decrease was primarily attributable to a $0.7 million decrease in major maintenance at two of our facilities due to timing and a $0.9 million decrease in LFG expense at one of our facilities due to lower Renewable Power generation due to gas issues.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Renewable Power decreased by $6.6 million, or 17%, for the year ended December 31, 2021 compared to the year ended December 31, 2020. This change is attributable primarily to closure of two facilities that were previously impaired in December 2020, a $0.4 million decrease as a result of lower royalty fees, and a $2.5 million decrease relating to timing of major maintenance on existing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Fuel Station Service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Fuel Station Service increased by $14.4 million, or 101%, for the six months ended June 30, 2022 compared to the six months ended June 30, 2021. This change was primarily attributable to an increase of $13.3 million from construction of additional projects and an increase of $1.0 million increase in service from higher volumes.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sales from Fuel Station Service decreased by $2.2 million, or 5%, for the year ended December 31, 2021 compared to the year ended December 31, 2020. This change was attributable primarily to a decrease in costs of $5.2 million for third party construction projects due to delays into 2022, offset by increase in the cost of the construction project by $2.8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$7.6 million, or 68%, for the six months ended June 30, 2022 compared to the six months ended June 30, 2021. This change was attributable primarily to higher employee headcount and related compensation and benefit expenses of $3.8 million to support our organic growth, an increase of $2.1 million in professional fees and audit fees relating to our efforts to become a publicly traded company, an increase of $1.7 million in IT-related expenses as we invested to improve our technology platforms and $0.7 million in insurance and marketing expenses.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 total of $8.9 million, or 43%, for the year ended December 31, 2021 compared to the year ended December 31, 2020. This change was attributable primarily to higher employee headcount and related compensation and benefit expenses of $5.8 million to support our organic growth year-over-year, and a $4.6 million increase in professional fees related to audit, tax, legal and consulting fees.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$2.5 million, or 62%, for the six months ended June 30, 2022 compared to the six months ended June 30, 2021. This change was attributable primarily to the introduction of Beacon’s property, plant and equipment balances upon consolidation in the second quarter of 2021, increasing our depreciation expense by $0.8 million. Additionally, there was an increase of $0.8 million due to two new RNG facilities coming online at Sunoma and New River, $0.6 million of accelerated depreciation relating to shutdown of one of our Renewable Power generation facilities and $0.2 million increase upon construction of new fueling stations.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Depreciation, amortization, and accretion increased by a total of $2.3 million, or 28%, for the year ended December 31, 2021 compared to the year ended December 31, 2020. This change was attributable primarily to the introduction of Beacon’s property, plant and equipment balances upon consolidation in 2021 increasing our depreciation expense by $2.1 million, a $0.4 million increase from new downstream dispensing sites becoming operational, a $0.1 million increase from one additional RNG facility becoming operational during the fourth quarter of 2021, partially offset by a $0.3 million decrease due to lower depreciation on assets in our Renewable Power business because of the impairment recognized in December 2020.</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termination of PPA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Gain on termination of PPA decreased by $1.3 million or 100% for the year ended December 31, 2021 compared to the year ended December 31, 2020. This change was attributable primarily to the closure of a facility by a mutual agreement with a customer.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sale/disposal of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loss or gain on the sale/disposal of assets for the six months ended June 30, 2022 and 2021.</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Loss on disposal assets decreased by $0.2 million or 100% for the year ended December 31, 2021 compared to the year ended December 31, 2020 due to certain losses being incurred for write-offs of property, plant and equipment in the prior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 net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and financing expenses, net, increased by $3.1 million, or 94%, for the six months ended June 30, 2022 compared to the six months ended June 30, 2021. This change was primarily due to increase in outstanding debt from OPAL term loan resulting in an increase in an interest expense of $1.7 million (includes $0.4 million of amortization of deferred financing costs), $1.2 million of paid-in-kind interest on Convertible note payable relating to acquisition of Beacon, $0.9 million increase from the Sunoma loan as the interest expense was expensed for the six months ended June 30, 2022 whereas the interest was capitalized in the same period prior year as because the construction was completed during the first quarter of 2022. These were offset by savings of $0.3 million on TruStar revolving credit facility as it was paid down in October 2021 and a $0.9 million increase in interest income from Note receivable.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Interest and financing expenses, net increased by $0.8 million, or 12%, for the year ended December 31, 2021 compared to the year ended December 31, 2020. The increase is primarily attributable to the increase in the interest on the convertible note payable of $3.3 million, $0.6 million increase in interest on the OPAL term loan, partially offset by a decrease of $0.9 million in interest on the senior secured facility, a $1.7 million decrease in interest on the TruStar revolver facility which was repaid in October 2021, and a $0.5 million increase in income received from patronage dividends in the current year compared to prior year.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gain on interest rate swaps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Realized and unrealized gain on interest rate swaps increased by $0.3 million, or 1829%, for the six months ended June 30, 2022 compared to the six months ended June 30, 2021. This change was attributable primarily to fair value adjustments in connection with our interest rate swaps.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Realized and unrealized gain (loss) on interest rate swaps increased by $2.3 million, or 105%, for the year ended December 31, 2021 compared to the year ended December 31, 2020. This change was attributable primarily to fair value adjustments in connection with our interest rate swaps.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from equity method investment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(loss) income attributable to equity in method investments decreased by $2.4 million, or 102%, for the six months ended June 30, 2022, compared to the six months ended June 30, 2021. This change was attributable primarily to a decrease of $2.4 million from Beacon being accounted for under the equity method for the period between January 1, 2021 and April 30, 2021 and as a consolidated subsidiary thereafter. For the six months ended June 30, 2022, there was net loss from equity method investments in the Pine Bend, Noble Road and GREP.</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income (loss) attributable to equity method investments increased by $2.7 million, or 577%, for the year ended December 31, 2021 compared to the year ended December 31, 2020. This change was attributable primarily to the increase in net income of Beacon of $2.4 million offset by our share of net loss from our investment in GREP for the period between August 2021 and December 2021 of $0.1 million as compared to net loss of $0.5million for Beacon for the year ended December 31, 2020. Upon the step acquisition of the 56% of controlling interest in Beacon in May 2021, the results of Beacon were consolidated in the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acquisition of equity method investment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gain on equity method investment for the six months ended June 30, 2022. The gain on acquisition of equity method investment was $19.8 million for the six months ended June 30, 2021 primarily due to our step acquisition of the remaining interest in Beacon in May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gain on acquisition of equity method investment increased by $19.8 million, or 100%, for the year ended December 31, 2021 compared to the year ended December 31, 2020. This change was attributable primarily to our step acquisition of the remaining interest in Beacon in May 2021.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deconsolidation of entities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we re-assessed our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We determined that we should account for our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we have the ability to exercise significant influence, but not control, over both entities.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December 31, 2021, we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we remeasured the fair value of the retained investment and recognized a gain of $3.1 million on Pine Bend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$11.9 million on Noble Road in its consolidated statement of operations for the year ended December 31, 2021 and a corresponding increase in our basis in “Investment in other entities” on our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Paid-in-kind preferred dividends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Opco. On the same day, we entered into a subscription agreement with NextEra for up to 1,000,000 Series A Preferred Units, which were issued to NextEra during first and second quarters of 2022 for total proceeds of $100.0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Series A Preferred Units and Series A-1 Preferred Units carry an interest of 8% dividend payable quarterly either in cash or paid-in-kind for the first eight quarters at the option of the Company. The Company recorded the paid-in-kind dividends of 1.2 million on Series A-1 Preferred Units and 1.2 million on Series A Preferred Units for the six months ended June 30,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$0.2 million and $- paid-in-kind preferred dividend for the years ended December 31, 2021 and 2020,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$100.3 million. The completion of the Business Combination in July resulted in an additional cash infusion of $123.4 million. The Company received the remaining $5.0 million subscribed for pursuant to the PIPE Investment from one of the PIPE Investors subsequent to the Closing and issued 500,000 shares of Class A common stock. Additionally, we entered into a senior secured credit facility which provides an approximately two year delayed term loan facility (the “</w:t>
      </w:r>
      <w:r>
        <w:rPr>
          <w:rFonts w:ascii="Times New Roman" w:cs="Times New Roman" w:eastAsia="Times New Roman" w:hAnsi="Times New Roman"/>
          <w:sz w:val="18"/>
          <w:szCs w:val="18"/>
          <w:b w:val="1"/>
          <w:bCs w:val="1"/>
          <w:i w:val="1"/>
          <w:iCs w:val="1"/>
          <w:color w:val="auto"/>
        </w:rPr>
        <w:t>DDTL Facility</w:t>
      </w:r>
      <w:r>
        <w:rPr>
          <w:rFonts w:ascii="Times New Roman" w:cs="Times New Roman" w:eastAsia="Times New Roman" w:hAnsi="Times New Roman"/>
          <w:sz w:val="18"/>
          <w:szCs w:val="18"/>
          <w:color w:val="auto"/>
        </w:rPr>
        <w:t>”)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xml:space="preserve">”)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our condensed consolidated financial statements for additional information. Additionally, we expect to have an additional $25.0 to 35.0 million available under the OPAL term loan in the second half of 2022, upon meeting the conditions precedent for contribution of three additional RNG plants to the term loan facility.</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holders of Arclight’s Class A ordinary shares representing an aggregate redemption amount of $274,186,522 exercised their right to redeem their shares for cash. In addition, for the six months ended June 30, 2022, we received revenue of approximately $102.3 million, which is lower than the revenue level we expected to receive toward the full year numbers previously disclosed as part of the unaudited prospective financial information our management prepared and provided to the ArcLight Board in connection with the evaluation of the Business Combination. This has resulted primarily from lower than anticipated levels of gas collection at certain operating facilities, delays in commencement of construction of Fueling Stations and delays in completion of construction of certain RNG facilities, which are now in commercial operation. While the second half of 2022 has shown improvement to date and we expect revenue to be higher than that in the first half of the year, we currently anticipate that our full year revenue for 2022 will be lower than previously anticipated.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Notwithstanding these developments, we continue to expect that our currently available cash on hand, together with expected cash flows from operations, available credit under existing debt facilities, as well as other sources of debt or equity financing expected to be accessible, will be sufficient to meet our existing commitments and anticipated capital expenditures associated with our growth plan through June 30, 2023.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future growth, we may seek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resale, or expected or potential resale, of the shares of Class A common stock registered hereby could adversely affect the market price for our Class A common stock. Furthermore, we expect that, because there is a large number of shares being registered, the Selling Holders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These factors could have a negative impact on the Company’s ability to obtain additional financing.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we had total indebtedness excluding deferred financing costs of $244.1 million in principal amount which primarily consists of $80.1 million under the Senior secured credit facility, $60.8 million under the Convertible note payable, $83.6 million under the OPAL term loan, $174,000 under the Municipality loan and $19.4 million under the Sunoma loan.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make payments under our various debt instruments when due and pursue opportunities for earlier repayment and/or refinancing if and when these opportunities arise.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condensed consolidated financial statements, for more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cash flows for the six months ended June 30, 2022 and 2021, and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(54,298)</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(28,752)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(117,204)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(22,179)</w:t>
            </w:r>
          </w:p>
        </w:tc>
      </w:tr>
      <w:tr>
        <w:trPr>
          <w:trHeight w:val="25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from financing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121,961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28,278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21,453</w:t>
            </w:r>
          </w:p>
        </w:tc>
      </w:tr>
      <w:tr>
        <w:trPr>
          <w:trHeight w:val="221"/>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$9.4 million, a decrease of $26.2 million compared to net cash provided of $16.8 million for the six months ended June 30, 2021. The decrease in cash provided by operating activities was primarily attributable to an increase in net operating losses year over year and negative working capital changes.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2021 was $18.9 million compared to the $2.3 million for the year ended December 31, 2020. The increase in cash provided by operating activities was primarily attributable to an increase in top line revenue growth as well as profitability due to the step acquisition of Beacon, and the sale and pricing increase of environmental credits year over year.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$54.3 million, an increase of $25.5 million compared to the $28.8 million used in investing activities for the six months ended June 30, 2021. This was primarily driven by more payments made for the construction of various RNG generation and dispensing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$117.2 million, compared to the $22.2 million used in investing activities for the year ended December 31, 2020. This was primarily driven by the purchase of property, plant, and equipment for $89.6 million relating to construction of various RNG generation and dispensing facilities, cash paid for 20% equity interest of another RNG facility of $1.6 million, cash acquired from business acquisition of $2.0 million, deconsolidation of VIEs net of cash of $21.2 million, and disbursements for note receivable of $10.5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from financing activities for the six months ended June 30, 2022 was $122.0 million, an increase of $93.7 million compared to the $28.3 million provided from financing activities for the six months ended June 30, 2021. This was primarily driven by issuance of preferred units for total proceeds of $100.0 million, proceeds from the OPAL term loan of $15.0 million, proceeds from the Sunoma loan of $1.0 million, capital contribution from a joint venture of $16.9 million offset by debt repayments of $1.2 million and $6.4 million on the Senior Secured Facility and the OPAL term loan, respectively, and $3.2 million paid as financing costs.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from financing activities for the year ended December 31, 2021 was $125.0 million, compared to the $21.4 million for the year ended December 31, 2020. This was primarily driven by partial divesting of ownership interests in our RNG generating construction projects to NextEra for $21.6 million, issuance of non-controlling interest to Hillman of $16.6 million, contributions from non-controlling interests from NextEra of $7.8 million, contributions from Hillman of $13.4 million, contributions from members of $7.5 million, proceeds from the Opal term loan $75.0 million, and proceeds from the construction loan under the Sunoma loan of $15.7 million which was offset by repayment of the term loan under the Senior secured credit facility of $4.9 million, purchase of non-controlling interests of $5.0 million, financing costs paid to lenders of $3.6 million and distributions to members of $3.7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we have budgeted for $368.0 million in capital expenditures for the next 12 months, of which $269.0 million is committed under existing contracts. These expenditures do not include any expected contributions from our joint venture and non-controlling interest partners and primarily relate to our development of new RNG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plan to fund these expenditures primarily through cash on hand, cash generated from operations, and cash from the Business Combination and PIPE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requirements arising from our contractual obligations as of June 30, 2022. For the avoidance of doubt, this excludes cash requirements associated with new financing arrangements executed after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2025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beyond</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Senior secured facility – term loan</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72,632</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Senior secured facility – working capital facility</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19,431</w:t>
            </w:r>
          </w:p>
        </w:tc>
        <w:tc>
          <w:tcPr>
            <w:tcW w:w="0" w:type="dxa"/>
            <w:vAlign w:val="bottom"/>
          </w:tcPr>
          <w:p>
            <w:pPr>
              <w:spacing w:after="0"/>
              <w:rPr>
                <w:sz w:val="1"/>
                <w:szCs w:val="1"/>
                <w:color w:val="auto"/>
              </w:rPr>
            </w:pPr>
          </w:p>
        </w:tc>
      </w:tr>
      <w:tr>
        <w:trPr>
          <w:trHeight w:val="256"/>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Municipality loan</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Convertible note payable</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OPAL term loan</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38,664</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35,226</w:t>
            </w:r>
          </w:p>
        </w:tc>
        <w:tc>
          <w:tcPr>
            <w:tcW w:w="22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83,556</w:t>
            </w:r>
          </w:p>
        </w:tc>
        <w:tc>
          <w:tcPr>
            <w:tcW w:w="0" w:type="dxa"/>
            <w:vAlign w:val="bottom"/>
          </w:tcPr>
          <w:p>
            <w:pPr>
              <w:spacing w:after="0"/>
              <w:rPr>
                <w:sz w:val="1"/>
                <w:szCs w:val="1"/>
                <w:color w:val="auto"/>
              </w:rPr>
            </w:pPr>
          </w:p>
        </w:tc>
      </w:tr>
      <w:tr>
        <w:trPr>
          <w:trHeight w:val="270"/>
        </w:trPr>
        <w:tc>
          <w:tcPr>
            <w:tcW w:w="59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Lease commitments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246,778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is due to be fully repaid in December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payments represent the quarterly amortization payments due to be paid per the terms of the Municipality loan.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left="340" w:hanging="332"/>
        <w:spacing w:after="0" w:line="261"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convertible note payable as of June 30, 2022 which includes $5.4 million of payment- in-kind interest. In connection with our step acquisition of Beacon in May 2021, we issued Ares a convertible note recorded at a fair value of $55.4 million. The original principal balance of the note was $50.0 million with interest accrued at 8.0% per annum and is convertible into our equity pursuant to qualified events. On July 21, 2022, 50% of the Convertible note payable was converted to equity upon consummation of the Business Combination.</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payments represent the quarterly amortization payments due to be paid per the terms of the OPAL term loan.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commitments represent payments due on our office and vehicle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we do not have any off-balance sheet arrangements, as defined in Item 303 of Regulation S-K, that are reasonably likely to have a current or future material effect on our financial condition,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preparation of financial statements in conformity with generally accepted accounting principles in the United States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b w:val="1"/>
          <w:bCs w:val="1"/>
          <w:color w:val="auto"/>
        </w:rPr>
        <w:t>”) requires management to make estimates and assumptions that affect the reported amounts and disclosures in our financial statements.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significant estimates and assumptions of the Company are residual value of the useful lives of our property, plant and equipment, the fair value of stock-based compensation, the estimated losses on our trade receivables, the fair value of Convertible note payable (as defined below), Asset retirement obligations, the impairment assessment of goodwill and the fair value of derivatives. Actual results could differ from those estimates.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critical accounting policies discussed below are a subset of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The policies outlined in this section involve a significant level of estimation uncertainty and are reasonably likely to have a material impact on our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Gas — Fuel Purchase Agreements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Interstate Gas Pipeline Delivery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 and Maintenance</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color w:val="auto"/>
        </w:rPr>
        <w:t>We have operating and maintenance (“</w:t>
      </w:r>
      <w:r>
        <w:rPr>
          <w:rFonts w:ascii="Times New Roman" w:cs="Times New Roman" w:eastAsia="Times New Roman" w:hAnsi="Times New Roman"/>
          <w:sz w:val="18"/>
          <w:szCs w:val="18"/>
          <w:b w:val="1"/>
          <w:bCs w:val="1"/>
          <w:i w:val="1"/>
          <w:iCs w:val="1"/>
          <w:color w:val="auto"/>
        </w:rPr>
        <w:t>O&amp;M</w:t>
      </w:r>
      <w:r>
        <w:rPr>
          <w:rFonts w:ascii="Times New Roman" w:cs="Times New Roman" w:eastAsia="Times New Roman" w:hAnsi="Times New Roman"/>
          <w:sz w:val="18"/>
          <w:szCs w:val="18"/>
          <w:color w:val="auto"/>
        </w:rPr>
        <w:t>”) agreements in which we are contracted to operate, maintain, and repair landfill site gas collection systems. Revenue is based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Construction Type Contracts — Third Party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Long-Lived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our assessment for the six months ended June 30, 2022, there is no impairment recorded on our Plant, Property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19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 for details on our assets and liabilities regularly recorded at fair value and the respective placements in the fair value hierarchy.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instituted a safety committee that oversees our compliance with federal, state, and local government mandates, and ensures that the Company adheres to Centers for Disease Control (“</w:t>
      </w:r>
      <w:r>
        <w:rPr>
          <w:rFonts w:ascii="Times New Roman" w:cs="Times New Roman" w:eastAsia="Times New Roman" w:hAnsi="Times New Roman"/>
          <w:sz w:val="18"/>
          <w:szCs w:val="18"/>
          <w:b w:val="1"/>
          <w:bCs w:val="1"/>
          <w:i w:val="1"/>
          <w:iCs w:val="1"/>
          <w:color w:val="auto"/>
        </w:rPr>
        <w:t>CDC</w:t>
      </w:r>
      <w:r>
        <w:rPr>
          <w:rFonts w:ascii="Times New Roman" w:cs="Times New Roman" w:eastAsia="Times New Roman" w:hAnsi="Times New Roman"/>
          <w:sz w:val="18"/>
          <w:szCs w:val="18"/>
          <w:color w:val="auto"/>
        </w:rPr>
        <w:t>”)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COVID-19 pandemic has had a relatively minimal economic impact on our results of operations. In May 2020, we received a $1.8 million PPP loan. At the time we applied for the loan there was considerable uncertainty as to the impact of the pandemic to our operations and the U.S. economy in general. However, as our operations have been designated “essential critical infrastructure work” in the energy sector by the U.S. Department of Homeland Security, we have been able to fully continue our operations. We have not experienced either a decline in our customer base or employee layoffs. In November 2020, the full amount of the PPP loan was forgiven. Aside from the PPP loan, any other impacts to our financial condition have been minimal.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duration and future economic severity of the COVID-19 remains uncertain, and our results of operations and financial condition could potentially face material adverse effect(s) in the future due to COVID-19. For additional information regarding the possible impact of the COVID-19 pandemic on our business,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energy markets have been historically very volatile and we expect that the Renewable Power prices to fluctuate in a wide range. In an effort to reduce volatility in our revenues earned from sale of Renewable Power, we entered into certain commodity swap arrangements - the International Swaps and Derivatives Association Agreement (“</w:t>
      </w:r>
      <w:r>
        <w:rPr>
          <w:rFonts w:ascii="Times New Roman" w:cs="Times New Roman" w:eastAsia="Times New Roman" w:hAnsi="Times New Roman"/>
          <w:sz w:val="18"/>
          <w:szCs w:val="18"/>
          <w:b w:val="1"/>
          <w:bCs w:val="1"/>
          <w:i w:val="1"/>
          <w:iCs w:val="1"/>
          <w:color w:val="auto"/>
        </w:rPr>
        <w:t>ISDA</w:t>
      </w:r>
      <w:r>
        <w:rPr>
          <w:rFonts w:ascii="Times New Roman" w:cs="Times New Roman" w:eastAsia="Times New Roman" w:hAnsi="Times New Roman"/>
          <w:sz w:val="18"/>
          <w:szCs w:val="18"/>
          <w:color w:val="auto"/>
        </w:rPr>
        <w:t>”) entered into in 2019, and an amendment that converted a PPA into a commodity swap contract entered into 2018. In these arrangements, we deliver MWh capacity and receive a variable price based on market conditions. We convert this variable fee to a fixed fee by paying or receiving funds from the counterparty to the commodity swap arrangement based on the difference between the contract fixed price and the market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Quantity per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1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Period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November 1, 2021</w:t>
            </w: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21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January 1, 2022</w:t>
            </w:r>
          </w:p>
        </w:tc>
        <w:tc>
          <w:tcPr>
            <w:tcW w:w="2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prepared a sensitivity analysis to estimate our exposure to market risk with respect to changes in pricing of MWh, Based on our analysis, which may differ from actual results, a hypothetical 10% increase or decrease in the pricing of MWh in this market would not have a material adverse impact on our financial condition, or results of operations for June 30, 2022 and December 31, 2021. For more information about our commodity swap agreements, see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Attribute Pricing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prices for Environmental Attributes associated with our RNG and Renewable Power vary based on regulatory mandates and commercial interest in green energy products. We generally sell Environmental Attributes under a mix of short-term and sales arrangements in which pricing is tied to the market rate for these attributes at the time of delivery. To manage this market risk, we negotiate long-term biogas feedstock arrangements in which payments are based on the market price of Environmental Attributes and/or natural gas and electricity commodity prices. Reductions in the market prices of Environmental Attributes may have a material adverse effect on our revenues, but also generally reduce our expenses for biogas feedstock.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prepared a sensitivity analysis to estimate our exposure to market risk with respect to RIN prices. Our analysis, which may differ from actual results, was based on a 2022 estimated D3 RIN Index price of approximately $2.73 and our actual 2021 RINs sold. The estimated annual impact of a hypothetical 10% decrease in the average realized price per RIN would have a negative effect on our operating profit of approximately $7.3 million for the six months ended June 30, 2022 and $4.7 million for December 31, 2021.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maintain our liquidity we utilize an existing term loan facility, an existing working capital facility, and an existing line of credit, which bear a variable interest rate based on the LIBOR Margin or Base Rate Margin (in each case, as those terms are defined in the relevant credit agreement). We use an interest rate swap to set the variable interest rates under the term loan facility at a fixed interest rate to manage our interest rate risk.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$80.1 million aggregate outstanding under the Senior secured facility. Our weighted average interest rate on variable debt was approximately 4.25%.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we had $81.4 million aggregate outstanding under the Senior secured facility. Our weighted average interest rate on variable debt was approximately 4.8%. We have prepared a sensitivity analysis to estimate our exposure to market risk with respect to changes in interest rates. Based on our analysis, which may differ from actual results, a hypothetical increase in our effective borrowing rate of 10% would not have a material effect on our annual interest expenses and consolidated financial statements.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certain financial and derivative instruments that subject us to credit risk. These consist of our interest rate swaps and Environmental Attribute forward sales. We are exposed to credit losses in the event of non-performance by the counterparties to our financial and derivative instruments. Risks surrounding counterparty performance and credit could ultimately impact the amount and timing of expected cash flows. We seek to mitigate counterparty risk by having a diversified portfolio of counterparties and the evaluation and monitoring of the creditworthiness of counterparties. Although we may be exposed to losses in the event of nonperformance by counterparties, we do not expect such losses, if any, to be significant.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Capture and Conversion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design, develop, construct, own, maintain, and operate Biogas Conversion Projects using proven technologies to produce RNG for sale as a vehicle fuel for transportation use and to generate Renewable Power. We are an established biogas-to-energy producer in the United States, having participated in the landfill gas to energy industry for over 20 years. We have established our operating portfolio through self-development, partnerships, and acquisitions.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Biogas is comprised of non-fossil waste gas, with high concentrations of methane, which is the primary component of RNG and the source for combustion utilized by Renewable Power plants to generate Renewable Power. The biogas is generated by microbes as they break down organic matter in the absence of oxygen. Our principal sources of biogas are (i) LFG, which is produced by the decomposition of organic waste at landfills and (ii) dairy manure, which is processed through anaerobic digesters to produce the biogas.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primarily as vehicle fuel for heavy and medium-duty transportation fleets, and generate associated Environmental Attributes when the RNG is dispensed at Fueling Stations. These Environmental Attributes are then monetized via sale to obligated parties as defined under the RFS promulgated by the US federal government and Low Carbon Fuel Standard Programs established by several states, including California. We also sell Renewable Power to public utilities through long-term power purchase agreements.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Dispensing and Monetization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a leading provider of RNG marketing and dispensing in the alternative vehicle fuels market for heavy and medium-duty trucking fleets throughout the United States. In this sector, we focus on dispensing RNG (procured from our own Biogas Conversion Projects or from third parties) through Fueling Stations that serve fleets that use natural gas instead of diesel fuel. We have participated in the alternative vehicle fuels industry for approximately twelve years and have established an expanding network of Fueling Stations for dispensing RNG.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 w:cs="Times New Roman" w:eastAsia="Times New Roman" w:hAnsi="Times New Roman"/>
          <w:sz w:val="18"/>
          <w:szCs w:val="18"/>
          <w:b w:val="1"/>
          <w:bCs w:val="1"/>
          <w:i w:val="1"/>
          <w:iCs w:val="1"/>
          <w:color w:val="auto"/>
        </w:rPr>
        <w:t>Shortfall Amount</w:t>
      </w:r>
      <w:r>
        <w:rPr>
          <w:rFonts w:ascii="Times New Roman" w:cs="Times New Roman" w:eastAsia="Times New Roman" w:hAnsi="Times New Roman"/>
          <w:sz w:val="18"/>
          <w:szCs w:val="18"/>
          <w:color w:val="auto"/>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$15.4 million based on current market prices for such Environmental Attributes.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we will also be able to provide hydrogen fuel to vehicle fleets, by constructing and servicing hydrogen fueling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Overview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revenues are driven principally from the sale of Environmental Attributes that are generated from dispensing RNG as transportation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Environmental Attributes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our Environmental Attributes revenue stream is primarily comprised of RINs, LCFS credits, and RECs.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8"/>
          <w:szCs w:val="18"/>
          <w:i w:val="1"/>
          <w:iCs w:val="1"/>
          <w:color w:val="auto"/>
        </w:rPr>
        <w:t>—Biogas RNG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Power Purchase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Renewable Power projects generally have associated long-term Power Purchase Agreements (“</w:t>
      </w:r>
      <w:r>
        <w:rPr>
          <w:rFonts w:ascii="Times New Roman" w:cs="Times New Roman" w:eastAsia="Times New Roman" w:hAnsi="Times New Roman"/>
          <w:sz w:val="18"/>
          <w:szCs w:val="18"/>
          <w:b w:val="1"/>
          <w:bCs w:val="1"/>
          <w:i w:val="1"/>
          <w:iCs w:val="1"/>
          <w:color w:val="auto"/>
        </w:rPr>
        <w:t>PPAs</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creditworthy utility off-takers or municipalities. Nearly all of our Renewable Power off-takers have investment grade credit ratings with either S&amp;P or Moody’s. As discussed above, we also generate Renewable Energy Credits (“</w:t>
      </w:r>
      <w:r>
        <w:rPr>
          <w:rFonts w:ascii="Times New Roman" w:cs="Times New Roman" w:eastAsia="Times New Roman" w:hAnsi="Times New Roman"/>
          <w:sz w:val="18"/>
          <w:szCs w:val="18"/>
          <w:b w:val="1"/>
          <w:bCs w:val="1"/>
          <w:i w:val="1"/>
          <w:iCs w:val="1"/>
          <w:color w:val="auto"/>
        </w:rPr>
        <w:t>RECs</w:t>
      </w:r>
      <w:r>
        <w:rPr>
          <w:rFonts w:ascii="Times New Roman" w:cs="Times New Roman" w:eastAsia="Times New Roman" w:hAnsi="Times New Roman"/>
          <w:sz w:val="18"/>
          <w:szCs w:val="18"/>
          <w:color w:val="auto"/>
        </w:rPr>
        <w:t>”) from Renewable Power projects through the conversion of biogas to Renewable Power.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Fueling Station Construction and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significant experience in the engineering, design, construction and operation of Fueling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Stations that dispense RNG. Since 2009, TruStar Energy, one of our subsidiaries, together with its predecessors, has served as the general 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its customers obtain federal, state and local tax credits, grants and incentives.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Conversion Projects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Typically, a Biogas Conversion Project includes two phases: (i) biogas collection and (ii) processing and purifying biogas.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is able to leverage existing collection infrastructure in biogas plant design.</w:t>
      </w:r>
    </w:p>
    <w:p>
      <w:pPr>
        <w:spacing w:after="0" w:line="187"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and which can be immediately used or deployed into the grid. To further upgrade the gas to pipeline quality RNG, the partially treated biogas then goes through separation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from the methane molecules. Further treatment of the biogas is often required to remove residual nitrogen and/or oxygen to meet pipeline specifications.</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biogas capture and conversion project is not within close proximity to a pipeline, the RNG is transported by road using tube trailers to a gas injection point.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RNG Market Opportunity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Landfill Gas 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spacing w:after="0" w:line="183"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Using proven 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 of Livestock 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Livestock are the top agricultural source of GHG worldwide, according to the EPA. Livestock waste, particularly from dairies, produces biomethane which can be converted to RNG through the use of an ADG.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view dairy farms as a significant opportunity for us to expand our RNG business. Processing biogas from dairy farms requires similar expertise and capabilities as processing biogas from landfills.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Highly Fragmented Market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LFG market is heavily fragmented, which we believe represents an opportunity for companies like us to find project opportunities. According to the EPA, the top ten players account for approximately 54% of installed LFG capacity as of September 2021, and over 90% of developers own five or fewer projects. This market dynamic creates the opportunity for consolidation by well capitalized, experienced market participants such as OPAL.</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LFG has accounted for most of the growth in Biogas Conversion Projects to date, we believe additional economically viable LFG project opportunities exist. According to the EPA LMOP project database, as of September 2021, there were 548 LFG projects in operation in the United States, including 383 operating LFG-to-electricity projects that may be converted to produce RNG, 14 construction projects, and 53 planned RNG and Renewable Power projects, as well as 483 additional candidate landfills. Based on EPA data, these 483 candidate landfills have the potential to collect a combined 346.0 million standard cubic feet of LFG per day. Based on our industry experience, technical knowledge and analysis, we believe many of these sites are potentially economically viable for RNG project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carbon dioxide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incentives for these projects. Given our understanding of biogas processing and its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Well-Established Regulatory Framework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18"/>
          <w:szCs w:val="18"/>
          <w:b w:val="1"/>
          <w:bCs w:val="1"/>
          <w:i w:val="1"/>
          <w:iCs w:val="1"/>
          <w:color w:val="auto"/>
        </w:rPr>
        <w:t>D3</w:t>
      </w:r>
      <w:r>
        <w:rPr>
          <w:rFonts w:ascii="Times New Roman" w:cs="Times New Roman" w:eastAsia="Times New Roman" w:hAnsi="Times New Roman"/>
          <w:sz w:val="18"/>
          <w:szCs w:val="18"/>
          <w:color w:val="auto"/>
        </w:rPr>
        <w:t>”) RIN, which is currently the highest priced RIN and commands a premium compared to non-cellulosic renewable fuels such as ethanol and renewable diesel.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LCFS programs are state-level market-based programs designed to decrease carbon intensity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Benefits Incentivize Switching to RNG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Projects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Projects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is a table setting forth the RNG projects in our portfolio as of July 31, 2022: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70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Design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0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70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(MMBtus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Source of</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OPAL</w:t>
            </w:r>
          </w:p>
        </w:tc>
      </w:tr>
      <w:tr>
        <w:trPr>
          <w:trHeight w:val="277"/>
        </w:trPr>
        <w:tc>
          <w:tcPr>
            <w:tcW w:w="7080" w:type="dxa"/>
            <w:vAlign w:val="bottom"/>
          </w:tcPr>
          <w:p>
            <w:pPr>
              <w:spacing w:after="0"/>
              <w:rPr>
                <w:sz w:val="24"/>
                <w:szCs w:val="24"/>
                <w:color w:val="auto"/>
              </w:rPr>
            </w:pPr>
          </w:p>
        </w:tc>
        <w:tc>
          <w:tcPr>
            <w:tcW w:w="132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1"/>
              </w:rPr>
              <w:t>Per Year)</w:t>
            </w:r>
            <w:r>
              <w:rPr>
                <w:rFonts w:ascii="Times New Roman" w:cs="Times New Roman" w:eastAsia="Times New Roman" w:hAnsi="Times New Roman"/>
                <w:sz w:val="29"/>
                <w:szCs w:val="29"/>
                <w:b w:val="1"/>
                <w:bCs w:val="1"/>
                <w:color w:val="auto"/>
                <w:w w:val="91"/>
                <w:vertAlign w:val="superscript"/>
              </w:rPr>
              <w:t>(1)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Biogas</w:t>
            </w:r>
          </w:p>
        </w:tc>
        <w:tc>
          <w:tcPr>
            <w:tcW w:w="1500" w:type="dxa"/>
            <w:vAlign w:val="bottom"/>
            <w:gridSpan w:val="2"/>
          </w:tcPr>
          <w:p>
            <w:pPr>
              <w:jc w:val="right"/>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8"/>
              </w:rPr>
              <w:t>Ownership %</w:t>
            </w:r>
            <w:r>
              <w:rPr>
                <w:rFonts w:ascii="Times New Roman" w:cs="Times New Roman" w:eastAsia="Times New Roman" w:hAnsi="Times New Roman"/>
                <w:sz w:val="29"/>
                <w:szCs w:val="29"/>
                <w:b w:val="1"/>
                <w:bCs w:val="1"/>
                <w:color w:val="auto"/>
                <w:w w:val="98"/>
                <w:vertAlign w:val="superscript"/>
              </w:rPr>
              <w:t>(2)</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Greentree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Imperial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New River</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7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Noble Road</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50%/62.5%</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Pine Bend</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50%/62.5%</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Sunoma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4,175,000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BioTown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Hilltop</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Michigan 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7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North Carolina 2</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1,100,000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Prince William</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LFG</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Vander Schaaf</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Dairy</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5,775,000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ind w:left="340" w:right="2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River, Noble Road and Pine Bend have just recently begun operations and are in a ramp-up phase.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Carolina 2 has secured gas rights and site access and is anticipated to begin construction in the second quarter of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Renewable Power Projects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0"/>
        </w:trPr>
        <w:tc>
          <w:tcPr>
            <w:tcW w:w="688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Nameplate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5"/>
        </w:trPr>
        <w:tc>
          <w:tcPr>
            <w:tcW w:w="6880" w:type="dxa"/>
            <w:vAlign w:val="bottom"/>
          </w:tcPr>
          <w:p>
            <w:pPr>
              <w:spacing w:after="0"/>
              <w:rPr>
                <w:sz w:val="19"/>
                <w:szCs w:val="19"/>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Stage</w:t>
            </w:r>
          </w:p>
        </w:tc>
      </w:tr>
      <w:tr>
        <w:trPr>
          <w:trHeight w:val="216"/>
        </w:trPr>
        <w:tc>
          <w:tcPr>
            <w:tcW w:w="688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(MW Per</w:t>
            </w:r>
          </w:p>
        </w:tc>
        <w:tc>
          <w:tcPr>
            <w:tcW w:w="1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RNG</w:t>
            </w:r>
          </w:p>
        </w:tc>
      </w:tr>
      <w:tr>
        <w:trPr>
          <w:trHeight w:val="277"/>
        </w:trPr>
        <w:tc>
          <w:tcPr>
            <w:tcW w:w="6880" w:type="dxa"/>
            <w:vAlign w:val="bottom"/>
          </w:tcPr>
          <w:p>
            <w:pPr>
              <w:spacing w:after="0"/>
              <w:rPr>
                <w:sz w:val="24"/>
                <w:szCs w:val="24"/>
                <w:color w:val="auto"/>
              </w:rPr>
            </w:pPr>
          </w:p>
        </w:tc>
        <w:tc>
          <w:tcPr>
            <w:tcW w:w="1160" w:type="dxa"/>
            <w:vAlign w:val="bottom"/>
            <w:gridSpan w:val="2"/>
          </w:tcPr>
          <w:p>
            <w:pPr>
              <w:jc w:val="center"/>
              <w:ind w:right="40"/>
              <w:spacing w:after="0" w:line="270" w:lineRule="exact"/>
              <w:rPr>
                <w:sz w:val="20"/>
                <w:szCs w:val="20"/>
                <w:color w:val="auto"/>
              </w:rPr>
            </w:pPr>
            <w:r>
              <w:rPr>
                <w:rFonts w:ascii="Times New Roman" w:cs="Times New Roman" w:eastAsia="Times New Roman" w:hAnsi="Times New Roman"/>
                <w:sz w:val="18"/>
                <w:szCs w:val="18"/>
                <w:b w:val="1"/>
                <w:bCs w:val="1"/>
                <w:color w:val="auto"/>
                <w:w w:val="91"/>
              </w:rPr>
              <w:t>Hour)</w:t>
            </w:r>
            <w:r>
              <w:rPr>
                <w:rFonts w:ascii="Times New Roman" w:cs="Times New Roman" w:eastAsia="Times New Roman" w:hAnsi="Times New Roman"/>
                <w:sz w:val="29"/>
                <w:szCs w:val="29"/>
                <w:b w:val="1"/>
                <w:bCs w:val="1"/>
                <w:color w:val="auto"/>
                <w:w w:val="91"/>
                <w:vertAlign w:val="superscript"/>
              </w:rPr>
              <w:t>(1)</w:t>
            </w:r>
          </w:p>
        </w:tc>
        <w:tc>
          <w:tcPr>
            <w:tcW w:w="18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Candidate?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California 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 2</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Michigan 1E</w:t>
            </w:r>
            <w:r>
              <w:rPr>
                <w:rFonts w:ascii="Times New Roman" w:cs="Times New Roman" w:eastAsia="Times New Roman" w:hAnsi="Times New Roman"/>
                <w:sz w:val="29"/>
                <w:szCs w:val="29"/>
                <w:color w:val="auto"/>
                <w:vertAlign w:val="superscript"/>
              </w:rPr>
              <w:t>(2)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tcPr>
          <w:p>
            <w:pPr>
              <w:spacing w:after="0"/>
              <w:rPr>
                <w:sz w:val="22"/>
                <w:szCs w:val="2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 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57"/>
        </w:trPr>
        <w:tc>
          <w:tcPr>
            <w:tcW w:w="6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Prince William 1E</w:t>
            </w:r>
            <w:r>
              <w:rPr>
                <w:rFonts w:ascii="Times New Roman" w:cs="Times New Roman" w:eastAsia="Times New Roman" w:hAnsi="Times New Roman"/>
                <w:sz w:val="29"/>
                <w:szCs w:val="29"/>
                <w:color w:val="auto"/>
                <w:vertAlign w:val="superscript"/>
              </w:rPr>
              <w:t>(3)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56"/>
        </w:trPr>
        <w:tc>
          <w:tcPr>
            <w:tcW w:w="6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Prince William 2E</w:t>
            </w:r>
            <w:r>
              <w:rPr>
                <w:rFonts w:ascii="Times New Roman" w:cs="Times New Roman" w:eastAsia="Times New Roman" w:hAnsi="Times New Roman"/>
                <w:sz w:val="29"/>
                <w:szCs w:val="29"/>
                <w:color w:val="auto"/>
                <w:vertAlign w:val="superscript"/>
              </w:rPr>
              <w:t>(4)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2"/>
                <w:szCs w:val="22"/>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Construction</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2"/>
              </w:rPr>
              <w:t>Yes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Development</w:t>
            </w:r>
          </w:p>
        </w:tc>
      </w:tr>
      <w:tr>
        <w:trPr>
          <w:trHeight w:val="23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123.77</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“Michigan 1” under “RNG Projects In Construction.” It is currently contemplated that the Michigan 1E renewable power plant will continue limited operations on a stand-by, emergency basis through March of 2031.</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 It is currently contemplated that the Prince William 1E renewable power plant will continue operations through approximately December 2022</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RNG Projects Table above, reference “Prince William” under “RNG Projects In Construction.” It is currently contemplated that the Prince William 2E renewable power plant will continue operations through approximately December 2022</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purposes of determining whether a Renewable Power project should be considered an RNG conversion candidate, we use various criteria, including (i) the quantity and quality of landfill gas, (ii) the proximity to pipeline interconnect and (iii) the ability to enter into contracts including site leases and gas rights agreements with host sites. These factors, as represented in the table above, reflect our current views and are subject to change.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RNG Projects in Development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projects listed in the tables above, we are actively performing development work on seven potential projects (“</w:t>
      </w:r>
      <w:r>
        <w:rPr>
          <w:rFonts w:ascii="Times New Roman" w:cs="Times New Roman" w:eastAsia="Times New Roman" w:hAnsi="Times New Roman"/>
          <w:sz w:val="18"/>
          <w:szCs w:val="18"/>
          <w:b w:val="1"/>
          <w:bCs w:val="1"/>
          <w:i w:val="1"/>
          <w:iCs w:val="1"/>
          <w:color w:val="auto"/>
        </w:rPr>
        <w:t>RNG Projects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Development</w:t>
      </w:r>
      <w:r>
        <w:rPr>
          <w:rFonts w:ascii="Times New Roman" w:cs="Times New Roman" w:eastAsia="Times New Roman" w:hAnsi="Times New Roman"/>
          <w:sz w:val="18"/>
          <w:szCs w:val="18"/>
          <w:color w:val="auto"/>
        </w:rPr>
        <w:t>”). We have identified key milestones (“</w:t>
      </w:r>
      <w:r>
        <w:rPr>
          <w:rFonts w:ascii="Times New Roman" w:cs="Times New Roman" w:eastAsia="Times New Roman" w:hAnsi="Times New Roman"/>
          <w:sz w:val="18"/>
          <w:szCs w:val="18"/>
          <w:b w:val="1"/>
          <w:bCs w:val="1"/>
          <w:i w:val="1"/>
          <w:iCs w:val="1"/>
          <w:color w:val="auto"/>
        </w:rPr>
        <w:t>Key Milestones</w:t>
      </w:r>
      <w:r>
        <w:rPr>
          <w:rFonts w:ascii="Times New Roman" w:cs="Times New Roman" w:eastAsia="Times New Roman" w:hAnsi="Times New Roman"/>
          <w:sz w:val="18"/>
          <w:szCs w:val="18"/>
          <w:color w:val="auto"/>
        </w:rPr>
        <w:t>”) that these RNG Projects in Development must achieve prior to moving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These RNG Projects in Development have achieved one or more of these Key Milestones, which include: (i) controlling the right to conduct due diligence on the project, (ii) completing the analysis of the biogas in terms of quantity and quality, (iii) securing control over the rights to the biogas and site for production of RNG, (iv) establishing the design basis for the RNG production facility, (v) negotiating engineering, procurement and construction contracts, (vi) developing an environmental regulatory compliance plan, and (vii) securing interconnection agreements with pipeline and electric utilities.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 the passage of time, the list of RNG Projects in Development is likely to be somewhat dynamic and will necessarily evolve. Not all RNG Projects in Development will achieve the Key Milestones and move into construction. Some RNG Projects in Development may need to be scaled back in order to achieve the Key Milestones. On the other hand, however, we are continually pursuing opportunities for other projects that are candidates to become RNG Projects in Development.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present, we believe the best use of RNG is as a replacement for fossil-based fuel in the heavy and medium-duty transportation sector. During 2021, we dispensed 19.9 million GGEs of RNG to the transportation market, generating corresponding Environmental Attributes, utilizing its current network of 75 Fueling Stations in 18 states in the United States, including more than 20 stations in California.</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coming years, we believe it will also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Vertical Integration of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it to offer better terms to its increasing number of transportation customers. The increasing adoption of RNG as a fuel for transportation use amongst its customers subsequently gives us more opportunities to secure additional gas rights for Biogas Conversion Projects.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vertical integration also attracts low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Management and Project Expertise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experience and existing project portfolio has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serves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again is fairly consistent from site to site and they have both been widely used in the past several decades. Additionally, we also work with key vendors on initiatives to develop and test upgrades to existing technologies.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 network of experienced and creditworthy EPC contractors to perform design, development, procurement and construction services under supervision by us. Typically, our current contracts for EPC services contain fixed price, date certain provisions and liquidated damages provisions, which greatly reduce the risks typically associated with construction projects. Additionally, we also work with key vendors on initiatives to develop and test upgrades to existing technologies.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Access to Development Opportunities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actively seek to extend the term of our contracts at project sites and views our positive relationships with the owners and managers of its host landfills and dairy farms as a contributing factor to our ability to extend contract terms as they come due.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Project Portfolio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is actively sought out for new project and acquisition opportunities. Additionally, our size and financial discipline generally affords it the ability to achieve priority service and pricing from contractors, service providers, and equipment suppliers.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EHS and Compliance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Capture and Conversion Business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aim to maintain and grow our position as a leading producer and dispenser of RNG in the United States. We support this objective through a multi-pronged strategy of:</w:t>
      </w:r>
    </w:p>
    <w:p>
      <w:pPr>
        <w:spacing w:after="0" w:line="16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methane emissions and expanding the use of renewable fuels to displace fossil-based fuels;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industry position as a full-service partner for development opportunities, including through strategic transactions;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capabilities to new feedstock sources and technologies.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Promoting the Reduction of Methane Emissions and Expanding the Use of Renewable Fuels to Displace Fossil-Based Fuels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strive to optimize the economics of capturing biogas from our host landfills and dairy farms for conversion to RNG by balancing the capital and operating costs with the current and future quality and quantity of biogas.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methane emission reduction, the increased production and use of RNG has several other environmental benefits. Anaerobically digested livestock waste produces significantly less odor than conventional storage and land application systems. The odor of stored livestock waste mainly comes from volatile organic acids and hydrogen sulfide, which has a sulphury smell. In an anaerobic digester, volatile organic compounds are reduced to methane and carbon dioxide, which are odorless gases. The volatized fraction of hydrogen sulfide is captured with the collected ADG and destroyed. Anaerobic digestion provides several water quality and land conservation benefits as well. Digesters, particularly heated digesters, can destroy more than 90% of disease-causing bacteria that might otherwise enter surface waters and pose a risk to human and animal health. Digesters also reduce biochemical oxygen demand (“</w:t>
      </w:r>
      <w:r>
        <w:rPr>
          <w:rFonts w:ascii="Times New Roman" w:cs="Times New Roman" w:eastAsia="Times New Roman" w:hAnsi="Times New Roman"/>
          <w:sz w:val="18"/>
          <w:szCs w:val="18"/>
          <w:b w:val="1"/>
          <w:bCs w:val="1"/>
          <w:i w:val="1"/>
          <w:iCs w:val="1"/>
          <w:color w:val="auto"/>
        </w:rPr>
        <w:t>BOD</w:t>
      </w:r>
      <w:r>
        <w:rPr>
          <w:rFonts w:ascii="Times New Roman" w:cs="Times New Roman" w:eastAsia="Times New Roman" w:hAnsi="Times New Roman"/>
          <w:sz w:val="18"/>
          <w:szCs w:val="18"/>
          <w:color w:val="auto"/>
        </w:rPr>
        <w:t>”). BOD is one measure of the potential for organic wastes to reduce dissolved oxygen in natural waters. Because fish and other aquatic organisms need minimum levels of dissolved oxygen for survival, farm practices that reduce BOD protect the health of aquatic ecosystems. In addition to protecting local water resources, implementing anaerobic digesters on livestock facilities improves soil health. Adding digestate to soil increases the organic matter content, reduces the need for chemical fertilizers, improves plant growth and alleviates soil compaction. Further, digestion converts nutrients in manure to a more accessible form for plants to use. The risks of water and soil contamination from flooding of open lagoons are also mitigated by digesters.</w:t>
      </w:r>
    </w:p>
    <w:p>
      <w:pPr>
        <w:spacing w:after="0" w:line="1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leading producer of RNG, we believe it is imperative to its continued growth and success that we remain a strong advocate for the sustainable development, deployment and utilization of RNG to reduce dependence on fossil fuels while increasing domestic energy production.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of our team members have been involved in the biogas conversion industry for over 20 years. We are an active participant in several industry trade organizations. Our participation in these groups allows us to align with industry colleagues to better understand the challenges facing the industry and to collaborate with them to develop creative solutions to such problems.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an active participant in industry trade organizations, we regularly participate in conferences and regulatory initiatives, including lobbying, to address key issues and promote the RNG industry. Collaborating with other industry teams provides us with a holistic view of the RNG industry, which aides us in identifying emerging trends and opportunities. Our participation allows us to align with industry colleagues to better understand the challenges facing the industry and to collaborate with them to develop creative solutions to such problems. We are focused on maintaining and nurturing our relationships with pipeline off-takers and seeks to ensure that such relationships are a priority, including by maintaining continuous communication, enforcing stringent real-time monitoring of our product quality, and providing materials to assist with their corporate sustainability communications.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Expanding Our Industry Position as a Full-Service Partner for Development Opportunities, Including Through Strategic Transactions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Throughout its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By vertically integrating across RNG services, we are able to reduce development and operations costs, optimize efficiencies and improve operations. Our full suite of capabilities allows it to serve as a multi-project partner for certain project hosts across multiple transactions, including through strategic transactions. To that end, we actively identify and evaluates opportunities to acquire entities that will further our vertically-integrated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u w:val="single" w:color="auto"/>
          <w:color w:val="auto"/>
        </w:rPr>
        <w:t>Expanding Our Capabilities to New Feedstock Sources and Technologies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the market has not yet unlocked the full potential of RNG and Renewable Power. However, as biogas processing technology continues to improve and the required energy intensity of the RNG and Renewable Power production process is reduced, we expect that we will be able to enter new markets for our products, such as providing fuel for the production of renewable energy sources. With our experience and industry expertise, we believe it is well-positioned to take advantage of opportunities to meet the clean energy needs of other industries looking to use renewable energy in their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actively reviewing opportunities beyond our core LFG and dairy RNG business. We intend to diversify our project portfolio beyond landfill biogas through expansion into additional methane producing assets, while opportunistically adding third-party developed technology capabilities to boost financial performance and our overall cost competitiveness. The drive toward voluntary and most likely regulatory-required organic waste diversion from landfills is of particular interest as we leverages our current experience base. We believe this trend will provide long-term growth opportunities.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Dispensing and Monetization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aim to maintain and increase its position as a leading provider of RNG to the heavy and medium-duty commercial vehicle market in the United States. We support this objective through a multi-pronged strategy of:</w:t>
      </w:r>
    </w:p>
    <w:p>
      <w:pPr>
        <w:spacing w:after="0" w:line="16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reduction of GHG emissions and expanding the use of renewable fuels to displace fossil-based fuels;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our customers to achieve their sustainability and carbon reduction objectives.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Promoting the Reduction of GHG Emissions and Expanding the Use of Renewable Fuels to Displace Fossil-Based Fuels.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share the renewable fuel industry’s commitment to providing sustainable renewable energy solutions and to offering products with high economic and ecological value. By simultaneously replacing fossil-based fuels and reducing overall methane emissions, our business has a substantial positive environmental impact. We are committed to the sustainable development, deployment, and utilization of RNG to reduce the country’s dependence on fossil fuels.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Empowering Our Customers to Achieve their Sustainability and Carbon Reduction Objectives.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2021, global leaders met in Glasgow for the United Nations Climate Change Conference (COP26) to draw up a successor plan to the Paris Agreement. With evidence indicating that the Paris Agreement targets may fall short of limiting global warming to 1.5°C, governments and regulators globally face mounting public pressure to address the threat of climate change. The United States has re-joined the Paris Agreement and key investors have made climate change risk management a key priority: BlackRock has stated in its 2021 stewardship expectations guidelines that “[t]he events of [2020] have intensified our conviction that sustainability risk — and climate risk in particular — is investment risk” and plans to expand its engagement to the over 1,000 companies that are responsible for producing 90% of GHG emissions in its investment portfolio. Similarly, in his letter to boards, Cyrus Taraporevala, State Street’s CEO and President, said the asset manager will be elevating its focus on climate risk, noting that ahead of COP26, “policymakers are assessing progress on climate change action . . . many jurisdictions are signaling their intentions to make climate risk disclosure mandatory.” Vanguard has determined that “it is critical that public company boards fully understand and own climate-related risks.”</w:t>
      </w:r>
    </w:p>
    <w:p>
      <w:pPr>
        <w:spacing w:after="0" w:line="188"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We are well positioned to empower our customers to achieve their sustainability and carbon reduction goals. Because our business involves the capture and transformation of waste methane into a renewable source of energy, we believe our customers can significantly reduce GHG emissions from their commercial transportation activities. Further, our RNG is available today to reduce GHG emissions and meet sustainability objectives at a cost to customers that is competitive to other fuels like diesel. OPAL also assists its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a number of other companies operating in the renewable energy and waste-to-energy space, ranging from other project developers to service or equipment providers.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w:t>
      </w:r>
    </w:p>
    <w:p>
      <w:pPr>
        <w:spacing w:after="0" w:line="3" w:lineRule="exact"/>
        <w:rPr>
          <w:sz w:val="20"/>
          <w:szCs w:val="20"/>
          <w:color w:val="auto"/>
        </w:rPr>
      </w:pPr>
    </w:p>
    <w:p>
      <w:pPr>
        <w:jc w:val="both"/>
        <w:ind w:firstLine="8"/>
        <w:spacing w:after="0" w:line="255" w:lineRule="auto"/>
        <w:tabs>
          <w:tab w:leader="none" w:pos="27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dairy farms in the country, we are well-positioned to continue to operate and grow its portfolio and respond to competitive pressures. We have demonstrated a track record of strategic flexibility across its over 20-year history which has allowed us to pivot towards projects and markets that we believe deliver optimal returns and shareholder value in response to changes in market, regulatory and competitive pressures.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its industry peers.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aware of several competitors in the United States that have a similar business model to our own, including Clean Energy Fuels (Nasdaq: CLNE), Archaea Energy (NYSE: LFG), U.S. Gain, Montauk Renewables (Nasdaq: MNTK), Brightmark, AMP Energy and Morrow Renewables, as well as companies with biogas-to-energy facilities as a segment or subsidiary of their operations, including DTE, SJI, UGI, Kinder Morgan, and Ameresco. In addition, certain landfill operators such as Waste Management have also chosen to selectively pursue biogas conversion projects at their sites.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RNG projects are subject to federal RFS program regulations, including the Energy Policy Act of 2005 (the “</w:t>
      </w:r>
      <w:r>
        <w:rPr>
          <w:rFonts w:ascii="Times New Roman" w:cs="Times New Roman" w:eastAsia="Times New Roman" w:hAnsi="Times New Roman"/>
          <w:sz w:val="18"/>
          <w:szCs w:val="18"/>
          <w:b w:val="1"/>
          <w:bCs w:val="1"/>
          <w:i w:val="1"/>
          <w:iCs w:val="1"/>
          <w:color w:val="auto"/>
        </w:rPr>
        <w:t>EPACT 2005</w:t>
      </w:r>
      <w:r>
        <w:rPr>
          <w:rFonts w:ascii="Times New Roman" w:cs="Times New Roman" w:eastAsia="Times New Roman" w:hAnsi="Times New Roman"/>
          <w:sz w:val="18"/>
          <w:szCs w:val="18"/>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EPA under the Clean Air Act (the “</w:t>
      </w:r>
      <w:r>
        <w:rPr>
          <w:rFonts w:ascii="Times New Roman" w:cs="Times New Roman" w:eastAsia="Times New Roman" w:hAnsi="Times New Roman"/>
          <w:sz w:val="18"/>
          <w:szCs w:val="18"/>
          <w:b w:val="1"/>
          <w:bCs w:val="1"/>
          <w:i w:val="1"/>
          <w:iCs w:val="1"/>
          <w:color w:val="auto"/>
        </w:rPr>
        <w:t>CAA</w:t>
      </w:r>
      <w:r>
        <w:rPr>
          <w:rFonts w:ascii="Times New Roman" w:cs="Times New Roman" w:eastAsia="Times New Roman" w:hAnsi="Times New Roman"/>
          <w:sz w:val="18"/>
          <w:szCs w:val="18"/>
          <w:color w:val="auto"/>
        </w:rPr>
        <w:t>”) regulates emissions of pollutants to protect the environment and public health and contains provisions for New Source Review (the “</w:t>
      </w:r>
      <w:r>
        <w:rPr>
          <w:rFonts w:ascii="Times New Roman" w:cs="Times New Roman" w:eastAsia="Times New Roman" w:hAnsi="Times New Roman"/>
          <w:sz w:val="18"/>
          <w:szCs w:val="18"/>
          <w:b w:val="1"/>
          <w:bCs w:val="1"/>
          <w:i w:val="1"/>
          <w:iCs w:val="1"/>
          <w:color w:val="auto"/>
        </w:rPr>
        <w:t>NSR</w:t>
      </w:r>
      <w:r>
        <w:rPr>
          <w:rFonts w:ascii="Times New Roman" w:cs="Times New Roman" w:eastAsia="Times New Roman" w:hAnsi="Times New Roman"/>
          <w:sz w:val="18"/>
          <w:szCs w:val="18"/>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Before an RNG project can be developed, all the Resource Conservation and Recovery (the “</w:t>
      </w:r>
      <w:r>
        <w:rPr>
          <w:rFonts w:ascii="Times New Roman" w:cs="Times New Roman" w:eastAsia="Times New Roman" w:hAnsi="Times New Roman"/>
          <w:sz w:val="18"/>
          <w:szCs w:val="18"/>
          <w:b w:val="1"/>
          <w:bCs w:val="1"/>
          <w:i w:val="1"/>
          <w:iCs w:val="1"/>
          <w:color w:val="auto"/>
        </w:rPr>
        <w:t>RCRA”)</w:t>
      </w:r>
      <w:r>
        <w:rPr>
          <w:rFonts w:ascii="Times New Roman" w:cs="Times New Roman" w:eastAsia="Times New Roman" w:hAnsi="Times New Roman"/>
          <w:sz w:val="18"/>
          <w:szCs w:val="18"/>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Qualifying Facilities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Public Utility Regulatory Policies Act (“</w:t>
      </w:r>
      <w:r>
        <w:rPr>
          <w:rFonts w:ascii="Times New Roman" w:cs="Times New Roman" w:eastAsia="Times New Roman" w:hAnsi="Times New Roman"/>
          <w:sz w:val="18"/>
          <w:szCs w:val="18"/>
          <w:b w:val="1"/>
          <w:bCs w:val="1"/>
          <w:i w:val="1"/>
          <w:iCs w:val="1"/>
          <w:color w:val="auto"/>
        </w:rPr>
        <w:t>PURPA</w:t>
      </w:r>
      <w:r>
        <w:rPr>
          <w:rFonts w:ascii="Times New Roman" w:cs="Times New Roman" w:eastAsia="Times New Roman" w:hAnsi="Times New Roman"/>
          <w:sz w:val="18"/>
          <w:szCs w:val="18"/>
          <w:color w:val="auto"/>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Utility Regulation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RNG Production and Sale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Regulations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 of Existing or Probable Government Regulations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White Plains, New York, where we occupy approximately 13,600 square feet of shared office space with an affiliate of Fortistar pursuant to an Administrative Services Agreement. See “</w:t>
      </w:r>
      <w:r>
        <w:rPr>
          <w:rFonts w:ascii="Times New Roman" w:cs="Times New Roman" w:eastAsia="Times New Roman" w:hAnsi="Times New Roman"/>
          <w:sz w:val="18"/>
          <w:szCs w:val="18"/>
          <w:i w:val="1"/>
          <w:iCs w:val="1"/>
          <w:color w:val="auto"/>
        </w:rPr>
        <w:t>Certain Relationships and Related Party Transactions—Administrative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 Agreement.</w:t>
      </w:r>
      <w:r>
        <w:rPr>
          <w:rFonts w:ascii="Times New Roman" w:cs="Times New Roman" w:eastAsia="Times New Roman" w:hAnsi="Times New Roman"/>
          <w:sz w:val="18"/>
          <w:szCs w:val="18"/>
          <w:color w:val="auto"/>
        </w:rPr>
        <w:t>” We believe this office space is adequate for our needs for the immediate future and that, should it be necessary, we can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space to accommodate any future growth.</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services office and maintenance facility is located in Oronoco, Minnesota, where we own and occupy an 20,000 square foot building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construction office and maintenance facility is located in Rancho Cucamonga, California, where we occupy approximately 29,935 square feet of combined office space, maintenance shop and loading dock. Our lease expires on January 31, 2023, and we have an option to extend the lease for one additional term of 24 months. We believe the space that we currently lease is adequate for our needs for the immediate future but we will likely seek additional space during the course of 2022 to accommodate future growth, which we believe will be available to us on satisfactory terms.</w:t>
      </w:r>
    </w:p>
    <w:p>
      <w:pPr>
        <w:spacing w:after="0" w:line="2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As of July 31, 2022, we owned and operated 25 projects, six of which are RNG projects and 19 of which are Renewable Power projects. See “</w:t>
      </w:r>
      <w:r>
        <w:rPr>
          <w:rFonts w:ascii="Times New Roman" w:cs="Times New Roman" w:eastAsia="Times New Roman" w:hAnsi="Times New Roman"/>
          <w:sz w:val="18"/>
          <w:szCs w:val="18"/>
          <w:i w:val="1"/>
          <w:iCs w:val="1"/>
          <w:color w:val="auto"/>
        </w:rPr>
        <w: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for further summary of our projects.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OPAL had approximately 289 full-time employees, all of whom are located in the United States. None of our employees are subject to a collective bargaining agreement and we believe we have a good relationship with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City of Albany Matter</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10, 2020, the City of Albany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commenced an action against two of our subsidiaries, Albany Energy LLC (“</w:t>
      </w:r>
      <w:r>
        <w:rPr>
          <w:rFonts w:ascii="Times New Roman" w:cs="Times New Roman" w:eastAsia="Times New Roman" w:hAnsi="Times New Roman"/>
          <w:sz w:val="18"/>
          <w:szCs w:val="18"/>
          <w:b w:val="1"/>
          <w:bCs w:val="1"/>
          <w:i w:val="1"/>
          <w:iCs w:val="1"/>
          <w:color w:val="auto"/>
        </w:rPr>
        <w:t>Albany Energy</w:t>
      </w:r>
      <w:r>
        <w:rPr>
          <w:rFonts w:ascii="Times New Roman" w:cs="Times New Roman" w:eastAsia="Times New Roman" w:hAnsi="Times New Roman"/>
          <w:sz w:val="18"/>
          <w:szCs w:val="18"/>
          <w:color w:val="auto"/>
        </w:rPr>
        <w:t>”) and NEO Albany L.L.C. (“</w:t>
      </w:r>
      <w:r>
        <w:rPr>
          <w:rFonts w:ascii="Times New Roman" w:cs="Times New Roman" w:eastAsia="Times New Roman" w:hAnsi="Times New Roman"/>
          <w:sz w:val="18"/>
          <w:szCs w:val="18"/>
          <w:b w:val="1"/>
          <w:bCs w:val="1"/>
          <w:i w:val="1"/>
          <w:iCs w:val="1"/>
          <w:color w:val="auto"/>
        </w:rPr>
        <w:t>NEO</w:t>
      </w:r>
      <w:r>
        <w:rPr>
          <w:rFonts w:ascii="Times New Roman" w:cs="Times New Roman" w:eastAsia="Times New Roman" w:hAnsi="Times New Roman"/>
          <w:sz w:val="18"/>
          <w:szCs w:val="18"/>
          <w:color w:val="auto"/>
        </w:rPr>
        <w:t>”), in the Supreme Court of the State of New York, County of Albany alleging that Albany Energy and NEO have defaulted in their obligation to utilize the Landfill Gas and convert it to electricity, depriving the City of royalty payments. The City has not quantified this portion of its claim. In addition, the City is alleging that Albany Energy was unjustly enriched when it applied for and received money under the section 1603 Grant program that was part of the American Recovery and Reinvestment Act of 2009. NEO and Albany Energy have counterclaimed against the City, alleging that the City failed in its contractual obligation and refused to deliver landfill gas that it collected in quantities that would make NEO and Albany Energy’s production of electricity commercially viable. This failure includes the City’s refusal to modify its landfill gas flare to operate in a more efficient manner.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City, in May of 2021, moved for partial summary judgment on its claim for half of the 1603 grant payment (approximately $1.0 million) and NEO and Albany Energy moved in opposition to the City’s motion. On September 29, 2021, the judge in the proceeding issued his decision rejecting the City’s claim that it was entitled to one-half of the 1603 Grant. Unless the City appeals the judge’s decision and wins a reversal, this claim cannot be pursued further. As of this writing, the City has not appealed.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Arbor Hills Matters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One of our subsidiaries, Arbor Hills Energy LLC (“</w:t>
      </w:r>
      <w:r>
        <w:rPr>
          <w:rFonts w:ascii="Times New Roman" w:cs="Times New Roman" w:eastAsia="Times New Roman" w:hAnsi="Times New Roman"/>
          <w:sz w:val="18"/>
          <w:szCs w:val="18"/>
          <w:b w:val="1"/>
          <w:bCs w:val="1"/>
          <w:i w:val="1"/>
          <w:iCs w:val="1"/>
          <w:color w:val="auto"/>
        </w:rPr>
        <w:t>AHE</w:t>
      </w:r>
      <w:r>
        <w:rPr>
          <w:rFonts w:ascii="Times New Roman" w:cs="Times New Roman" w:eastAsia="Times New Roman" w:hAnsi="Times New Roman"/>
          <w:sz w:val="18"/>
          <w:szCs w:val="18"/>
          <w:color w:val="auto"/>
        </w:rPr>
        <w:t>”), has received various notices of violation from the Michigan Department of Environment, Great Lakes and Energy (“</w:t>
      </w:r>
      <w:r>
        <w:rPr>
          <w:rFonts w:ascii="Times New Roman" w:cs="Times New Roman" w:eastAsia="Times New Roman" w:hAnsi="Times New Roman"/>
          <w:sz w:val="18"/>
          <w:szCs w:val="18"/>
          <w:b w:val="1"/>
          <w:bCs w:val="1"/>
          <w:i w:val="1"/>
          <w:iCs w:val="1"/>
          <w:color w:val="auto"/>
        </w:rPr>
        <w:t>EGLE</w:t>
      </w:r>
      <w:r>
        <w:rPr>
          <w:rFonts w:ascii="Times New Roman" w:cs="Times New Roman" w:eastAsia="Times New Roman" w:hAnsi="Times New Roman"/>
          <w:sz w:val="18"/>
          <w:szCs w:val="18"/>
          <w:color w:val="auto"/>
        </w:rPr>
        <w:t>”) and the EPA relating to alleged violations of the Clean Air Act and Part 55 of the Michigan Natural Resources and Environmental Protection Act. On March 3, 2020, AHE received an Enforcement Letter from the U.S. Department of Justice seeking to resolve these alleged violations through settlement in a Consent Decree that would include civil fines and penalties and injunctive relief. The parties have entered into a consent decree, which was formally entered by the court in December 2021, that resolves the matter and which requires that the Company pay a fine in the approximate amount of $750,000, payable in three installments over two years, and install a sulfur treatment system in accordance with the schedule set forth in the Consent Decree.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Virginia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30, 2021, Richmond Energy, a Company subsidiary, entered into a Consent Order with the VDEQ related to an October 31, 2019 notice of violation for a failed source test conducted by VDEQ, which identified exceedances in total sulfur, volatile organic compounds and sulfur dioxide emissions from the Old Dominion landfill gas facility in Henrico, VA. Pursuant to the Consent Order, Richmond Energy paid a $99,000 penalty and is required to modify the facilities permit to account for these emissions. The Richmond Energy facility has been shut down since April 3, 2020 while Richmond Energy modifies the facility’s permit, which will require the installation of a chiller treatment system at an estimated cost of $1.0 million. The facility is expected to be back online within the next twelve months.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The Force Majeure declaration stated that inspections of its this landfill gas-to-electric facility under a scheduled maintenance outage revealed extensive damage to the engine generator sets. The Richmond Energy facility, which is currently shut down as described in the previous paragraph, is currently undertaking significant capital expenditures, in cooperation with the landfill owner, and expects facility to restart during the next twelve months. In early 2022, Richmond Energy received an invoice and associated correspondence from ODEC asserting aggregated liquidated damages under the ODEC PPA for calendar years 2020 and 2021, reflecting the cover value of renewable energy certificates that would have been generated in those years, in the amount of $467,320.74. Richmond and ODEC entered into a settlement agreement whereby Richmond Energy would pay ODEC the specified damages for calendar years 2020 and 2021, as well as those to be assessed for calendar year 2022. On February 8, 2022, Richmond paid ODEC $467,320.74 pursuant to this settlement agreement; liquidated damages for calendar year 2022, if any, will be assessed by ODEC during the first quarter of 2023.</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Ohio Edison Arbitration Demand</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 subsidiary of Opco, and Ohio Edison Company (“</w:t>
      </w:r>
      <w:r>
        <w:rPr>
          <w:rFonts w:ascii="Times New Roman" w:cs="Times New Roman" w:eastAsia="Times New Roman" w:hAnsi="Times New Roman"/>
          <w:sz w:val="18"/>
          <w:szCs w:val="18"/>
          <w:b w:val="1"/>
          <w:bCs w:val="1"/>
          <w:i w:val="1"/>
          <w:iCs w:val="1"/>
          <w:color w:val="auto"/>
        </w:rPr>
        <w:t>Ohio Edison</w:t>
      </w:r>
      <w:r>
        <w:rPr>
          <w:rFonts w:ascii="Times New Roman" w:cs="Times New Roman" w:eastAsia="Times New Roman" w:hAnsi="Times New Roman"/>
          <w:sz w:val="18"/>
          <w:szCs w:val="18"/>
          <w:color w:val="auto"/>
        </w:rPr>
        <w:t>”) entered into several contracts pursuant to which Ohio Edison agreed to, among other things furnish to Noble Road alternating current, sixty cycle, three phase electrical energy at approximately 12,500 volts, up to approximately 2,100 kW of capacity, and agreed to construct upgrades to Ohio Edison’s facilities to serve the required load to Noble Road’s RNG facility.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Noble Road sent Ohio Edison an arbitration demand on January 24, 2022 alleging that, as a result of Ohio Edison’s failure to perform under the contracts, Noble Road was substantially delayed in completing its commission activities at its RNG facility and, although it has been able to maintain operations through use of generators, is unable to operate the equipment at its RNG facility at expected capacity. In addition, Noble Road asserts that Ohio Edison’s breach of the contracts has caused and continues to cause substantial damage. In its demand, Noble Road has stated that it is willing to defer arbitration in order to allow the parties to focus on reaching a consensual resolution and has proposed that the parties agree to hold the arbitration in abeyance while current efforts to resolve the problems are ongoing. Noble Road and Ohio Edison have entered into a tolling agreement with respect to this matter which is in effect until November 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Board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directors of our board are as follows. Each director was appointed to our board in connection with the Closing of the Business Combination and holds his or her office until his or her successor has been duly elected or appointed and has qualified, or until his earlier death, resignation or removal.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Position with OPAL</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216"/>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Comora</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Fogarty</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Dols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1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brief biography of each director of our board.</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S. Comora </w:t>
      </w:r>
      <w:r>
        <w:rPr>
          <w:rFonts w:ascii="Times New Roman" w:cs="Times New Roman" w:eastAsia="Times New Roman" w:hAnsi="Times New Roman"/>
          <w:sz w:val="18"/>
          <w:szCs w:val="18"/>
          <w:color w:val="auto"/>
        </w:rPr>
        <w:t>is the Founder and President of Fortistar. Since founding Fortistar in 1993, Mr. Comora has led Fortistar’s growth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decarbonization of power generation, transportation fuels, and industrial processes. Mr. Comora is the chairman of Fortistar’s management and investment committees. Additionally, Mr. Comora currently serves as Chairman of the Board of Directors of Fortistar Sustainable Solutions Corp. (Nasdaq: FSSI) and as a member of the Board of Managers at Braven Environmental, LLC (“</w:t>
      </w:r>
      <w:r>
        <w:rPr>
          <w:rFonts w:ascii="Times New Roman" w:cs="Times New Roman" w:eastAsia="Times New Roman" w:hAnsi="Times New Roman"/>
          <w:sz w:val="18"/>
          <w:szCs w:val="18"/>
          <w:b w:val="1"/>
          <w:bCs w:val="1"/>
          <w:i w:val="1"/>
          <w:iCs w:val="1"/>
          <w:color w:val="auto"/>
        </w:rPr>
        <w:t>Braven Environmental</w:t>
      </w:r>
      <w:r>
        <w:rPr>
          <w:rFonts w:ascii="Times New Roman" w:cs="Times New Roman" w:eastAsia="Times New Roman" w:hAnsi="Times New Roman"/>
          <w:sz w:val="18"/>
          <w:szCs w:val="18"/>
          <w:color w:val="auto"/>
        </w:rPr>
        <w:t>”). Mr. Comora is an Officer and Member of the Board of the American Museum of Fly Fishing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Nadeem Nisar </w:t>
      </w:r>
      <w:r>
        <w:rPr>
          <w:rFonts w:ascii="Times New Roman" w:cs="Times New Roman" w:eastAsia="Times New Roman" w:hAnsi="Times New Roman"/>
          <w:sz w:val="18"/>
          <w:szCs w:val="18"/>
          <w:color w:val="auto"/>
        </w:rPr>
        <w:t>has been serving as a Managing Director of Fortistar since July 2008, where he serves as Head of Fortistar’s Investment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Nisar is a member of Fortistar’s management and investment committees which oversee the operations of Fortistar’s portfolio companies. Mr. Nisar is also the Chief Executive Officer of Fortistar Sustainable Solutions Corp. Mr. Nisar also serves on the board of directors of several of Fortistar’s portfolio companies, including Fortistar Sustainable Solutions Corp,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Marco F. Gatti </w:t>
      </w:r>
      <w:r>
        <w:rPr>
          <w:rFonts w:ascii="Times New Roman" w:cs="Times New Roman" w:eastAsia="Times New Roman" w:hAnsi="Times New Roman"/>
          <w:sz w:val="18"/>
          <w:szCs w:val="18"/>
          <w:color w:val="auto"/>
        </w:rPr>
        <w:t>currently serves as a Managing Director or ArcLight Capital. Mr. Gatti joined ArcLight Capital in 2018 and has 11 years of energy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M. Fogarty </w:t>
      </w:r>
      <w:r>
        <w:rPr>
          <w:rFonts w:ascii="Times New Roman" w:cs="Times New Roman" w:eastAsia="Times New Roman" w:hAnsi="Times New Roman"/>
          <w:sz w:val="18"/>
          <w:szCs w:val="18"/>
          <w:color w:val="auto"/>
        </w:rPr>
        <w:t>recently retired from Kraton Corporation, Inc. (“</w:t>
      </w:r>
      <w:r>
        <w:rPr>
          <w:rFonts w:ascii="Times New Roman" w:cs="Times New Roman" w:eastAsia="Times New Roman" w:hAnsi="Times New Roman"/>
          <w:sz w:val="18"/>
          <w:szCs w:val="18"/>
          <w:b w:val="1"/>
          <w:bCs w:val="1"/>
          <w:i w:val="1"/>
          <w:iCs w:val="1"/>
          <w:color w:val="auto"/>
        </w:rPr>
        <w:t>Kraton</w:t>
      </w:r>
      <w:r>
        <w:rPr>
          <w:rFonts w:ascii="Times New Roman" w:cs="Times New Roman" w:eastAsia="Times New Roman" w:hAnsi="Times New Roman"/>
          <w:sz w:val="18"/>
          <w:szCs w:val="18"/>
          <w:color w:val="auto"/>
        </w:rPr>
        <w:t>”), where he served as President, Chief Executive Officer and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2008,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was appointed non-executive Chairperson of the Board of Directors at Ecovyst Inc. (NYSE:ECVT), a leading integrated and innovative global provider of specialty catalysts and services, in April 2022. Since 2012, Mr. Fogarty has served as a Director of Glatfelter Corporation (NYSE:GLT), a leading global supplier of sustainable, cellulosic-based engineered materials, where he served as lead independent director from 2018 to 2021 and currently as Chairperson of the Nominating and Corporate Governance Committee. Mr. Fogarty is also a director of Circulus Holdings, PBLLC, a plastic recycling company. Mr. Fogarty previously served on the Board of Directors of the American Chemistry Council from 2017 through 2022. Mr. Fogarty graduated from Dalhousie University, in Halifax, Nova Scotia with a Bachelor of Engineering in 1990.</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Betsy L. Battle </w:t>
      </w:r>
      <w:r>
        <w:rPr>
          <w:rFonts w:ascii="Times New Roman" w:cs="Times New Roman" w:eastAsia="Times New Roman" w:hAnsi="Times New Roman"/>
          <w:sz w:val="18"/>
          <w:szCs w:val="18"/>
          <w:color w:val="auto"/>
        </w:rPr>
        <w:t>has served since 2009 as Founding Partner and Chief Investment Officer of Lone Peak Partners Management, LP, an investment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with the SEC and NFA.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spacing w:after="0" w:line="18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Dols </w:t>
      </w:r>
      <w:r>
        <w:rPr>
          <w:rFonts w:ascii="Times New Roman" w:cs="Times New Roman" w:eastAsia="Times New Roman" w:hAnsi="Times New Roman"/>
          <w:sz w:val="18"/>
          <w:szCs w:val="18"/>
          <w:color w:val="auto"/>
        </w:rPr>
        <w:t>is the CEO of several waste-related companies. Mr. Dols is the Founder and, since 2002, has served as CEO of Big Truck Rental, which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Ashok Vemuri </w:t>
      </w:r>
      <w:r>
        <w:rPr>
          <w:rFonts w:ascii="Times New Roman" w:cs="Times New Roman" w:eastAsia="Times New Roman" w:hAnsi="Times New Roman"/>
          <w:sz w:val="18"/>
          <w:szCs w:val="18"/>
          <w:color w:val="auto"/>
        </w:rPr>
        <w:t>served as Chief Executive Officer and a Director of Conduent Incorporated, a global digital interactions company, from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persons serve as our executive officers:</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Position with OPAL</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Comora</w:t>
            </w:r>
          </w:p>
        </w:tc>
        <w:tc>
          <w:tcPr>
            <w:tcW w:w="2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Co-Chief Executive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Anthony</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David Unger</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0"/>
                <w:szCs w:val="20"/>
                <w:color w:val="auto"/>
              </w:rPr>
            </w:pPr>
          </w:p>
        </w:tc>
      </w:tr>
      <w:tr>
        <w:trPr>
          <w:trHeight w:val="637"/>
        </w:trPr>
        <w:tc>
          <w:tcPr>
            <w:tcW w:w="4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03" w:name="page104"/>
    <w:bookmarkEnd w:id="103"/>
    <w:p>
      <w:pPr>
        <w:ind w:left="340"/>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officers.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Comora </w:t>
      </w:r>
      <w:r>
        <w:rPr>
          <w:rFonts w:ascii="Times New Roman" w:cs="Times New Roman" w:eastAsia="Times New Roman" w:hAnsi="Times New Roman"/>
          <w:sz w:val="18"/>
          <w:szCs w:val="18"/>
          <w:color w:val="auto"/>
        </w:rPr>
        <w:t>served in the role as Co-Chief Executive Officer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Comora was also with Fortistar from February 2011 until January 1, 2022 (when effective as of such time he resigned all his positions with Fortistar and its affiliated entities other than Opco), where, among other things, he served as President and Chief Executive Officer of TruStar Energy which now comprises the dispensing and monetization segment of Opco. Since the Business Combination, Mr. Comora has served as the Co-Chief Executive Officer of OPAL Fuels Inc. Prior to joining Fortistar, Mr. Comora was a partner at EnTrust Capital, an asset management firm based in New York City, where he was an integral part of the investment team managing long only equities, a long/short strategy launched in February 1999 and a fund of funds launched in 2003. While at EnTrust, assets under management grew from $1 billion to $6 billion. Prior to EnTrust Comora was an Analyst and Associate at JP Morgan Investment Bank from 1994-1998. Mr. Comora received his Bachelor of Arts in Economics and Government from Cornell University. Mr. Adam Comora is the son of Mr. Mark Comora.</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Maurer </w:t>
      </w:r>
      <w:r>
        <w:rPr>
          <w:rFonts w:ascii="Times New Roman" w:cs="Times New Roman" w:eastAsia="Times New Roman" w:hAnsi="Times New Roman"/>
          <w:sz w:val="18"/>
          <w:szCs w:val="18"/>
          <w:color w:val="auto"/>
        </w:rPr>
        <w:t>served in the role as Co-Chief Executive Officer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Mr. Maurer transitioned in the same capacity to the management OPAL Fuels Inc. Mr. Maurer previously served as a Managing Director of Fortistar until January 1, 2022 (when effective as of such time he resigned all his positions with Fortistar and its affiliated entities other than Opco), where he was Co-Head of Fortistar’s Investment Team and led all management and investment activities associated with Fortistar’s renewable natural gas, landfill gas to power, and biomass energy investments. Additionally, prior to January 1, 2022, Mr. Maurer served as a Managing Director of Fortistar Sustainable Solutions Corp. (Nasdaq: FSSI). Mr. Maurer also served as a member of Fortistar’s management and investment committees. Prior to his appointment at OPAL, Mr. Maurer served at Fortistar for over 30 years and previously was a commercial banker with JP Morgan Chase &amp; Co. Mr. Maurer has an MBA from Columbia Business School and a Bachelor of Arts from St. Lawrence University.</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 Anthony </w:t>
      </w:r>
      <w:r>
        <w:rPr>
          <w:rFonts w:ascii="Times New Roman" w:cs="Times New Roman" w:eastAsia="Times New Roman" w:hAnsi="Times New Roman"/>
          <w:sz w:val="18"/>
          <w:szCs w:val="18"/>
          <w:color w:val="auto"/>
        </w:rPr>
        <w:t>served as the Chief Financial Officer of Opco from April 2021 up to the closing of the Business Combination where Ms. Anthony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transitioned in the same capacity to the management of OPAL Fuels Inc. Prior to joining OPAL, from November 2019 to April 2021, Ms. Anthony was the Chief Financial Officer and Secretary of Key Capture Energy, LLC, a start-up private equity funded battery storage company where she was responsible for managing all financial and HR processes for the start-up company. Before joining Key Capture Energy, LLC, Ms. Anthony served from 2008 to 2019 in various capacities with South Jersey Industries, Inc, a public energy services holding company, most recently leading finance and accounting as the Principal Financial Officer of SJI Utilities and Vice President and Treasurer of South Jersey Industries, Inc, the public registrant. Ms. Anthony received her Master of Business Administration and her Bachelor of Science in Finance from St. Joseph’s University.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Unger </w:t>
      </w:r>
      <w:r>
        <w:rPr>
          <w:rFonts w:ascii="Times New Roman" w:cs="Times New Roman" w:eastAsia="Times New Roman" w:hAnsi="Times New Roman"/>
          <w:sz w:val="18"/>
          <w:szCs w:val="18"/>
          <w:color w:val="auto"/>
        </w:rPr>
        <w:t>served in the role as Executive Vice President of Opco from December 2020 up to the closing of the Business Combination where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Falbo </w:t>
      </w:r>
      <w:r>
        <w:rPr>
          <w:rFonts w:ascii="Times New Roman" w:cs="Times New Roman" w:eastAsia="Times New Roman" w:hAnsi="Times New Roman"/>
          <w:sz w:val="18"/>
          <w:szCs w:val="18"/>
          <w:color w:val="auto"/>
        </w:rPr>
        <w:t>served in the role as Chief Operating Officer of Opco from December 2020 up to the closing of the Business Combination where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Falbo transitioned in the same capacity to the management of OPAL Fuels Inc. From 2006 until December 2020, Mr. Falbo served in a similar capacity as Senior Vice President at Fortistar. Mr. Falbo has over 36 years of experience working in the energy sector, both in the management of operating energy facilities as well as construction management. During his time at Fortistar, Mr. Falbo participated in the acquisition of over 30 landfill gas to energy power projects and developed a best-in-class operating team. Prior to joining Fortistar, from 1991 to 2006, Mr. Falbo served as an electrical power generation Supervisor for NAES Corporation. From 1985 – 1991, Mr. Falbo worked in the U.S. Navy Nuclear Power Program onboard submarines. Mr. Falbo received his Bachelor of Science from State University of New York Empire State College, where he continues his Master level coursework.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Edelbach </w:t>
      </w:r>
      <w:r>
        <w:rPr>
          <w:rFonts w:ascii="Times New Roman" w:cs="Times New Roman" w:eastAsia="Times New Roman" w:hAnsi="Times New Roman"/>
          <w:sz w:val="18"/>
          <w:szCs w:val="18"/>
          <w:color w:val="auto"/>
        </w:rPr>
        <w:t>has served in the role as the Executive Vice President of Opco from December 2020 up to the closing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Mr. Edelbach transitioned in the same capacity to the management of OPAL Fuels Inc. Mr. Edelbach was a founder of TruStar Energy which was formed in 2009. Prior to joining TruStar Energy, Mr. Edelbach worked at Oshkosh Truck Corporation for 18 years where his last position was Vice President of the Refuse Division. At Oshkosh Truck Corporation, Edelbach led the company to become the first major OEM in the United States to build and integrate natural gas fuel systems into large class 8 trucks and was part of the development teams creating heavy duty electric hybrid chassis and utility bodies such as garbage trucks and concrete mixers that were to be used for commercial application in the United States and European markets. Mr. Edelbach received his Bachelor’s in Business Management from Southwestern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Hugh Donnell </w:t>
      </w:r>
      <w:r>
        <w:rPr>
          <w:rFonts w:ascii="Times New Roman" w:cs="Times New Roman" w:eastAsia="Times New Roman" w:hAnsi="Times New Roman"/>
          <w:sz w:val="18"/>
          <w:szCs w:val="18"/>
          <w:color w:val="auto"/>
        </w:rPr>
        <w:t>served as Senior Vice President, Business Development and Sustainability at Opco and has been with the company from April 2022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closing of the Business Combination where Mr. Donnell transitioned in the same capacity to the management of OPAL Fuels Inc. Prior to joining OPAL, Mr. Donnell worked at Cummins Inc. for 28 years in a variety of roles including new product development, commercial strategy, product sales, and in the role of National Account Executive. In his most recent role at Cummins, reporting to the President of CWI Joint Venture, he was responsible for the business growth and market development of renewable natural gas engines, which included working closely with state and federal government air quality agencies. Mr. Donnell serves several advisory roles and is a board member of Natural Gas Vehicles America. He received his Bachelor of Arts from University of Southern Maine.</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Coghlin </w:t>
      </w:r>
      <w:r>
        <w:rPr>
          <w:rFonts w:ascii="Times New Roman" w:cs="Times New Roman" w:eastAsia="Times New Roman" w:hAnsi="Times New Roman"/>
          <w:sz w:val="18"/>
          <w:szCs w:val="18"/>
          <w:color w:val="auto"/>
        </w:rPr>
        <w:t>has served as the General Counsel of Opco from June 2021 up to the closing of the Business Combination where Mr. Coghlin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transitioned in the same capacity to the management of OPAL Fuels Inc. Prior to joining OPAL, Mr. Coghlin served as Senior Vice President and General Counsel of Colt Defense, a manufacturing firm based in West Hartford, Connecticut. From 2007 to 2014, Mr. Coghlin served as the Chief Operating Officer and General Counsel at Healthcor Group, a global registered investment advisor. Prior to Healthcor Mr. Coghlin served as Senior Vice President and General Counsel of Citizens Financial Group, a division of Royal Bank of Scotland. Mr. Coghlin began his career as an associate with the law firm of Rogers &amp; Wells. Mr. Coghlin received his Juris Doctorate from Boston College School of Law and his Bachelor of Arts from Tufts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Nasdaq rules generally require that independent directors must comprise a majority of a listed company’s board of directors. As a controlled company, OPAL is largely exempt from such requirements. Based upon information requested from and provided by each director concerning his or her background, employment and affiliations, including family relationships, we have determined that Mr. Gatti, Mr. Fogarty and Mr. Vemuri, representing three members of our board, are “independent” as that term is defined under the applicable rules and regulations of the SEC and the listing requirements and rules of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Our board maintains a standing audit committee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but does not currently maintain a standing compensation committee or nominating/governance committee based upon the exceptions from the Nasdaq Listing Rules for “controlled companies.”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purpose and responsibilities of the Audit Committee are set forth in the Audit Committee Charter adopted by our board on July 21,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Our Board adopted a Code of Business Conduct and Ethics on July 21, 2022 (the “</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section describes the significant elements of our executive compensation program for 2021 with particular emphasis on the process for determining compensation payable to our Co-Chief Executive Officers and other two most highly compensated executive officers (collectively, the “</w:t>
      </w:r>
      <w:r>
        <w:rPr>
          <w:rFonts w:ascii="Times New Roman" w:cs="Times New Roman" w:eastAsia="Times New Roman" w:hAnsi="Times New Roman"/>
          <w:sz w:val="18"/>
          <w:szCs w:val="18"/>
          <w:b w:val="1"/>
          <w:bCs w:val="1"/>
          <w:i w:val="1"/>
          <w:iCs w:val="1"/>
          <w:color w:val="auto"/>
        </w:rPr>
        <w:t>Named Executive Officers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during 2021. Our executive officers are listed below (of which Mr. Comora, Mr. Mauer, Mr. Unger and Mr. Edelbach are Named Executive Officers):</w:t>
      </w:r>
    </w:p>
    <w:p>
      <w:pPr>
        <w:spacing w:after="0" w:line="180"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Adam Comora, Co-Chief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Maurer, Co-Chief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Anthony,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Falbo, Chief Operating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Unger, Executive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Edelbach, Executive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Hugh Donnell, Senior Vice President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Chairman of our board and the boards of directors of our predecessor companies has been responsible for setting the compensation of our Co-Chief Executive Officers and Chief Financial Officer, and for working with our Co-Chief Executive Officers to set the compensation for the other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by us to our principal executive officers during the fiscal year ended December 31, 2021 (the “</w:t>
      </w:r>
      <w:r>
        <w:rPr>
          <w:rFonts w:ascii="Times New Roman" w:cs="Times New Roman" w:eastAsia="Times New Roman" w:hAnsi="Times New Roman"/>
          <w:sz w:val="18"/>
          <w:szCs w:val="18"/>
          <w:b w:val="1"/>
          <w:bCs w:val="1"/>
          <w:i w:val="1"/>
          <w:iCs w:val="1"/>
          <w:color w:val="auto"/>
        </w:rPr>
        <w:t>2021 Fiscal Year</w:t>
      </w:r>
      <w:r>
        <w:rPr>
          <w:rFonts w:ascii="Times New Roman" w:cs="Times New Roman" w:eastAsia="Times New Roman" w:hAnsi="Times New Roman"/>
          <w:sz w:val="18"/>
          <w:szCs w:val="18"/>
          <w:color w:val="auto"/>
        </w:rPr>
        <w:t>”) and the other Named Executive Officers during the 2021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7"/>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4"/>
                <w:szCs w:val="24"/>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880" w:type="dxa"/>
            <w:vAlign w:val="bottom"/>
          </w:tcPr>
          <w:p>
            <w:pPr>
              <w:ind w:left="26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4"/>
                <w:szCs w:val="24"/>
                <w:color w:val="auto"/>
              </w:rPr>
            </w:pPr>
          </w:p>
        </w:tc>
        <w:tc>
          <w:tcPr>
            <w:tcW w:w="1100" w:type="dxa"/>
            <w:vAlign w:val="bottom"/>
          </w:tcPr>
          <w:p>
            <w:pPr>
              <w:jc w:val="right"/>
              <w:ind w:right="27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r>
      <w:tr>
        <w:trPr>
          <w:trHeight w:val="21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Adam Comora,</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Jonathan Maurer,</w:t>
            </w:r>
          </w:p>
        </w:tc>
        <w:tc>
          <w:tcPr>
            <w:tcW w:w="8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380,519</w:t>
            </w:r>
          </w:p>
        </w:tc>
        <w:tc>
          <w:tcPr>
            <w:tcW w:w="11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750,000</w:t>
            </w:r>
          </w:p>
        </w:tc>
        <w:tc>
          <w:tcPr>
            <w:tcW w:w="112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26,000</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1,156,519</w:t>
            </w:r>
          </w:p>
        </w:tc>
      </w:tr>
      <w:tr>
        <w:trPr>
          <w:trHeight w:val="23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Scott Edelbach,</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293,623</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202,366</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507,582</w:t>
            </w:r>
          </w:p>
        </w:tc>
      </w:tr>
      <w:tr>
        <w:trPr>
          <w:trHeight w:val="21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David Unger,</w:t>
            </w:r>
          </w:p>
        </w:tc>
        <w:tc>
          <w:tcPr>
            <w:tcW w:w="8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325,923</w:t>
            </w:r>
          </w:p>
        </w:tc>
        <w:tc>
          <w:tcPr>
            <w:tcW w:w="110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340,000</w:t>
            </w:r>
          </w:p>
        </w:tc>
        <w:tc>
          <w:tcPr>
            <w:tcW w:w="1120" w:type="dxa"/>
            <w:vAlign w:val="bottom"/>
            <w:gridSpan w:val="2"/>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19,835</w:t>
            </w:r>
          </w:p>
        </w:tc>
        <w:tc>
          <w:tcPr>
            <w:tcW w:w="10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685,758</w:t>
            </w:r>
          </w:p>
        </w:tc>
      </w:tr>
      <w:tr>
        <w:trPr>
          <w:trHeight w:val="23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discretionary bonuses paid to NEOs for 2021. Please see additional information below in the section entitled “Annual Incentives.”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matching contributions under the terms of our 401(k) plan paid by us on behalf of each NEO. The amounts of matching 401(k) contributions were as follows: $19,500 for Mr. Comora; $26,000 for Mr. Maurer; $11,593 for Mr. Edelbach; and $19,835 for Mr. Unger.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2021 fiscal year, our compensation program consisted primarily of the following elements: base salary, short-term annual incentive awards, long-term equity incentives and benefit and perquisite programs.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Long-Term Incentive Plan Award Agreement between Mr. Edelbach and TruStar Energy LLC, a Delaware limited liability company and subsidiary of Opco, Mr. Edelbach is eligible to receive a base cash award in 2023 for the performance period lasting from January 1, 2020 through December 31, 2022 with a target value of $1,250,000 and a maximum value of $2,250,000.</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Equity awards are a variable element of compensation that allowed us to reward our NEOs for their sustained contributions to the company. Equity awards reward performance and continued employment by an NEO, with associated benefits to us of attracting and retaining employees. Historically, Fortistar LLC granted units intended to be treated as “profits interests” for U.S. federal income tax purposes to certain of Opco executives through one of its feeder entities with such profits interests awards tracking the performance of the applicable predecessor companies of Opco (such awards,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Participants were entitled to participate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pro-rata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from such predecessors of Opco during their employment. Effective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2020, the Parent Equity Awards were restructured to track the performance of Opco.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2021 Fiscal Year.</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Mr. Unger had previously entered into an Employment Agreement with Fortistar dated May 3, 2018, which was terminated in early 2022. Following such termination,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2021 Fiscal Year End” (assuming such change in control occurred on December 31, 2021, and other conditions described in footnote 3 to such table are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profits interest equity awards as of December 31, 2021 for each NEO.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 or</w:t>
            </w: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Units of Stock That</w:t>
            </w:r>
          </w:p>
        </w:tc>
        <w:tc>
          <w:tcPr>
            <w:tcW w:w="12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Units Of Stock</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Parent Equity Awards</w:t>
            </w:r>
          </w:p>
        </w:tc>
        <w:tc>
          <w:tcPr>
            <w:tcW w:w="10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0" w:type="dxa"/>
            <w:vAlign w:val="bottom"/>
          </w:tcPr>
          <w:p>
            <w:pPr>
              <w:spacing w:after="0"/>
              <w:rPr>
                <w:sz w:val="19"/>
                <w:szCs w:val="19"/>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8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Grant Date</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194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3"/>
              </w:rPr>
              <w:t>Vested (%)</w:t>
            </w:r>
            <w:r>
              <w:rPr>
                <w:rFonts w:ascii="Times New Roman" w:cs="Times New Roman" w:eastAsia="Times New Roman" w:hAnsi="Times New Roman"/>
                <w:sz w:val="29"/>
                <w:szCs w:val="29"/>
                <w:b w:val="1"/>
                <w:bCs w:val="1"/>
                <w:color w:val="auto"/>
                <w:w w:val="93"/>
                <w:vertAlign w:val="superscript"/>
              </w:rPr>
              <w:t>(2)</w:t>
            </w:r>
          </w:p>
        </w:tc>
        <w:tc>
          <w:tcPr>
            <w:tcW w:w="120" w:type="dxa"/>
            <w:vAlign w:val="bottom"/>
          </w:tcPr>
          <w:p>
            <w:pPr>
              <w:spacing w:after="0"/>
              <w:rPr>
                <w:sz w:val="24"/>
                <w:szCs w:val="24"/>
                <w:color w:val="auto"/>
              </w:rPr>
            </w:pPr>
          </w:p>
        </w:tc>
        <w:tc>
          <w:tcPr>
            <w:tcW w:w="168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Not Vested ($)</w:t>
            </w:r>
            <w:r>
              <w:rPr>
                <w:rFonts w:ascii="Times New Roman" w:cs="Times New Roman" w:eastAsia="Times New Roman" w:hAnsi="Times New Roman"/>
                <w:sz w:val="29"/>
                <w:szCs w:val="29"/>
                <w:b w:val="1"/>
                <w:bCs w:val="1"/>
                <w:color w:val="auto"/>
                <w:w w:val="95"/>
                <w:vertAlign w:val="superscript"/>
              </w:rPr>
              <w:t>(3)</w:t>
            </w:r>
          </w:p>
        </w:tc>
        <w:tc>
          <w:tcPr>
            <w:tcW w:w="0" w:type="dxa"/>
            <w:vAlign w:val="bottom"/>
          </w:tcPr>
          <w:p>
            <w:pPr>
              <w:spacing w:after="0"/>
              <w:rPr>
                <w:sz w:val="1"/>
                <w:szCs w:val="1"/>
                <w:color w:val="auto"/>
              </w:rPr>
            </w:pPr>
          </w:p>
        </w:tc>
      </w:tr>
      <w:tr>
        <w:trPr>
          <w:trHeight w:val="196"/>
        </w:trPr>
        <w:tc>
          <w:tcPr>
            <w:tcW w:w="56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Adam Comora,</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11,172,566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2040" w:type="dxa"/>
            <w:vAlign w:val="bottom"/>
            <w:gridSpan w:val="3"/>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3,720,271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3,784,434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3,784,434</w:t>
            </w:r>
          </w:p>
        </w:tc>
        <w:tc>
          <w:tcPr>
            <w:tcW w:w="0" w:type="dxa"/>
            <w:vAlign w:val="bottom"/>
          </w:tcPr>
          <w:p>
            <w:pPr>
              <w:spacing w:after="0"/>
              <w:rPr>
                <w:sz w:val="1"/>
                <w:szCs w:val="1"/>
                <w:color w:val="auto"/>
              </w:rPr>
            </w:pPr>
          </w:p>
        </w:tc>
      </w:tr>
      <w:tr>
        <w:trPr>
          <w:trHeight w:val="196"/>
        </w:trPr>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Jonathan Maurer,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7,448,595</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2,480,253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2,523,439</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Scott Edelbach,</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6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David Unger,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2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1,861,986</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2019</w:t>
            </w: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620,009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1,963,832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2020</w:t>
            </w:r>
          </w:p>
        </w:tc>
        <w:tc>
          <w:tcPr>
            <w:tcW w:w="2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1,583,334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Parent Equity Awards vest ratably on each of the first five anniversaries of the Grant Date.</w:t>
      </w:r>
    </w:p>
    <w:p>
      <w:pPr>
        <w:spacing w:after="0" w:line="221"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Equity Awards entitle recipients to indirectly receive a percentage of the profits (“</w:t>
      </w:r>
      <w:r>
        <w:rPr>
          <w:rFonts w:ascii="Times New Roman" w:cs="Times New Roman" w:eastAsia="Times New Roman" w:hAnsi="Times New Roman"/>
          <w:sz w:val="18"/>
          <w:szCs w:val="18"/>
          <w:b w:val="1"/>
          <w:bCs w:val="1"/>
          <w:i w:val="1"/>
          <w:iCs w:val="1"/>
          <w:color w:val="auto"/>
        </w:rPr>
        <w:t>Profits Portion</w:t>
      </w:r>
      <w:r>
        <w:rPr>
          <w:rFonts w:ascii="Times New Roman" w:cs="Times New Roman" w:eastAsia="Times New Roman" w:hAnsi="Times New Roman"/>
          <w:sz w:val="18"/>
          <w:szCs w:val="18"/>
          <w:color w:val="auto"/>
        </w:rPr>
        <w:t>”) received by Fortistar from investment in Opco after the repayment of the capital contributed to Opco by Fortistar. This column represents, as of December 31, 2021, a percentage of Opco which is approximately equal to such Profits Portion.</w:t>
      </w:r>
    </w:p>
    <w:p>
      <w:pPr>
        <w:spacing w:after="0" w:line="17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Parent Equity Awards represents the value of the Profits Portion assuming that (i) all of the equity or assets or Opco was sold for fair market value on December 31, 2021, (ii) the proceeds of such sale were distributed to the equity holders of Opco (which, in turn distributed such amounts to their owners), and (iii) Fortistar received full repayment of its capital contributed to Opco.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none of the members of our board received any compensation for services as a director. As directors on our board post-Business Combination, we intend that all non-employee directors will be paid as members of our board, and, if applicable, as members of any committee of our board, certain annual retainers to be determined by our board.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non-employee members of our board will be paid in a combination of cash and equity awards. It is anticipated that each such director will be able to elect to receive up to 100% of their cash retainer in the form of equity awards. The cash and equity retainers would be paid on a quarterly basis.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member of our board is entitled to reimbursement for reasonable travel and other expenses incurred in connection with attending board meetings and meetings for any committee on which he or she 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a compensation committee. During the year ended December 31, 2021, Jon Mauer and Adam Comora, the co-CEOs of Opco, and following the consummation of the Business Combination, the co-CEOs of OPAL, participated in deliberations of our board concerning executive officer compensation.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number of shares of all classes of stock that OPAL has the authority to issue is 1,120,000,000 shares, consisting of:</w:t>
      </w:r>
    </w:p>
    <w:p>
      <w:pPr>
        <w:spacing w:after="0" w:line="225"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820,000,000 shares of Common Stock, par value of $0.0001 per share, divided into: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340,000,000 shares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B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C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160,000,000 shares of Class D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of OPAL Preferred Stock, par value $0.0001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2022, OPAL had 25,171,390 shares of Class A common stock issued and outstanding.</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A common stock is entitled to one vote for each share of Class A common stock held of record by such holder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 of any outstanding series of OPAL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 event will any stock dividend, stock split, reverse stock split, combination of stock, reclassification or recapitalization be declared or made on any series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 (as defined in the Second A&amp;R LLC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9" w:name="page110"/>
    <w:bookmarkEnd w:id="109"/>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2022, OPAL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B common stock will be entitled to one vote for each share of Class B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Dividends of cash or property may not be declared or paid on shares of Class B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Class B Units are issued pursuant to the Second A&amp;R LLC Agreement to any stockholder of OPAL other than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C common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OPAL did not have any shares of Class C common stock issued and outstanding. Shares of Class C common stock may be converted to shares of Class A common stock, as discussed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0" w:name="page111"/>
    <w:bookmarkEnd w:id="110"/>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C common stock will be entitled to five votes for each share of Class C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Stock Splits or Combinations. </w:t>
      </w:r>
      <w:r>
        <w:rPr>
          <w:rFonts w:ascii="Times New Roman" w:cs="Times New Roman" w:eastAsia="Times New Roman" w:hAnsi="Times New Roman"/>
          <w:sz w:val="18"/>
          <w:szCs w:val="18"/>
          <w:color w:val="auto"/>
        </w:rPr>
        <w:t>Subject to applicable law and the rights, if any, of the holders of outstanding series of OPAL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7" w:lineRule="exact"/>
        <w:rPr>
          <w:sz w:val="20"/>
          <w:szCs w:val="20"/>
          <w:color w:val="auto"/>
        </w:rPr>
      </w:pPr>
    </w:p>
    <w:p>
      <w:pPr>
        <w:jc w:val="both"/>
        <w:ind w:left="66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C common stock shall be convertible into one share of Class A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C common stock shall automatically, without any further action, convert into one share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upon a Transfer (as defined in the Charter), other than a Transfer to a Qualified Stockholder (as defined in the Charter).</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D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2022, OPAL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holder of Class D common stock will be entitled to five votes for each share of Class D common stock held of record by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spacing w:after="0" w:line="183" w:lineRule="exact"/>
        <w:rPr>
          <w:sz w:val="20"/>
          <w:szCs w:val="20"/>
          <w:color w:val="auto"/>
        </w:rPr>
      </w:pPr>
    </w:p>
    <w:p>
      <w:pPr>
        <w:ind w:left="340"/>
        <w:spacing w:after="0"/>
        <w:tabs>
          <w:tab w:leader="none" w:pos="3660" w:val="left"/>
        </w:tabs>
        <w:rPr>
          <w:sz w:val="20"/>
          <w:szCs w:val="20"/>
          <w:color w:val="auto"/>
        </w:rPr>
      </w:pPr>
      <w:r>
        <w:rPr>
          <w:rFonts w:ascii="Times New Roman" w:cs="Times New Roman" w:eastAsia="Times New Roman" w:hAnsi="Times New Roman"/>
          <w:sz w:val="18"/>
          <w:szCs w:val="18"/>
          <w:b w:val="1"/>
          <w:bCs w:val="1"/>
          <w:i w:val="1"/>
          <w:iCs w:val="1"/>
          <w:color w:val="auto"/>
        </w:rPr>
        <w:t>Dividends; Stock Splits and Combinations.</w:t>
      </w:r>
      <w:r>
        <w:rPr>
          <w:sz w:val="20"/>
          <w:szCs w:val="20"/>
          <w:color w:val="auto"/>
        </w:rPr>
        <w:tab/>
      </w:r>
      <w:r>
        <w:rPr>
          <w:rFonts w:ascii="Times New Roman" w:cs="Times New Roman" w:eastAsia="Times New Roman" w:hAnsi="Times New Roman"/>
          <w:sz w:val="17"/>
          <w:szCs w:val="17"/>
          <w:color w:val="auto"/>
        </w:rPr>
        <w:t>Dividends of cash or property may not be declared or paid on shares of Class D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in no event will any Stock Adjustment be declared or made on any series of Common Stock unless:</w:t>
      </w:r>
    </w:p>
    <w:p>
      <w:pPr>
        <w:spacing w:after="0" w:line="225" w:lineRule="exact"/>
        <w:rPr>
          <w:sz w:val="20"/>
          <w:szCs w:val="20"/>
          <w:color w:val="auto"/>
        </w:rPr>
      </w:pPr>
    </w:p>
    <w:p>
      <w:pPr>
        <w:ind w:left="660" w:right="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corresponding Stock Adjustment for all other series of Common Stock not so adjusted at the time outstanding is made in the same proportion and the same manner;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Adjustment has been reflected in the same economically equivalent manner on all Class A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dividends with respect to each class of Common Stock may only be paid with shares of stock of the same series of Common Stock.</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In the event of any voluntary or involuntary liquidation, dissolution or winding-up of the affairs of OPAL, after payment or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Subscription Rights. </w:t>
      </w:r>
      <w:r>
        <w:rPr>
          <w:rFonts w:ascii="Times New Roman" w:cs="Times New Roman" w:eastAsia="Times New Roman" w:hAnsi="Times New Roman"/>
          <w:sz w:val="18"/>
          <w:szCs w:val="18"/>
          <w:color w:val="auto"/>
        </w:rPr>
        <w:t>To the extent that Class B Units are issued pursuant to the Second A&amp;R LLC Agreement to any Qualified Stockholder,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7" w:lineRule="exact"/>
        <w:rPr>
          <w:sz w:val="20"/>
          <w:szCs w:val="20"/>
          <w:color w:val="auto"/>
        </w:rPr>
      </w:pPr>
    </w:p>
    <w:p>
      <w:pPr>
        <w:jc w:val="both"/>
        <w:ind w:left="660" w:hanging="328"/>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Voluntary Conversion</w:t>
      </w:r>
      <w:r>
        <w:rPr>
          <w:rFonts w:ascii="Times New Roman" w:cs="Times New Roman" w:eastAsia="Times New Roman" w:hAnsi="Times New Roman"/>
          <w:sz w:val="18"/>
          <w:szCs w:val="18"/>
          <w:color w:val="auto"/>
        </w:rPr>
        <w:t>. Each share of Class D common stock shall be convertible into one share of Class B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Conversion</w:t>
      </w:r>
      <w:r>
        <w:rPr>
          <w:rFonts w:ascii="Times New Roman" w:cs="Times New Roman" w:eastAsia="Times New Roman" w:hAnsi="Times New Roman"/>
          <w:sz w:val="18"/>
          <w:szCs w:val="18"/>
          <w:color w:val="auto"/>
        </w:rPr>
        <w:t>. Each share of Class D common stock shall automatically, without any further action, convert into one share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upon a Transfer, other than a Transfer to a Qualified Stockholder.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Cancellation of Class B common stock and Class D common stock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OPAL Preferred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of the Common Stock, the OPAL Preferred Stock or any future class or series of OPAL Preferred Stock or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OPAL Capital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it relates to Class A common stock, OPAL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it relates to Class B common stock, OPAL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it relates to Class C common stock, OPAL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the Organizational Documents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Action by Written Consent; Special Meeting of Stockholder. </w:t>
      </w:r>
      <w:r>
        <w:rPr>
          <w:rFonts w:ascii="Times New Roman" w:cs="Times New Roman" w:eastAsia="Times New Roman" w:hAnsi="Times New Roman"/>
          <w:sz w:val="18"/>
          <w:szCs w:val="18"/>
          <w:color w:val="auto"/>
        </w:rPr>
        <w:t>Subject to, with respect to the OPAL Preferred Stock, the terms of any series of OPAL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OPAL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of OPAL must be effected at a duly called annual or special meeting of the stockholders of OPAL and may not be effected by any consent in lieu of a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3" w:name="page114"/>
    <w:bookmarkEnd w:id="1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any special rights of the holders of any series of OPAL Preferred Stock and the requirements of applicable law, special meetings of stockholders of OPAL may be called only by the chairperson of our board, the vice chairperson of our board, the chief executive officer of OPAL or at the direction of our board pursuant to a written resolution adopted by a majority of the total number of directors of OPAL that OPAL would have if there were no vacancies, and the ability of the stockholders or any other Persons to call a special meeting of the stockholders is specifically denied.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and Removal of Directors. </w:t>
      </w:r>
      <w:r>
        <w:rPr>
          <w:rFonts w:ascii="Times New Roman" w:cs="Times New Roman" w:eastAsia="Times New Roman" w:hAnsi="Times New Roman"/>
          <w:sz w:val="18"/>
          <w:szCs w:val="18"/>
          <w:color w:val="auto"/>
        </w:rPr>
        <w:t>Subject to any limitations imposed by applicable law and except for additional directors of OPAL elected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Limitations on Stockholder 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also impose some procedural requirements on stockholders who wish to:</w:t>
      </w:r>
    </w:p>
    <w:p>
      <w:pPr>
        <w:spacing w:after="0" w:line="229"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meeting of stockholders.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spacing w:after="0" w:line="176"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each stockholder proposing business, as they appear in OPAL’s books;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stock of OPAL, directly or indirectly, held of record and beneficially by the Proponent or Stockholder Associated Person, as such terms are defined in the Bylaws;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all persons with whom the stockholder is acting in concert and a description of all arrangements and understandings with those persons;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or nomination to be brought before the meeting, the text of the proposal and the reasons for conducting such business at the meeting;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Proponent or Stockholder Associated Person in such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Bylaws also set out the timeliness requirements for delivery of such notice.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Organizational Documents provide indemnification for OPAL’s directors and officers to the fullest extent permitted by the DGCL.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 Agreements</w:t>
      </w:r>
      <w:r>
        <w:rPr>
          <w:rFonts w:ascii="Times New Roman" w:cs="Times New Roman" w:eastAsia="Times New Roman" w:hAnsi="Times New Roman"/>
          <w:sz w:val="18"/>
          <w:szCs w:val="18"/>
          <w:color w:val="auto"/>
        </w:rPr>
        <w:t>”) with each of its directors and executive officers pursuant to which, subject to certain exceptions, OPAL shall indemnify its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Pursuant to the Indemnification Agreements, in the event an officer or director who was or is a 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OPAL’s Bylaws and the DGCL. Furthermore, pursuant to the Indemnification Agreements, OPAL shall, subject to certain exception, at the request of an officer or director, advance all Expenses incurred by such officer or director prior to the final disposition of a Proceeding.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OPAL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OPAL;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the Charter or the By-laws of OPAL (including any right, obligation or remedy thereunder); (v) any action, suit or proceeding as to which the DGCL confers jurisdiction to the Court of Chancery of the State of Delaware; or (vi) any action asserting a claim against OPAL or any director, officer or other employee of OPAL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exclusive forum provisions of the Charter, is filed in a court other than a court located within the State of Delaware (a “</w:t>
      </w:r>
      <w:r>
        <w:rPr>
          <w:rFonts w:ascii="Times New Roman" w:cs="Times New Roman" w:eastAsia="Times New Roman" w:hAnsi="Times New Roman"/>
          <w:sz w:val="18"/>
          <w:szCs w:val="18"/>
          <w:b w:val="1"/>
          <w:bCs w:val="1"/>
          <w:i w:val="1"/>
          <w:iCs w:val="1"/>
          <w:color w:val="auto"/>
        </w:rPr>
        <w:t>Foreign Action</w:t>
      </w:r>
      <w:r>
        <w:rPr>
          <w:rFonts w:ascii="Times New Roman" w:cs="Times New Roman" w:eastAsia="Times New Roman" w:hAnsi="Times New Roman"/>
          <w:sz w:val="18"/>
          <w:szCs w:val="18"/>
          <w:color w:val="auto"/>
        </w:rPr>
        <w:t>”) in the name of any stockholder of OPAL, such stockholder shall be deemed to have consented to</w:t>
      </w:r>
    </w:p>
    <w:p>
      <w:pPr>
        <w:jc w:val="both"/>
        <w:ind w:firstLine="8"/>
        <w:spacing w:after="0" w:line="255" w:lineRule="auto"/>
        <w:tabs>
          <w:tab w:leader="none" w:pos="2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jurisdiction of the state and federal courts located within the State of Delaware in connection with any action brought in any such court to enforce the exclusive forum provisions of the Charter (an “</w:t>
      </w:r>
      <w:r>
        <w:rPr>
          <w:rFonts w:ascii="Times New Roman" w:cs="Times New Roman" w:eastAsia="Times New Roman" w:hAnsi="Times New Roman"/>
          <w:sz w:val="18"/>
          <w:szCs w:val="18"/>
          <w:b w:val="1"/>
          <w:bCs w:val="1"/>
          <w:i w:val="1"/>
          <w:iCs w:val="1"/>
          <w:color w:val="auto"/>
        </w:rPr>
        <w:t>Enforcement Action</w:t>
      </w:r>
      <w:r>
        <w:rPr>
          <w:rFonts w:ascii="Times New Roman" w:cs="Times New Roman" w:eastAsia="Times New Roman" w:hAnsi="Times New Roman"/>
          <w:sz w:val="18"/>
          <w:szCs w:val="18"/>
          <w:color w:val="auto"/>
        </w:rPr>
        <w:t>”) and (ii) having service of process made upon such stockholder in any such Enforcement Action by service upon such stockholder’s counsel in the Foreign Action as agent for such stockholder.</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person or entity purchasing, holding, owning or otherwise acquiring any interest in any security of OPAL shall be deemed to have notice of and to have consented to the exclusive forum provisions of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Registration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Investor Rights Agreement provides the OPAL Holders (as defined herein) with certain registration rights whereby, at any time, subject to certain lockup restrictions and the other terms and conditions of the Investor Rights Agreement, they will have the right to require us to register under the Securities Act certain Registrable Securities (as defined in the Investor Rights Agreement). The Investor Rights Agreement also provides for piggyback registration rights for certain other parties thereto, subject to certain conditions and exceptions.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—PIPE Investors—Investor Rights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OPAL whole warrant entitles the registered holder to purchase one share of Class A common stock at a price of $11.50 per share, subject to adjustment as discussed below, at any time commencing 30 days after the Closing, except as discussed in the immediately succeeding paragraph. Pursuant to the warrant agreement, a warrant holder may exercise its warrants only for a whole number of Class A common stock. This means only a whole warrant may be exercised at a given time by a warrant holder. The warrants will expire five years after the Closing, at 5:00 p.m., New York City time, or earlier upon redemption or liquidation.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5" w:name="page116"/>
    <w:bookmarkEnd w:id="115"/>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us satisfying our obligations described below with respect to registration, or a valid exemption from registration is available.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of the Business Combination, we will use our commercially reasonable efforts to file with the SEC a registration statement for the registration, under the Securities Act, of the shares of Class A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to those shares of Class A common stock until the warrants expire or are redeemed, as specified in the warrant agreement; provided that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Class A common stock issuable upon exercise of the warrants is not effective by the 60th day after the Closing of the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Class A common stock equal to the lesser of (A) the quotient obtained by dividing (x) the product of the number of shares of Class A common stock underlying the warrants, multiplied by the excess of the “fair market value”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8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share of Class A common stock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redeem the outstanding warrants:</w:t>
      </w:r>
    </w:p>
    <w:p>
      <w:pPr>
        <w:spacing w:after="0" w:line="159"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Class A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for any 20 trading days within a 30-trading day period ending three trading days before we send the notice of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warrant holders.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the last of the redemption criteria discussed above to prevent a redemption call unless there is at the time of the call a significant premium to the warrant exercise price.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we issue a notice of redemption of the warrants, each warrant holder will be entitled to exercise his, her or its warrant prior to the scheduled redemption date. However, the price of the shares of Class A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warrants when the price per Class A common stock equals or exceeds $10.00. </w:t>
      </w:r>
      <w:r>
        <w:rPr>
          <w:rFonts w:ascii="Times New Roman" w:cs="Times New Roman" w:eastAsia="Times New Roman" w:hAnsi="Times New Roman"/>
          <w:sz w:val="18"/>
          <w:szCs w:val="18"/>
          <w:color w:val="auto"/>
        </w:rPr>
        <w:t>Once the warrants become exercisable, we may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outstanding warrants:</w:t>
      </w:r>
    </w:p>
    <w:p>
      <w:pPr>
        <w:spacing w:after="0" w:line="159"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Class A common stock (as defined below) except as otherwise described below;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only if, the closing price of the shares of Class A common stock equals or exceeds $10.00 per public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 Warrants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 Anti-Dilution Adjustments</w:t>
      </w:r>
      <w:r>
        <w:rPr>
          <w:rFonts w:ascii="Times New Roman" w:cs="Times New Roman" w:eastAsia="Times New Roman" w:hAnsi="Times New Roman"/>
          <w:sz w:val="18"/>
          <w:szCs w:val="18"/>
          <w:color w:val="auto"/>
        </w:rPr>
        <w:t>”) for any 20 trading days within the 30-trading day period ending three trading days before we send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redemption to the warrant holders;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price of the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Warrants — Public Warrants — 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Warrants, as described above.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the Class A common stock on the corresponding redemption date (assuming holders elect to exercise their warrants and such warrants are not redeemed for $0.10 per warrant), determined for these purposes based on volume weighted average price of the shares of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below will be adjusted as of any date on which the number of shares of Class A common stock issuable upon exercise of a warrant or the exercise price of a warrant is adjusted as set forth under the heading “— </w:t>
      </w:r>
      <w:r>
        <w:rPr>
          <w:rFonts w:ascii="Times New Roman" w:cs="Times New Roman" w:eastAsia="Times New Roman" w:hAnsi="Times New Roman"/>
          <w:sz w:val="18"/>
          <w:szCs w:val="18"/>
          <w:i w:val="1"/>
          <w:iCs w:val="1"/>
          <w:color w:val="auto"/>
        </w:rPr>
        <w:t>Warrants — Public Warrants</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If the number of shares of Class A common stock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of Class A common stock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the adjusted share prices in the column headings will equal the unadjusted share price multiplied by a fraction, the numerator of which is the higher of the Market Value and the Newly Issued Price as set forth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and the denominator of which is $10.00 and (b) in the case of an adjustment pursuant to the second paragraph under the heading “— </w:t>
      </w:r>
      <w:r>
        <w:rPr>
          <w:rFonts w:ascii="Times New Roman" w:cs="Times New Roman" w:eastAsia="Times New Roman" w:hAnsi="Times New Roman"/>
          <w:sz w:val="18"/>
          <w:szCs w:val="18"/>
          <w:i w:val="1"/>
          <w:iCs w:val="1"/>
          <w:color w:val="auto"/>
        </w:rPr>
        <w:t>Warrants — 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share prices in the column headings will equal the unadjusted share price less the decrease in the exercise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warrant pursuant to such exercise price adjustment. As used herein, the term, “Market Value” means the volume weighted average trading price of the shares of Class A Common Stock during the 20 trading day period starting on the trading day prior to the Closing Date and the term, “Newly Issued Price” means an issue price or effective issue price of less than $9.20 per ordinary share (with such issue price or effective issue price to be determined in good faith by our Board and, in the case of any such issuance to our sponsor or its affiliates, without taking into account any founder shares held by our sponsor or such affiliates, as applicable, prior to such issuance.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700" w:type="dxa"/>
            <w:vAlign w:val="bottom"/>
            <w:tcBorders>
              <w:bottom w:val="single" w:sz="8" w:color="auto"/>
            </w:tcBorders>
            <w:gridSpan w:val="12"/>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Fair Market Value of shares of Class A common stock</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 to expiration of warrants)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$10.00</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w:t>
            </w:r>
          </w:p>
        </w:tc>
        <w:tc>
          <w:tcPr>
            <w:tcW w:w="1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12.00</w:t>
            </w: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13.00</w:t>
            </w: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17.00</w:t>
            </w: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18.00</w:t>
            </w:r>
          </w:p>
        </w:tc>
        <w:tc>
          <w:tcPr>
            <w:tcW w:w="20" w:type="dxa"/>
            <w:vAlign w:val="bottom"/>
          </w:tcPr>
          <w:p>
            <w:pPr>
              <w:spacing w:after="0"/>
              <w:rPr>
                <w:sz w:val="20"/>
                <w:szCs w:val="20"/>
                <w:color w:val="auto"/>
              </w:rPr>
            </w:pP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0.297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0.337</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0.358</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0.294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0.291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0.287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0.263</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0.283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0.258</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0.279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0.343</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0.274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0.246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0.269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0.290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0.340</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0.263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0.257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0.224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0.250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0.297</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0.316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0.242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0.350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0.204</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0.233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0.285</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0.308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0.193</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0.223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0.279</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0.304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0.242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0.271</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0.298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0.130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0.164</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0.197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0.262</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0.291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0.146</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0.181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0.216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0.250</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0.282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0.312</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0.090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0.162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0.199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0.305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0.336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0.137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0.296</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0.331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0.104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0.197</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0.286</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0.042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0.179</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0.233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0.281</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0.323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volume weighted average price of Class A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 of Class A common stock.</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redemption feature differs from the typical warrant redemption features used in some other blank check offerings, which only provide for a redemption of warrants for cash (other than the Private Placement Warrants) when the trading price for the shares of Class A common stock exceeds $18.00 per share for a specified period of time. This redemption feature is structured to allow for all of the outstanding warrants to be redeemed when the shares of Class A common stock are trading at or above $10.00 per public share, which may be at a time when the trading price of the shares of Class A common stock is below the exercise price of the warrants. We have established this redemption feature to provide us with the flexibility to redeem the warrants without the warrants having to reach the $18.00 per share threshold set forth above under “— </w:t>
      </w:r>
      <w:r>
        <w:rPr>
          <w:rFonts w:ascii="Times New Roman" w:cs="Times New Roman" w:eastAsia="Times New Roman" w:hAnsi="Times New Roman"/>
          <w:sz w:val="18"/>
          <w:szCs w:val="18"/>
          <w:i w:val="1"/>
          <w:iCs w:val="1"/>
          <w:color w:val="auto"/>
        </w:rPr>
        <w:t>Redemption of warrants when the price per share of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receive a number of shares for their warrants based on an option pricing model with a fixed volatility input.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8" w:name="page119"/>
    <w:bookmarkEnd w:id="11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shares of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Class A common stock are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such shares of Class A common stock were trading at a price higher than the exercise price of $11.50.</w:t>
      </w:r>
    </w:p>
    <w:p>
      <w:pPr>
        <w:spacing w:after="0" w:line="187"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 If, at the time of redemption, the warrants are exercisable for a security other than the shares of Class A common stock pursuant to the warrant agreement, the warrants may be exercised for such security. At such time as the warrants become exercisable for a security other than the shares of Class A common stock, OPAL (or surviving company) will use its commercially reasonable efforts to register, under the Securities Act, the security issuable upon the exercise of the warrants.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Class A common stock issued and outstanding immediately after giving effect to such exercise.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capitalization or share dividend paid in shares of Class A common stock to all or substantially all holders of Class A common stock, or by a split-up of shares of Class A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all or substantially all the holders of shares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of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us and Continental Stock Transfer &amp; Trust Company, as warrant agent.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or defective provision (ii) amending the provisions relating to cash dividends on ArcLight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65% of the then-outstanding public warrants is required to make any change that adversely affects the interests of the registered holders. You should review a copy of the warrant agreement, which is filed as an exhibit to this registration statement, for a complete description of the terms and conditions applicable to the warrants.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shares of Class A common stock and any voting rights until they exercise their warrants and receive shares of Class A common stock. After the issuance of Class A common stock upon exercise of the warrants, each holder will be entitled to one vote for each share held of record on all matters to be voted on by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Public Warrants. The Private Placement Warrants (including the shares of Class A common stock issuable upon exercise of the Private Placement Warrants) will not be transferable, assignable or salable for 30 days after the Closing, except pursuant to limited exceptions to our officers and directors and other persons or entities affiliated with the initial purchasers of the Private Placement Warrants, and they will not be redeemable by us, except as described above when the price per share of Class A common stock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us in all redemption scenarios and exercisable by the holders on the same basis as the Public Warrants.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Except as described above under “—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Redemption of warrants when the price per share of Class A common stock equals or exceeds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$10.00</w:t>
      </w:r>
      <w:r>
        <w:rPr>
          <w:rFonts w:ascii="Times New Roman" w:cs="Times New Roman" w:eastAsia="Times New Roman" w:hAnsi="Times New Roman"/>
          <w:sz w:val="18"/>
          <w:szCs w:val="18"/>
          <w:color w:val="auto"/>
        </w:rPr>
        <w:t>,” if holders of the Private Placement Warrants elect to exercise them on a cashless basis, they would pay the exercise price by surrendering his,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its warrants for that number of shares of Class A common stock equal to the quotient obtained by dividing (x) the product of the number of shares of Class A common stock underlying the warrants, multiplied by the excess of the “Sponsor fair market value” (as defined below) over the exercise price of the warrants by (y) the Sponsor fair market value. For these purposes, the “Sponsor fair market value” shall mean the average reported closing price of the shares of Class A common stock for the 10 trading days ending on the third trading day prior to the date on which the notice of warrant exercise is sent to the warrant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OPAL’s Common Stock and warrant agent for the Public Warrants and Private Placement Warrants is the Continental Transfer &amp; Trust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Class A common stock and Public Warrants are listed on Nasdaq under the symbols “OPAL” and “OPALW,”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our Class A common stock and Class D common stock by:</w:t>
      </w:r>
    </w:p>
    <w:p>
      <w:pPr>
        <w:spacing w:after="0" w:line="16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the outstanding shares of our Class A common stock or our Class D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warrants that are currently exercisable or exercisable within 60 days of the date of this prospectus are considered outstanding and beneficially owned by the person holding such warrants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the Company believes that each person listed above has sole voting and investment power with respect to such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beneficial ownership of Class A common stock is based on 25,671,390 shares of our Class A common stock issued and outstanding and 144,399,037 shares of our Class D common stock issued and outstanding as of September 16,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16"/>
        </w:trPr>
        <w:tc>
          <w:tcPr>
            <w:tcW w:w="4320" w:type="dxa"/>
            <w:vAlign w:val="bottom"/>
          </w:tcPr>
          <w:p>
            <w:pPr>
              <w:spacing w:after="0"/>
              <w:rPr>
                <w:sz w:val="18"/>
                <w:szCs w:val="18"/>
                <w:color w:val="auto"/>
              </w:rPr>
            </w:pPr>
          </w:p>
        </w:tc>
        <w:tc>
          <w:tcPr>
            <w:tcW w:w="14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of Class A</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of Class 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45"/>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Owners(1)</w:t>
            </w:r>
          </w:p>
        </w:tc>
        <w:tc>
          <w:tcPr>
            <w:tcW w:w="14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Power</w:t>
            </w:r>
          </w:p>
        </w:tc>
      </w:tr>
      <w:tr>
        <w:trPr>
          <w:trHeight w:val="21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Adam Comora</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Maurer</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Ann Anthony</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Unger</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Anthony Falbo</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Edelbach</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Hugh Donnell</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Coghlin</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Marco F. Gatti</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 Fogarty</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Betsy L. Battle</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Dols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Mark Comora(2)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Nadeem Nisar</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Ashok Vemuri</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directors and officers after as a group (15 persons)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4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Five Percent Holders: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Mark Comora(2)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880,600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144,399,037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ArcLight CTC Holdings II, L.P.(3)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16,877,101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LLC(4)</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3,059,533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Mendocino Capital, LLC(5)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Meteora Capital(6)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Electron(7)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Nyera II Limited(8)</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2,675,337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bl>
    <w:p>
      <w:pPr>
        <w:spacing w:after="0" w:line="183" w:lineRule="exact"/>
        <w:rPr>
          <w:sz w:val="20"/>
          <w:szCs w:val="20"/>
          <w:color w:val="auto"/>
        </w:rPr>
      </w:pPr>
    </w:p>
    <w:p>
      <w:pPr>
        <w:ind w:left="340" w:hanging="332"/>
        <w:spacing w:after="0" w:line="188" w:lineRule="auto"/>
        <w:tabs>
          <w:tab w:leader="none" w:pos="340" w:val="left"/>
        </w:tabs>
        <w:numPr>
          <w:ilvl w:val="0"/>
          <w:numId w:val="7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Unless otherwise noted, the business address of each of the directors and officers is One North Lexington Avenue,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White Plains, New York 10601.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jc w:val="both"/>
        <w:ind w:left="340" w:hanging="332"/>
        <w:spacing w:after="0" w:line="253"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LLC (“</w:t>
      </w:r>
      <w:r>
        <w:rPr>
          <w:rFonts w:ascii="Times New Roman" w:cs="Times New Roman" w:eastAsia="Times New Roman" w:hAnsi="Times New Roman"/>
          <w:sz w:val="18"/>
          <w:szCs w:val="18"/>
          <w:b w:val="1"/>
          <w:bCs w:val="1"/>
          <w:i w:val="1"/>
          <w:iCs w:val="1"/>
          <w:color w:val="auto"/>
        </w:rPr>
        <w:t>Fortistar</w:t>
      </w:r>
      <w:r>
        <w:rPr>
          <w:rFonts w:ascii="Times New Roman" w:cs="Times New Roman" w:eastAsia="Times New Roman" w:hAnsi="Times New Roman"/>
          <w:sz w:val="18"/>
          <w:szCs w:val="18"/>
          <w:color w:val="auto"/>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Transactions—Hillman Restructuring</w:t>
      </w:r>
      <w:r>
        <w:rPr>
          <w:rFonts w:ascii="Times New Roman" w:cs="Times New Roman" w:eastAsia="Times New Roman" w:hAnsi="Times New Roman"/>
          <w:sz w:val="18"/>
          <w:szCs w:val="18"/>
          <w:color w:val="auto"/>
        </w:rPr>
        <w:t>”. Shares of Class D common stock may be converted into shares of Class A common stock as further discussed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“Description of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Class D common stock.” The business address of each of Mr. Comora, OPAL Holdco, Hillman and Fortistar is One North Lexington Avenue, 14th Floor, White Plains, New York 10601.</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7,639,076 shares of Class A common stock held directly by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3,059,533 shares of Class A common stock. The business address of ARCC Beacon LLC is 245 Park Avenue, 43rd Floor New York, New York 10167.</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2,500,000 shares of Class A common stock. Mendocino Capital, LLC (“</w:t>
      </w:r>
      <w:r>
        <w:rPr>
          <w:rFonts w:ascii="Times New Roman" w:cs="Times New Roman" w:eastAsia="Times New Roman" w:hAnsi="Times New Roman"/>
          <w:sz w:val="18"/>
          <w:szCs w:val="18"/>
          <w:b w:val="1"/>
          <w:bCs w:val="1"/>
          <w:i w:val="1"/>
          <w:iCs w:val="1"/>
          <w:color w:val="auto"/>
        </w:rPr>
        <w:t>Mendocino</w:t>
      </w:r>
      <w:r>
        <w:rPr>
          <w:rFonts w:ascii="Times New Roman" w:cs="Times New Roman" w:eastAsia="Times New Roman" w:hAnsi="Times New Roman"/>
          <w:sz w:val="18"/>
          <w:szCs w:val="18"/>
          <w:color w:val="auto"/>
        </w:rPr>
        <w:t>”) is a subsidiary of NextEra Energy, Inc.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a publicly traded company. The business address of Mendocino and NextEra is 700 Universe Boulevard, Juno Beach, Florida 33408.</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414,600 shares of Class A common stock held by Meteora Special Opportunity Fund I, LP (“</w:t>
      </w:r>
      <w:r>
        <w:rPr>
          <w:rFonts w:ascii="Times New Roman" w:cs="Times New Roman" w:eastAsia="Times New Roman" w:hAnsi="Times New Roman"/>
          <w:sz w:val="18"/>
          <w:szCs w:val="18"/>
          <w:b w:val="1"/>
          <w:bCs w:val="1"/>
          <w:i w:val="1"/>
          <w:iCs w:val="1"/>
          <w:color w:val="auto"/>
        </w:rPr>
        <w:t>MSOF</w:t>
      </w:r>
      <w:r>
        <w:rPr>
          <w:rFonts w:ascii="Times New Roman" w:cs="Times New Roman" w:eastAsia="Times New Roman" w:hAnsi="Times New Roman"/>
          <w:sz w:val="18"/>
          <w:szCs w:val="18"/>
          <w:color w:val="auto"/>
        </w:rPr>
        <w:t>”), (ii) 477,600 shares of Class A common stock held by Meteora Select Trading Opportunities Master, LP (“</w:t>
      </w:r>
      <w:r>
        <w:rPr>
          <w:rFonts w:ascii="Times New Roman" w:cs="Times New Roman" w:eastAsia="Times New Roman" w:hAnsi="Times New Roman"/>
          <w:sz w:val="18"/>
          <w:szCs w:val="18"/>
          <w:b w:val="1"/>
          <w:bCs w:val="1"/>
          <w:i w:val="1"/>
          <w:iCs w:val="1"/>
          <w:color w:val="auto"/>
        </w:rPr>
        <w:t>MSTO</w:t>
      </w:r>
      <w:r>
        <w:rPr>
          <w:rFonts w:ascii="Times New Roman" w:cs="Times New Roman" w:eastAsia="Times New Roman" w:hAnsi="Times New Roman"/>
          <w:sz w:val="18"/>
          <w:szCs w:val="18"/>
          <w:color w:val="auto"/>
        </w:rPr>
        <w:t>”) and (iii) 1,107,800 shares of Class A common stock held by Meteora Capital Partners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serves as investment manager to MSOF, MSTO and MCP. Voting and investment power over the shares held by MSOF, MSTO and MCP resides with its investment manager,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Mr. Vik Mittal serves as the managing member of Meteora Capital and may be deemed to be the beneficial owner of the shares of Class A 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w:t>
      </w:r>
      <w:r>
        <w:rPr>
          <w:rFonts w:ascii="Times New Roman" w:cs="Times New Roman" w:eastAsia="Times New Roman" w:hAnsi="Times New Roman"/>
          <w:sz w:val="18"/>
          <w:szCs w:val="18"/>
          <w:b w:val="1"/>
          <w:bCs w:val="1"/>
          <w:i w:val="1"/>
          <w:iCs w:val="1"/>
          <w:color w:val="auto"/>
        </w:rPr>
        <w:t>BARS</w:t>
      </w:r>
      <w:r>
        <w:rPr>
          <w:rFonts w:ascii="Times New Roman" w:cs="Times New Roman" w:eastAsia="Times New Roman" w:hAnsi="Times New Roman"/>
          <w:sz w:val="18"/>
          <w:szCs w:val="18"/>
          <w:color w:val="auto"/>
        </w:rPr>
        <w:t>”)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1,323,114 shares of Class A common stock and (ii) 1,352,223 shares of Class A common stock underlying certain warrants that are exercisable within 60 days of the date of this prospectus, which are held by certain fund entities and managed accounts for which Encompass Capital Advisors, LLC (“</w:t>
      </w:r>
      <w:r>
        <w:rPr>
          <w:rFonts w:ascii="Times New Roman" w:cs="Times New Roman" w:eastAsia="Times New Roman" w:hAnsi="Times New Roman"/>
          <w:sz w:val="18"/>
          <w:szCs w:val="18"/>
          <w:b w:val="1"/>
          <w:bCs w:val="1"/>
          <w:i w:val="1"/>
          <w:iCs w:val="1"/>
          <w:color w:val="auto"/>
        </w:rPr>
        <w:t>Encompass</w:t>
      </w:r>
      <w:r>
        <w:rPr>
          <w:rFonts w:ascii="Times New Roman" w:cs="Times New Roman" w:eastAsia="Times New Roman" w:hAnsi="Times New Roman"/>
          <w:sz w:val="18"/>
          <w:szCs w:val="18"/>
          <w:color w:val="auto"/>
        </w:rPr>
        <w:t>”) exercises investment discretion. Todd Kantor, as the managing member of Encompass, may also be deemed to beneficially own such securities. Does not include an additional 633,013 shares of Class A common stock underlying certain warrants that are not exercisable within 60 days of the date of this prospectus. The exercise of the warrants are subject to ownership limitations so that the selling stockholder may not beneficially own in excess of 9.9% of the issued and outstanding Class A common stock of the Company. The business address of Encompass and Mr. Kantor is 200 Park Avenue, 11th Floor, New York, New York 10166.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Holders from time to time of up to 181,764,740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Held Prior to</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Registered for Sale</w:t>
            </w:r>
          </w:p>
        </w:tc>
        <w:tc>
          <w:tcPr>
            <w:tcW w:w="1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Held After</w:t>
            </w:r>
          </w:p>
        </w:tc>
      </w:tr>
      <w:tr>
        <w:trPr>
          <w:trHeight w:val="2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Holder</w:t>
            </w:r>
          </w:p>
        </w:tc>
        <w:tc>
          <w:tcPr>
            <w:tcW w:w="2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ARCC Beacon LLC (1)</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3,059,533</w:t>
            </w:r>
          </w:p>
        </w:tc>
        <w:tc>
          <w:tcPr>
            <w:tcW w:w="1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ArcLight CTC Holdings II, L.P. (2)</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Arno Harris (3)</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Goncher (4)</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R. Revers (2)</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16,877,101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Ja-Chin Audrey Lee (5)</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Berkenfeld (6)</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Mark Comora (7)</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145,279,637</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145,279,637</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Partners LP (8)</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Arosa Alternative Energy Fund LP (9)</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Arosa Opportunistic Fund LP (10)</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Dmitri Sinenko (11)</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Nyera II Limited (12)</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Goldman Master Fund (13)</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Mendocino Capital, LLC (14)</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Northbank Capital Management, LLC (15)</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Stearns, Conrad and Schmidt Consulting Engineers, Inc. (16)</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Trent Vichie (17)</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Encompass Capital Advisors (18)</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3,308,350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1,985,236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1,323,114</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Meteora Capital (19)</w:t>
            </w:r>
          </w:p>
        </w:tc>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2,000,000</w:t>
            </w:r>
          </w:p>
        </w:tc>
        <w:tc>
          <w:tcPr>
            <w:tcW w:w="2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2,000,000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Electron (20)</w:t>
            </w:r>
          </w:p>
        </w:tc>
        <w:tc>
          <w:tcPr>
            <w:tcW w:w="2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2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left="460" w:hanging="452"/>
        <w:spacing w:after="0" w:line="252"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3,059,533 shares of Class A common stock. ARCC Beacon LLC’s (“</w:t>
      </w:r>
      <w:r>
        <w:rPr>
          <w:rFonts w:ascii="Times New Roman" w:cs="Times New Roman" w:eastAsia="Times New Roman" w:hAnsi="Times New Roman"/>
          <w:sz w:val="18"/>
          <w:szCs w:val="18"/>
          <w:b w:val="1"/>
          <w:bCs w:val="1"/>
          <w:i w:val="1"/>
          <w:iCs w:val="1"/>
          <w:color w:val="auto"/>
        </w:rPr>
        <w:t>ARCC Beacon</w:t>
      </w:r>
      <w:r>
        <w:rPr>
          <w:rFonts w:ascii="Times New Roman" w:cs="Times New Roman" w:eastAsia="Times New Roman" w:hAnsi="Times New Roman"/>
          <w:sz w:val="18"/>
          <w:szCs w:val="18"/>
          <w:color w:val="auto"/>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 w:cs="Times New Roman" w:eastAsia="Times New Roman" w:hAnsi="Times New Roman"/>
          <w:sz w:val="18"/>
          <w:szCs w:val="18"/>
          <w:b w:val="1"/>
          <w:bCs w:val="1"/>
          <w:i w:val="1"/>
          <w:iCs w:val="1"/>
          <w:color w:val="auto"/>
        </w:rPr>
        <w:t>Ares Class B Common Stock</w:t>
      </w:r>
      <w:r>
        <w:rPr>
          <w:rFonts w:ascii="Times New Roman" w:cs="Times New Roman" w:eastAsia="Times New Roman" w:hAnsi="Times New Roman"/>
          <w:sz w:val="18"/>
          <w:szCs w:val="18"/>
          <w:color w:val="auto"/>
        </w:rPr>
        <w:t>”) and Ares Voting LLC is the sole holder of the Class C common stock, $0.01 par value per share, of Ares Management Corporation (the “</w:t>
      </w:r>
      <w:r>
        <w:rPr>
          <w:rFonts w:ascii="Times New Roman" w:cs="Times New Roman" w:eastAsia="Times New Roman" w:hAnsi="Times New Roman"/>
          <w:sz w:val="18"/>
          <w:szCs w:val="18"/>
          <w:b w:val="1"/>
          <w:bCs w:val="1"/>
          <w:i w:val="1"/>
          <w:iCs w:val="1"/>
          <w:color w:val="auto"/>
        </w:rPr>
        <w:t>Ares Class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Ares Management Corporation’s Certificate of Incorporation in effect as of the date of this filing, the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 w:cs="Times New Roman" w:eastAsia="Times New Roman" w:hAnsi="Times New Roman"/>
          <w:sz w:val="18"/>
          <w:szCs w:val="18"/>
          <w:b w:val="1"/>
          <w:bCs w:val="1"/>
          <w:i w:val="1"/>
          <w:iCs w:val="1"/>
          <w:color w:val="auto"/>
        </w:rPr>
        <w:t>Ares Board Members</w:t>
      </w:r>
      <w:r>
        <w:rPr>
          <w:rFonts w:ascii="Times New Roman" w:cs="Times New Roman" w:eastAsia="Times New Roman" w:hAnsi="Times New Roman"/>
          <w:sz w:val="18"/>
          <w:szCs w:val="18"/>
          <w:color w:val="auto"/>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jc w:val="both"/>
        <w:ind w:left="460" w:hanging="452"/>
        <w:spacing w:after="0" w:line="255"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7,639,076 shares of Class A common stock held directly by ArcLight CTC Holdings II, L.P.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(including, 763,907 of such shares subject to forfeiture as described in the section titled “The Business Combination — Related Agreements — Sponsor Letter Agreement” of the Proxy Statement/Prospectus beginning on page 118 thereof, which is incorporated herein by reference), (ii) 2,000,000 shares of Class A common stock issued to the Sponsor in connection with the PIPE Investment, and (iii) 7,238,025 shares of Class A common stock underlying certain warrants held by Sponsor that are exercisable within 60 days of the Closing Date.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p>
      <w:pPr>
        <w:spacing w:after="0" w:line="188"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Harris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Goncher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Ms. Lee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that may be deemed to be indirectly owned by this individual because of his or her ownership interest in the Sponsor. The business address of Sponsor and Mr. Berkenfeld is 200 Clarendon Street, 55th Floor, Boston, Massachusetts, 02116.</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Hillman Restructuring</w:t>
      </w:r>
      <w:r>
        <w:rPr>
          <w:rFonts w:ascii="Times New Roman" w:cs="Times New Roman" w:eastAsia="Times New Roman" w:hAnsi="Times New Roman"/>
          <w:sz w:val="18"/>
          <w:szCs w:val="18"/>
          <w:color w:val="auto"/>
        </w:rPr>
        <w:t>.” The business address of each of Mr. Comora, OPAL Holdco, Hillman and Fortistar is One North Lexington Avenue 14th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Floor, White Plains, New York 10601.</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jc w:val="both"/>
        <w:ind w:left="460" w:hanging="452"/>
        <w:spacing w:after="0" w:line="261"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p>
      <w:pPr>
        <w:spacing w:after="0" w:line="17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The address of the Selling Holder is 1614 Sul Ross Street, Houston, Texas 77006.</w:t>
      </w:r>
    </w:p>
    <w:p>
      <w:pPr>
        <w:spacing w:after="0" w:line="221" w:lineRule="exact"/>
        <w:rPr>
          <w:rFonts w:ascii="Times New Roman" w:cs="Times New Roman" w:eastAsia="Times New Roman" w:hAnsi="Times New Roman"/>
          <w:sz w:val="18"/>
          <w:szCs w:val="18"/>
          <w:color w:val="auto"/>
        </w:rPr>
      </w:pPr>
    </w:p>
    <w:p>
      <w:pPr>
        <w:jc w:val="both"/>
        <w:ind w:left="460" w:hanging="452"/>
        <w:spacing w:after="0" w:line="259"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1,500,000 shares of Class A common stock. Benjamin Wasem, Pantelitsa Georgiade and Vasiliki Papalli (the “</w:t>
      </w:r>
      <w:r>
        <w:rPr>
          <w:rFonts w:ascii="Times New Roman" w:cs="Times New Roman" w:eastAsia="Times New Roman" w:hAnsi="Times New Roman"/>
          <w:sz w:val="18"/>
          <w:szCs w:val="18"/>
          <w:b w:val="1"/>
          <w:bCs w:val="1"/>
          <w:i w:val="1"/>
          <w:iCs w:val="1"/>
          <w:color w:val="auto"/>
        </w:rPr>
        <w:t>Nyera Principals</w:t>
      </w:r>
      <w:r>
        <w:rPr>
          <w:rFonts w:ascii="Times New Roman" w:cs="Times New Roman" w:eastAsia="Times New Roman" w:hAnsi="Times New Roman"/>
          <w:sz w:val="18"/>
          <w:szCs w:val="18"/>
          <w:color w:val="auto"/>
        </w:rPr>
        <w:t>”) each has voting and investment discretion with respect to the securities held Nyera II Limited (“</w:t>
      </w:r>
      <w:r>
        <w:rPr>
          <w:rFonts w:ascii="Times New Roman" w:cs="Times New Roman" w:eastAsia="Times New Roman" w:hAnsi="Times New Roman"/>
          <w:sz w:val="18"/>
          <w:szCs w:val="18"/>
          <w:b w:val="1"/>
          <w:bCs w:val="1"/>
          <w:i w:val="1"/>
          <w:iCs w:val="1"/>
          <w:color w:val="auto"/>
        </w:rPr>
        <w:t>Nyera</w:t>
      </w:r>
      <w:r>
        <w:rPr>
          <w:rFonts w:ascii="Times New Roman" w:cs="Times New Roman" w:eastAsia="Times New Roman" w:hAnsi="Times New Roman"/>
          <w:sz w:val="18"/>
          <w:szCs w:val="18"/>
          <w:color w:val="auto"/>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J. Goldman Master Fund, L.P. (the “</w:t>
      </w:r>
      <w:r>
        <w:rPr>
          <w:rFonts w:ascii="Times New Roman" w:cs="Times New Roman" w:eastAsia="Times New Roman" w:hAnsi="Times New Roman"/>
          <w:sz w:val="18"/>
          <w:szCs w:val="18"/>
          <w:b w:val="1"/>
          <w:bCs w:val="1"/>
          <w:i w:val="1"/>
          <w:iCs w:val="1"/>
          <w:color w:val="auto"/>
        </w:rPr>
        <w:t>Master Fund</w:t>
      </w:r>
      <w:r>
        <w:rPr>
          <w:rFonts w:ascii="Times New Roman" w:cs="Times New Roman" w:eastAsia="Times New Roman" w:hAnsi="Times New Roman"/>
          <w:sz w:val="18"/>
          <w:szCs w:val="18"/>
          <w:color w:val="auto"/>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p>
      <w:pPr>
        <w:spacing w:after="0" w:line="182" w:lineRule="exact"/>
        <w:rPr>
          <w:rFonts w:ascii="Times New Roman" w:cs="Times New Roman" w:eastAsia="Times New Roman" w:hAnsi="Times New Roman"/>
          <w:sz w:val="18"/>
          <w:szCs w:val="18"/>
          <w:color w:val="auto"/>
        </w:rPr>
      </w:pPr>
    </w:p>
    <w:p>
      <w:pPr>
        <w:ind w:left="460" w:hanging="452"/>
        <w:spacing w:after="0" w:line="28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2,500,000 shares of Class A common stock. Mendocino Capital, LLC (“</w:t>
      </w:r>
      <w:r>
        <w:rPr>
          <w:rFonts w:ascii="Times New Roman" w:cs="Times New Roman" w:eastAsia="Times New Roman" w:hAnsi="Times New Roman"/>
          <w:sz w:val="18"/>
          <w:szCs w:val="18"/>
          <w:b w:val="1"/>
          <w:bCs w:val="1"/>
          <w:i w:val="1"/>
          <w:iCs w:val="1"/>
          <w:color w:val="auto"/>
        </w:rPr>
        <w:t>Mendocino</w:t>
      </w:r>
      <w:r>
        <w:rPr>
          <w:rFonts w:ascii="Times New Roman" w:cs="Times New Roman" w:eastAsia="Times New Roman" w:hAnsi="Times New Roman"/>
          <w:sz w:val="18"/>
          <w:szCs w:val="18"/>
          <w:color w:val="auto"/>
        </w:rPr>
        <w:t>”) is a subsidiary of NextEra Energy, Inc.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a publicly traded company. The business address of Mendocino and NextEra is 700 Universe Boulevard, Juno Beach, Florida 33408.</w:t>
      </w:r>
    </w:p>
    <w:p>
      <w:pPr>
        <w:spacing w:after="0" w:line="158"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Class A common stock. Bradford Seagraves is the Chief Investment Officer of Northbank Capital Management, LLC (“</w:t>
      </w:r>
      <w:r>
        <w:rPr>
          <w:rFonts w:ascii="Times New Roman" w:cs="Times New Roman" w:eastAsia="Times New Roman" w:hAnsi="Times New Roman"/>
          <w:sz w:val="18"/>
          <w:szCs w:val="18"/>
          <w:b w:val="1"/>
          <w:bCs w:val="1"/>
          <w:i w:val="1"/>
          <w:iCs w:val="1"/>
          <w:color w:val="auto"/>
        </w:rPr>
        <w:t>Northbank</w:t>
      </w:r>
      <w:r>
        <w:rPr>
          <w:rFonts w:ascii="Times New Roman" w:cs="Times New Roman" w:eastAsia="Times New Roman" w:hAnsi="Times New Roman"/>
          <w:sz w:val="18"/>
          <w:szCs w:val="18"/>
          <w:color w:val="auto"/>
        </w:rPr>
        <w:t>”), and may be deemed the beneficial owner of such shares. The business address of Northbank is 133 Southern Comfort Road, Ketchum, Idaho 83340.</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 shares of Class A common stock. Curtis Jang is the Chief Financial Officer of Stearns, Conrad and Schmidt Consulting Engineers, Inc.(“</w:t>
      </w:r>
      <w:r>
        <w:rPr>
          <w:rFonts w:ascii="Times New Roman" w:cs="Times New Roman" w:eastAsia="Times New Roman" w:hAnsi="Times New Roman"/>
          <w:sz w:val="18"/>
          <w:szCs w:val="18"/>
          <w:b w:val="1"/>
          <w:bCs w:val="1"/>
          <w:i w:val="1"/>
          <w:iCs w:val="1"/>
          <w:color w:val="auto"/>
        </w:rPr>
        <w:t>SCS Consulting</w:t>
      </w:r>
      <w:r>
        <w:rPr>
          <w:rFonts w:ascii="Times New Roman" w:cs="Times New Roman" w:eastAsia="Times New Roman" w:hAnsi="Times New Roman"/>
          <w:sz w:val="18"/>
          <w:szCs w:val="18"/>
          <w:color w:val="auto"/>
        </w:rPr>
        <w:t>”), and may be deemed the beneficial owner of such shares. The business address of SCS Consulting is 3900 Kilroy Airport Way, Suite 100, Long Beach, California 90806.</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200,000 shares of Class A common stock. The address of the Selling Holder is 2403 Hatley Dr., Austin Texas 78746.</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1,352,223 shares underlying warrants that are exercisable within 60 days of the date of this prospectus, and (ii) 633,013 shares underlying warrants that are not currently exercisable within 60 days of the date of this prospectus because such warrants are subject to ownership limitations so that the selling stockholder may not beneficially own in excess of 9.9% of the issued and outstanding Class A common stock of the Company.</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414,600 shares of Class A common stock held by Meteora Special Opportunity Fund I, LP (“</w:t>
      </w:r>
      <w:r>
        <w:rPr>
          <w:rFonts w:ascii="Times New Roman" w:cs="Times New Roman" w:eastAsia="Times New Roman" w:hAnsi="Times New Roman"/>
          <w:sz w:val="18"/>
          <w:szCs w:val="18"/>
          <w:b w:val="1"/>
          <w:bCs w:val="1"/>
          <w:i w:val="1"/>
          <w:iCs w:val="1"/>
          <w:color w:val="auto"/>
        </w:rPr>
        <w:t>MSOF</w:t>
      </w:r>
      <w:r>
        <w:rPr>
          <w:rFonts w:ascii="Times New Roman" w:cs="Times New Roman" w:eastAsia="Times New Roman" w:hAnsi="Times New Roman"/>
          <w:sz w:val="18"/>
          <w:szCs w:val="18"/>
          <w:color w:val="auto"/>
        </w:rPr>
        <w:t>”), (ii) 477,600 shares of Class A common stock held by Meteora Select Trading Opportunities Master, LP (“</w:t>
      </w:r>
      <w:r>
        <w:rPr>
          <w:rFonts w:ascii="Times New Roman" w:cs="Times New Roman" w:eastAsia="Times New Roman" w:hAnsi="Times New Roman"/>
          <w:sz w:val="18"/>
          <w:szCs w:val="18"/>
          <w:b w:val="1"/>
          <w:bCs w:val="1"/>
          <w:i w:val="1"/>
          <w:iCs w:val="1"/>
          <w:color w:val="auto"/>
        </w:rPr>
        <w:t>MSTO</w:t>
      </w:r>
      <w:r>
        <w:rPr>
          <w:rFonts w:ascii="Times New Roman" w:cs="Times New Roman" w:eastAsia="Times New Roman" w:hAnsi="Times New Roman"/>
          <w:sz w:val="18"/>
          <w:szCs w:val="18"/>
          <w:color w:val="auto"/>
        </w:rPr>
        <w:t>”) and (iii) 1,107,800 shares of Class A common stock held by Meteora Capital Partners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Meteora Capital, LLC (“</w:t>
      </w:r>
      <w:r>
        <w:rPr>
          <w:rFonts w:ascii="Times New Roman" w:cs="Times New Roman" w:eastAsia="Times New Roman" w:hAnsi="Times New Roman"/>
          <w:sz w:val="18"/>
          <w:szCs w:val="18"/>
          <w:b w:val="1"/>
          <w:bCs w:val="1"/>
          <w:i w:val="1"/>
          <w:iCs w:val="1"/>
          <w:color w:val="auto"/>
        </w:rPr>
        <w:t>Meteora Capital</w:t>
      </w:r>
      <w:r>
        <w:rPr>
          <w:rFonts w:ascii="Times New Roman" w:cs="Times New Roman" w:eastAsia="Times New Roman" w:hAnsi="Times New Roman"/>
          <w:sz w:val="18"/>
          <w:szCs w:val="18"/>
          <w:color w:val="auto"/>
        </w:rPr>
        <w:t>”) serves as investment manager to MSOF, MSTO and MCP. Voting and investment power over the shares held by MSOF, MSTO and MCP resides with its investment manager, Meteora Capital, LLC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Capital</w:t>
      </w:r>
      <w:r>
        <w:rPr>
          <w:rFonts w:ascii="Times New Roman" w:cs="Times New Roman" w:eastAsia="Times New Roman" w:hAnsi="Times New Roman"/>
          <w:sz w:val="18"/>
          <w:szCs w:val="18"/>
          <w:color w:val="auto"/>
        </w:rPr>
        <w:t>”). Mr. Vik Mittal serves as the managing member of Meteora Capital and may be deemed to be the beneficial owner of the shares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held by such entities. Mr. Mittal, however, disclaims any beneficial ownership of the shares held by such entities. The business address of each of MSOF, MSTO, MCP, Meteora Capital and Mr. Mittal is 840 Park Drive East, Boca Raton, Florida 33444.</w:t>
      </w:r>
    </w:p>
    <w:p>
      <w:pPr>
        <w:spacing w:after="0" w:line="183" w:lineRule="exact"/>
        <w:rPr>
          <w:sz w:val="20"/>
          <w:szCs w:val="20"/>
          <w:color w:val="auto"/>
        </w:rPr>
      </w:pPr>
    </w:p>
    <w:p>
      <w:pPr>
        <w:jc w:val="both"/>
        <w:ind w:left="460" w:hanging="459"/>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(20</w:t>
        <w:tab/>
        <w:t>Consists of (i) 1,060,088 shares of Class A common stock held by Electron Global Master Fund LP (“</w:t>
      </w:r>
      <w:r>
        <w:rPr>
          <w:rFonts w:ascii="Times New Roman" w:cs="Times New Roman" w:eastAsia="Times New Roman" w:hAnsi="Times New Roman"/>
          <w:sz w:val="18"/>
          <w:szCs w:val="18"/>
          <w:b w:val="1"/>
          <w:bCs w:val="1"/>
          <w:i w:val="1"/>
          <w:iCs w:val="1"/>
          <w:color w:val="auto"/>
        </w:rPr>
        <w:t>EGMF</w:t>
      </w:r>
      <w:r>
        <w:rPr>
          <w:rFonts w:ascii="Times New Roman" w:cs="Times New Roman" w:eastAsia="Times New Roman" w:hAnsi="Times New Roman"/>
          <w:sz w:val="18"/>
          <w:szCs w:val="18"/>
          <w:color w:val="auto"/>
        </w:rPr>
        <w:t>”), (ii) 695,913 shares of Class A common stock held by Electron Infrastructure Master Fund LP (“</w:t>
      </w:r>
      <w:r>
        <w:rPr>
          <w:rFonts w:ascii="Times New Roman" w:cs="Times New Roman" w:eastAsia="Times New Roman" w:hAnsi="Times New Roman"/>
          <w:sz w:val="18"/>
          <w:szCs w:val="18"/>
          <w:b w:val="1"/>
          <w:bCs w:val="1"/>
          <w:i w:val="1"/>
          <w:iCs w:val="1"/>
          <w:color w:val="auto"/>
        </w:rPr>
        <w:t>EIMF</w:t>
      </w:r>
      <w:r>
        <w:rPr>
          <w:rFonts w:ascii="Times New Roman" w:cs="Times New Roman" w:eastAsia="Times New Roman" w:hAnsi="Times New Roman"/>
          <w:sz w:val="18"/>
          <w:szCs w:val="18"/>
          <w:color w:val="auto"/>
        </w:rPr>
        <w:t>”), (iii) 30,628 shares of Class A common stock held by Boothbay Absolute Return Strategies, LP (“BARS”) and (iv) 13,371 shares of Class A common stock held by AGR Trading SPC-Series Segregated Portfolio (“</w:t>
      </w:r>
      <w:r>
        <w:rPr>
          <w:rFonts w:ascii="Times New Roman" w:cs="Times New Roman" w:eastAsia="Times New Roman" w:hAnsi="Times New Roman"/>
          <w:sz w:val="18"/>
          <w:szCs w:val="18"/>
          <w:b w:val="1"/>
          <w:bCs w:val="1"/>
          <w:i w:val="1"/>
          <w:iCs w:val="1"/>
          <w:color w:val="auto"/>
        </w:rPr>
        <w:t>AGR</w:t>
      </w:r>
      <w:r>
        <w:rPr>
          <w:rFonts w:ascii="Times New Roman" w:cs="Times New Roman" w:eastAsia="Times New Roman" w:hAnsi="Times New Roman"/>
          <w:sz w:val="18"/>
          <w:szCs w:val="18"/>
          <w:color w:val="auto"/>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Services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Opco has entered into a Master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Services Agreement</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Opco has entered into an Administrative Services Agreement with Fortistar Services 2 LLC (“</w:t>
      </w:r>
      <w:r>
        <w:rPr>
          <w:rFonts w:ascii="Times New Roman" w:cs="Times New Roman" w:eastAsia="Times New Roman" w:hAnsi="Times New Roman"/>
          <w:sz w:val="18"/>
          <w:szCs w:val="18"/>
          <w:b w:val="1"/>
          <w:bCs w:val="1"/>
          <w:i w:val="1"/>
          <w:iCs w:val="1"/>
          <w:color w:val="auto"/>
        </w:rPr>
        <w:t>FS2</w:t>
      </w:r>
      <w:r>
        <w:rPr>
          <w:rFonts w:ascii="Times New Roman" w:cs="Times New Roman" w:eastAsia="Times New Roman" w:hAnsi="Times New Roman"/>
          <w:sz w:val="18"/>
          <w:szCs w:val="18"/>
          <w:color w:val="auto"/>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w:t>
      </w:r>
    </w:p>
    <w:p>
      <w:pPr>
        <w:spacing w:after="0" w:line="6" w:lineRule="exact"/>
        <w:rPr>
          <w:sz w:val="20"/>
          <w:szCs w:val="20"/>
          <w:color w:val="auto"/>
        </w:rPr>
      </w:pPr>
    </w:p>
    <w:p>
      <w:pPr>
        <w:jc w:val="both"/>
        <w:ind w:firstLine="8"/>
        <w:spacing w:after="0" w:line="255" w:lineRule="auto"/>
        <w:tabs>
          <w:tab w:leader="none" w:pos="3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Hold Harmless Agreement</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Fortistar would be required to perform on behalf of Opco under the indemnification and hold harmless agreement existed as of the date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Flue Gas Offtake and Preferred Partner Agreement</w:t>
      </w:r>
    </w:p>
    <w:p>
      <w:pPr>
        <w:spacing w:after="0" w:line="22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Opco has entered into an agreement with CarbonFree Chemical Holdings, LLC (“</w:t>
      </w:r>
      <w:r>
        <w:rPr>
          <w:rFonts w:ascii="Times New Roman" w:cs="Times New Roman" w:eastAsia="Times New Roman" w:hAnsi="Times New Roman"/>
          <w:sz w:val="18"/>
          <w:szCs w:val="18"/>
          <w:b w:val="1"/>
          <w:bCs w:val="1"/>
          <w:i w:val="1"/>
          <w:iCs w:val="1"/>
          <w:color w:val="auto"/>
        </w:rPr>
        <w:t>CarbonFree</w:t>
      </w:r>
      <w:r>
        <w:rPr>
          <w:rFonts w:ascii="Times New Roman" w:cs="Times New Roman" w:eastAsia="Times New Roman" w:hAnsi="Times New Roman"/>
          <w:sz w:val="18"/>
          <w:szCs w:val="18"/>
          <w:color w:val="auto"/>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from the flue gases produced by the adjacent Opco RNG production facility, transforming it into solid carbonate materials.</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Hillman Restructuring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11, 2020, Hillman, Hillman Power Company LLC (“</w:t>
      </w:r>
      <w:r>
        <w:rPr>
          <w:rFonts w:ascii="Times New Roman" w:cs="Times New Roman" w:eastAsia="Times New Roman" w:hAnsi="Times New Roman"/>
          <w:sz w:val="18"/>
          <w:szCs w:val="18"/>
          <w:b w:val="1"/>
          <w:bCs w:val="1"/>
          <w:i w:val="1"/>
          <w:iCs w:val="1"/>
          <w:color w:val="auto"/>
        </w:rPr>
        <w:t>Hillman Power</w:t>
      </w:r>
      <w:r>
        <w:rPr>
          <w:rFonts w:ascii="Times New Roman" w:cs="Times New Roman" w:eastAsia="Times New Roman" w:hAnsi="Times New Roman"/>
          <w:sz w:val="18"/>
          <w:szCs w:val="18"/>
          <w:color w:val="auto"/>
        </w:rPr>
        <w:t>”), and Customers Bank, among others, entered into a Loan and Guaranty Agreement (the “</w:t>
      </w:r>
      <w:r>
        <w:rPr>
          <w:rFonts w:ascii="Times New Roman" w:cs="Times New Roman" w:eastAsia="Times New Roman" w:hAnsi="Times New Roman"/>
          <w:sz w:val="18"/>
          <w:szCs w:val="18"/>
          <w:b w:val="1"/>
          <w:bCs w:val="1"/>
          <w:i w:val="1"/>
          <w:iCs w:val="1"/>
          <w:color w:val="auto"/>
        </w:rPr>
        <w:t>Customers Loan Agreement</w:t>
      </w:r>
      <w:r>
        <w:rPr>
          <w:rFonts w:ascii="Times New Roman" w:cs="Times New Roman" w:eastAsia="Times New Roman" w:hAnsi="Times New Roman"/>
          <w:sz w:val="18"/>
          <w:szCs w:val="18"/>
          <w:color w:val="auto"/>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8" w:name="page129"/>
    <w:bookmarkEnd w:id="12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 w:cs="Times New Roman" w:eastAsia="Times New Roman" w:hAnsi="Times New Roman"/>
          <w:sz w:val="18"/>
          <w:szCs w:val="18"/>
          <w:b w:val="1"/>
          <w:bCs w:val="1"/>
          <w:i w:val="1"/>
          <w:iCs w:val="1"/>
          <w:color w:val="auto"/>
        </w:rPr>
        <w:t>Pledged Membership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Opco and Hillman entered into an Exchange Agreement pursuant to which Hillman transferred the Pledged Membership Interests in exchange for the issuance of equity ownership interests in Opco (collectively, the “</w:t>
      </w:r>
      <w:r>
        <w:rPr>
          <w:rFonts w:ascii="Times New Roman" w:cs="Times New Roman" w:eastAsia="Times New Roman" w:hAnsi="Times New Roman"/>
          <w:sz w:val="18"/>
          <w:szCs w:val="18"/>
          <w:b w:val="1"/>
          <w:bCs w:val="1"/>
          <w:i w:val="1"/>
          <w:iCs w:val="1"/>
          <w:color w:val="auto"/>
        </w:rPr>
        <w:t>OPAL Fuels Membership Interests</w:t>
      </w:r>
      <w:r>
        <w:rPr>
          <w:rFonts w:ascii="Times New Roman" w:cs="Times New Roman" w:eastAsia="Times New Roman" w:hAnsi="Times New Roman"/>
          <w:sz w:val="18"/>
          <w:szCs w:val="18"/>
          <w:color w:val="auto"/>
        </w:rPr>
        <w:t>”)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Hillman Power, Hillman and Customers Bank entered into a Limited Consent and First Amendment to Loan and Guaranty Agreement (the “</w:t>
      </w:r>
      <w:r>
        <w:rPr>
          <w:rFonts w:ascii="Times New Roman" w:cs="Times New Roman" w:eastAsia="Times New Roman" w:hAnsi="Times New Roman"/>
          <w:sz w:val="18"/>
          <w:szCs w:val="18"/>
          <w:b w:val="1"/>
          <w:bCs w:val="1"/>
          <w:i w:val="1"/>
          <w:iCs w:val="1"/>
          <w:color w:val="auto"/>
        </w:rPr>
        <w:t>Limited Consent</w:t>
      </w:r>
      <w:r>
        <w:rPr>
          <w:rFonts w:ascii="Times New Roman" w:cs="Times New Roman" w:eastAsia="Times New Roman" w:hAnsi="Times New Roman"/>
          <w:sz w:val="18"/>
          <w:szCs w:val="18"/>
          <w:color w:val="auto"/>
        </w:rPr>
        <w:t>”) pursuant to which Customers Bank consented to the Exchange, amended the Customers Loan Agreement and released its security interest in the Pledged Membership Interests (the “</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Reorganization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 w:cs="Times New Roman" w:eastAsia="Times New Roman" w:hAnsi="Times New Roman"/>
          <w:sz w:val="18"/>
          <w:szCs w:val="18"/>
          <w:b w:val="1"/>
          <w:bCs w:val="1"/>
          <w:i w:val="1"/>
          <w:iCs w:val="1"/>
          <w:color w:val="auto"/>
        </w:rPr>
        <w:t>Opco Reorganized Entities</w:t>
      </w:r>
      <w:r>
        <w:rPr>
          <w:rFonts w:ascii="Times New Roman" w:cs="Times New Roman" w:eastAsia="Times New Roman" w:hAnsi="Times New Roman"/>
          <w:sz w:val="18"/>
          <w:szCs w:val="18"/>
          <w:color w:val="auto"/>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 w:cs="Times New Roman" w:eastAsia="Times New Roman" w:hAnsi="Times New Roman"/>
          <w:sz w:val="18"/>
          <w:szCs w:val="18"/>
          <w:b w:val="1"/>
          <w:bCs w:val="1"/>
          <w:i w:val="1"/>
          <w:iCs w:val="1"/>
          <w:color w:val="auto"/>
        </w:rPr>
        <w:t>Opco Fuels Reorganization</w:t>
      </w:r>
      <w:r>
        <w:rPr>
          <w:rFonts w:ascii="Times New Roman" w:cs="Times New Roman" w:eastAsia="Times New Roman" w:hAnsi="Times New Roman"/>
          <w:sz w:val="18"/>
          <w:szCs w:val="18"/>
          <w:color w:val="auto"/>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PIPE Investors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At the Closing, Opco, Ares, Hillman and the Class B Shareholders (collectively the “</w:t>
      </w:r>
      <w:r>
        <w:rPr>
          <w:rFonts w:ascii="Times New Roman" w:cs="Times New Roman" w:eastAsia="Times New Roman" w:hAnsi="Times New Roman"/>
          <w:sz w:val="18"/>
          <w:szCs w:val="18"/>
          <w:b w:val="1"/>
          <w:bCs w:val="1"/>
          <w:i w:val="1"/>
          <w:iCs w:val="1"/>
          <w:color w:val="auto"/>
        </w:rPr>
        <w:t>OPAL Holders</w:t>
      </w:r>
      <w:r>
        <w:rPr>
          <w:rFonts w:ascii="Times New Roman" w:cs="Times New Roman" w:eastAsia="Times New Roman" w:hAnsi="Times New Roman"/>
          <w:sz w:val="18"/>
          <w:szCs w:val="18"/>
          <w:color w:val="auto"/>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range from approximately $316 million to approximately $356.0 million depending on Opco’s rate of recovery of the tax basis increases associated with the deemed exchange of the Opco Common Units (other than those held by us). This estimated TRA lump-sum payment is calculated using a discount rate equal to 3.58%, applied against an undiscounted liability of approximately $432.0 million. If the TRA Participants were to exchange all of their Opco Common Units, OPAL would recognize a deferred tax asset of approximately $508.0 million and a related liability for payments under the Tax Receivable Agreement of approximately $432.0 million, assuming (i) that the TRA Participants redeemed or exchanged all of their Opco Common Units on the Closing Date; (ii) a price of $10.00 per share; (iii) a constant combined effective income tax rate of 26.47%; (iv) we will have sufficient taxable income in each year to realize the tax benefits that are subject to the Tax Receivable Agreement;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pacing w:after="0" w:line="19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w:t>
      </w:r>
      <w:r>
        <w:rPr>
          <w:rFonts w:ascii="Times New Roman" w:cs="Times New Roman" w:eastAsia="Times New Roman" w:hAnsi="Times New Roman"/>
          <w:sz w:val="18"/>
          <w:szCs w:val="18"/>
          <w:b w:val="1"/>
          <w:bCs w:val="1"/>
          <w:i w:val="1"/>
          <w:iCs w:val="1"/>
          <w:color w:val="auto"/>
        </w:rPr>
        <w:t>ASC 740</w:t>
      </w:r>
      <w:r>
        <w:rPr>
          <w:rFonts w:ascii="Times New Roman" w:cs="Times New Roman" w:eastAsia="Times New Roman" w:hAnsi="Times New Roman"/>
          <w:sz w:val="18"/>
          <w:szCs w:val="18"/>
          <w:color w:val="auto"/>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July 21, 2022, OPAL entered into certain Indemnification Agreements (“</w:t>
      </w:r>
      <w:r>
        <w:rPr>
          <w:rFonts w:ascii="Times New Roman" w:cs="Times New Roman" w:eastAsia="Times New Roman" w:hAnsi="Times New Roman"/>
          <w:sz w:val="18"/>
          <w:szCs w:val="18"/>
          <w:b w:val="1"/>
          <w:bCs w:val="1"/>
          <w:i w:val="1"/>
          <w:iCs w:val="1"/>
          <w:color w:val="auto"/>
        </w:rPr>
        <w:t>Indemnification Agreements</w:t>
      </w:r>
      <w:r>
        <w:rPr>
          <w:rFonts w:ascii="Times New Roman" w:cs="Times New Roman" w:eastAsia="Times New Roman" w:hAnsi="Times New Roman"/>
          <w:sz w:val="18"/>
          <w:szCs w:val="18"/>
          <w:color w:val="auto"/>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Letter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Class A common stock and warrants, which we refer to collectively as our securities. This discussion is limited to certain U.S. federal income tax considerations to beneficial owners of our securities that will hold our securities as capital assets within the meaning of Section 1221 of the U.S.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This discussion assumes that any distributions made by us on our securities and any consideration received by a holder in consideration for the sale or other disposition of our securities will be in U.S. dollars.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or warrants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Class A common stock or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or warrants as part of a “straddle,” constructive sale, hedge,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entities or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other corporations that accumulate earnings to avoid U.S. federal income tax.</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pass-through entity for U.S. federal income tax purposes) holds our securities,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securities, you are urged to consult your own tax advisor regarding the tax consequences of the acquisition, ownership and disposition of our securities.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CLASS A COMMON STOCK OR WARRANTS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Class A common stock or warrants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Taxation of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expect to pay any distributions on our Class A common stock in the foreseeable future. If we pay distributions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Holders—Gain or Loss on Sale, Taxable Exchange or Other Taxable Disposition of Class A Common Stock</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or Loss on Sale, Taxable Exchange or Other Taxable Disposition of Class A Common Stock. </w:t>
      </w:r>
      <w:r>
        <w:rPr>
          <w:rFonts w:ascii="Times New Roman" w:cs="Times New Roman" w:eastAsia="Times New Roman" w:hAnsi="Times New Roman"/>
          <w:sz w:val="18"/>
          <w:szCs w:val="18"/>
          <w:color w:val="auto"/>
        </w:rPr>
        <w:t>Upon a sale or other taxable disposition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Except as discussed below with respect to the cashless exercise of a warrant, a U.S. holder generally will not recognize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or loss on the acquisition of our Class A common stock upon exercise of a warrant for cash. The U.S. holder’s tax basis in the share of our Class A common stock received upon exercise of the warrant generally will be an amount equal to the sum of the U.S. holder’s adjusted tax basis in the warrant and the exercise price of such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8"/>
          <w:szCs w:val="18"/>
          <w:i w:val="1"/>
          <w:iCs w:val="1"/>
          <w:color w:val="auto"/>
        </w:rPr>
        <w:t>U.S. Holders—Possible Constructive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It is unclear whether the U.S. holder’s holding period for the Class A common stock received upon exercise of the warrants will begin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following the date of exercise or on the date of exercise of the warrants; in either case, the holding period will not include the period during which the U.S. holder held the warrants.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case, a U.S. holder’s initial tax basis in the Class A common stock received would equal the holder’s basis in the warrants exercised therefor. If the cashless exercise were not treated as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Although not free from doubt, in such a case the U.S. holder would generally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as to which, if any, of the alternative tax consequences and holding periods described above would be adopted by the IRS or a court of law. Accordingly, U.S. holders are urged to consult with their own tax advisors regarding the tax consequences of a cashless exercise of our warrants.</w:t>
      </w:r>
    </w:p>
    <w:p>
      <w:pPr>
        <w:spacing w:after="0" w:line="17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 sale, exchange (other than by exercise), redemption (other than a redemption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common stock), or expiration of a warrant, a U.S. holder will generally recognize taxable gain or loss in an amount equal to the difference between</w:t>
      </w:r>
    </w:p>
    <w:p>
      <w:pPr>
        <w:spacing w:after="0" w:line="1" w:lineRule="exact"/>
        <w:rPr>
          <w:sz w:val="20"/>
          <w:szCs w:val="20"/>
          <w:color w:val="auto"/>
        </w:rPr>
      </w:pPr>
    </w:p>
    <w:p>
      <w:pPr>
        <w:jc w:val="both"/>
        <w:ind w:firstLine="8"/>
        <w:spacing w:after="0" w:line="252" w:lineRule="auto"/>
        <w:tabs>
          <w:tab w:leader="none" w:pos="2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realized upon such disposition or expiration and (ii) the U.S. holder’s adjusted tax basis in the warrant. Such gain or loss will generally be treated as long-term capital gain or loss if the warrant has been held by the U.S. holder for more than one year at the time of such disposition or expiration. If a warrant is allowed to lapse unexercised, a U.S. holder generally will recognize a capital loss equal to such holder’s tax basis in the warrant. As discussed above, where a warrant was originally acquired as part of an investment unit with shares of Class A common stock, the acquisition cost for the warrant and the share of Class A common stock that were part of such investment unit would equal an allocable portion of the acquisition cost of the entire investment unit (with such allocable portion based on the relative fair market values of the components of the investment unit at the time of acquisition). The deductibility of capital losses is subject to certain limitations.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 redemption of warrants for Class A common stock described in the section of this registration statement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is expected to treated as a tax-free recapitalization for U.S. federal income tax purposes. Accordingly, a U.S. holder should not recognize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or loss on the redemption of warrants for Class A common stock. A U.S. holder’s aggregate tax basis in the Class A common stock received in the redemption should equal the U.S. holder’s aggregate tax basis in the warrants redeemed and the holding period for the Class A common stock received in redemption of the warrants should include the U.S.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a U.S. holder is urged to consult its tax advisor regarding the tax consequences of a redemption of warrants for shares of Class A common stock.</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Class A common stock for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warrant may be exercised or to the exercise price of the warrant in certain events, as discussed in the section of this registration statement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xml:space="preserve"> An adjustment which has the effect of preventing dilution generally is not taxable. The U.S. holders of the warrants would, however, be treated as receiving a constructive distribution from us in the case of certain adjustments. For example, a constructive distribution would generally result where the adjustment to the number of such shares or to such exercise price increases the warrantholders’ proportionate interest in our assets or earnings and profits (e.g., through an increase in the number of shares of Class A common stock that would be obtained upon exercise or through a decrease in the exercise price of the warrant) in connection with a taxable distribution of cash or other property to the holders of shares of our Class A common stock or an issuance of a taxable stock dividend to holders of our Class A common stock. Such constructive distribution would be subject to tax as described under “</w:t>
      </w:r>
      <w:r>
        <w:rPr>
          <w:rFonts w:ascii="Times New Roman" w:cs="Times New Roman" w:eastAsia="Times New Roman" w:hAnsi="Times New Roman"/>
          <w:sz w:val="18"/>
          <w:szCs w:val="18"/>
          <w:i w:val="1"/>
          <w:iCs w:val="1"/>
          <w:color w:val="auto"/>
        </w:rPr>
        <w:t>U.S. Holders—Taxation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 such increased interest.</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information reporting requirements may apply to dividends paid to a U.S. holder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U.S. federal income tax liability and may entitle such holder to a refund, provided the required information is timely furnished to the IRS.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Class A common stock or warrants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Class A common stock or warrants. If you are such an individual, you should consult your own tax advisor regarding the U.S. federal income tax consequences of the acquisition, ownership or sale or other disposition of our securities.</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Taxation of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any distributions (other than certain distributions of our stock and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Class A Common Stock and Warrants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5" w:name="page136"/>
    <w:bookmarkEnd w:id="13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a Warrant. </w:t>
      </w: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of a Warrant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Holders—Sale, Exchange, Redemption or Expiration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Class A Common Stock and Warrants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Redemption of Warrants for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federal income tax treatment for a non-U.S. holder of a redemption of warrants for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 described in the section of this registration statement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xml:space="preserve"> will correspond to the U.S. federal income tax treatment for a U.S. holder of a redemption of warrants for common stock, as described above in “</w:t>
      </w:r>
      <w:r>
        <w:rPr>
          <w:rFonts w:ascii="Times New Roman" w:cs="Times New Roman" w:eastAsia="Times New Roman" w:hAnsi="Times New Roman"/>
          <w:sz w:val="18"/>
          <w:szCs w:val="18"/>
          <w:i w:val="1"/>
          <w:iCs w:val="1"/>
          <w:color w:val="auto"/>
        </w:rPr>
        <w:t>U.S. Holders—Sale, Exchange, Redemption,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Expiration of a Warrant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Class A Common Stock and 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non-U.S. holder generally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U.S. federal income or withholding tax in respect of gain recognized on a sale, taxable exchange or other taxable disposition of our Class A common stock or an expiration or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If we are or have been a “United States real property holding corporation” and you own warrants, you are urged to consult your own tax advisor regarding the application of these rules.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from such holder may be required to 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Possible Constructive Distributions. </w:t>
      </w:r>
      <w:r>
        <w:rPr>
          <w:rFonts w:ascii="Times New Roman" w:cs="Times New Roman" w:eastAsia="Times New Roman" w:hAnsi="Times New Roman"/>
          <w:sz w:val="18"/>
          <w:szCs w:val="18"/>
          <w:color w:val="auto"/>
        </w:rPr>
        <w:t>An adjustment to the number of shares of Class A common stock for which a warrant may be exercised 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of a warrant may result in a constructive distribution from us to a non-U.S. holder of such warrant in the same manner as described above under “</w:t>
      </w:r>
      <w:r>
        <w:rPr>
          <w:rFonts w:ascii="Times New Roman" w:cs="Times New Roman" w:eastAsia="Times New Roman" w:hAnsi="Times New Roman"/>
          <w:sz w:val="18"/>
          <w:szCs w:val="18"/>
          <w:i w:val="1"/>
          <w:iCs w:val="1"/>
          <w:color w:val="auto"/>
        </w:rPr>
        <w:t>U.S. Holders—Possible Constructive Distributions</w:t>
      </w:r>
      <w:r>
        <w:rPr>
          <w:rFonts w:ascii="Times New Roman" w:cs="Times New Roman" w:eastAsia="Times New Roman" w:hAnsi="Times New Roman"/>
          <w:sz w:val="18"/>
          <w:szCs w:val="18"/>
          <w:color w:val="auto"/>
        </w:rPr>
        <w:t>.” Any such constructive distribution received by a non-U.S. holder would be subject to U.S. federal income tax (including any applicable withholding) in the same manner as described above under “</w:t>
      </w:r>
      <w:r>
        <w:rPr>
          <w:rFonts w:ascii="Times New Roman" w:cs="Times New Roman" w:eastAsia="Times New Roman" w:hAnsi="Times New Roman"/>
          <w:sz w:val="18"/>
          <w:szCs w:val="18"/>
          <w:i w:val="1"/>
          <w:iCs w:val="1"/>
          <w:color w:val="auto"/>
        </w:rPr>
        <w:t>Non-U.S. Holders—Taxation of Distributions</w:t>
      </w:r>
      <w:r>
        <w:rPr>
          <w:rFonts w:ascii="Times New Roman" w:cs="Times New Roman" w:eastAsia="Times New Roman" w:hAnsi="Times New Roman"/>
          <w:sz w:val="18"/>
          <w:szCs w:val="18"/>
          <w:color w:val="auto"/>
        </w:rPr>
        <w:t>” as if such non-U.S. holder received a cash distribution from us equal to the fair market value of such increased interest without any corresponding receipt of cash. Any resulting withholding tax may be withheld from future cash distributions.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returns will be filed with the IRS in connection with payments of dividends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a sale or other disposition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commonly referred to as “FATCA” impose withholding of 30% on payments of dividends (including constructive dividends)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registering the possible resale by the Selling Holders of up to 181,764,740 shares of Class A common stock.</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Holders. The aggregate proceeds to the Selling Holders will be the purchase price of the securities less any discounts and commissions borne by the Selling Holders.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8" w:name="page139"/>
    <w:bookmarkEnd w:id="138"/>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distributions by any Selling Holder or its affiliates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spacing w:after="0" w:line="176"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Holders.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9" w:name="page140"/>
    <w:bookmarkEnd w:id="13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 and our public warrants are currently listed on Nasdaq under the symbol “OPALW.”</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spacing w:after="0" w:line="15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0" w:name="page141"/>
    <w:bookmarkEnd w:id="14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Holders, or perform services for us or the Selling Holders, in the ordinary course of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Sheppard, Mullin, Richter &amp; Hampton LLP will pass upon the validity of the Class A common stock offered by this prospectus and certain other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ArcLight Clean Transition Corp. II as of December 31, 2021, and for the period from January 13, 2021 (inception) through December 31, 2021, included in this prospectus and Registration Statement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OPAL Fuels LLC as of and for the years ended December 31, 2021, 2020 and 2019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Beacon RNG LLC as of April 30, 2021, December 31, 2020 and December 31, 2019 and for the period ended April 30, 2021, and for the year ended December 31, 2021 and for the period from March 11, 2019 (Inception) through December 31, 2019 included in this prospectus and Registration Statement have been so included in reliance on the report of BDO USA, LLP, an independent auditor, appearing elsewhere herein and in the Registration Statement,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5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ArcLight Clean Transition Corp. II</w:t>
            </w: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June 30, 2022 (Unaudited) and December 31,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three and six months ended June 30, 2022 and for the three months ended June 30, 2021 and for the period</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504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from January 13, 2021 (inception) through June 30, 2021 (Unaudited)</w:t>
            </w:r>
          </w:p>
        </w:tc>
        <w:tc>
          <w:tcPr>
            <w:tcW w:w="484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00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Changes in Shareholders’ Equity for the three and six months ended June 30, 2022 and for the period from January 13, 2021</w:t>
            </w:r>
          </w:p>
        </w:tc>
        <w:tc>
          <w:tcPr>
            <w:tcW w:w="2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(inception) through June 30, 2021 (Unaudited)</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80" w:type="dxa"/>
            <w:vAlign w:val="bottom"/>
          </w:tcPr>
          <w:p>
            <w:pPr>
              <w:spacing w:after="0" w:line="20" w:lineRule="exact"/>
              <w:rPr>
                <w:sz w:val="1"/>
                <w:szCs w:val="1"/>
                <w:color w:val="auto"/>
              </w:rPr>
            </w:pPr>
          </w:p>
        </w:tc>
        <w:tc>
          <w:tcPr>
            <w:tcW w:w="3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six months ended June 30, 2022 and for the three months ended June 30, 2021 and for the period from</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6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January 13, 2021 (inception) through June 30, 2021 (Unaudited)</w:t>
            </w:r>
          </w:p>
        </w:tc>
        <w:tc>
          <w:tcPr>
            <w:tcW w:w="44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8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3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ArcLight Clean Transition Corp. II</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F-24</w:t>
            </w:r>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Operations for the period from January 13, 2021 (inception) through December 31, 2021</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9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 of Changes in Shareholders’ Equity for the period from January 13, 2021 (inception) through December 31, 2021</w:t>
            </w:r>
          </w:p>
        </w:tc>
        <w:tc>
          <w:tcPr>
            <w:tcW w:w="1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F-26</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 of Cash Flows for the period from January 13, 2021 (inception) through December 31, 2021</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F-27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F-28</w:t>
            </w:r>
          </w:p>
        </w:tc>
      </w:tr>
      <w:tr>
        <w:trPr>
          <w:trHeight w:val="432"/>
        </w:trPr>
        <w:tc>
          <w:tcPr>
            <w:tcW w:w="2160" w:type="dxa"/>
            <w:vAlign w:val="bottom"/>
            <w:tcBorders>
              <w:top w:val="single" w:sz="8" w:color="0000EE"/>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7360" w:type="dxa"/>
            <w:vAlign w:val="bottom"/>
            <w:tcBorders>
              <w:top w:val="single" w:sz="8" w:color="CCEEFF"/>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OPAL FUELS LLC FINANCIAL STATEMENTS</w:t>
            </w:r>
          </w:p>
        </w:tc>
        <w:tc>
          <w:tcPr>
            <w:tcW w:w="1000" w:type="dxa"/>
            <w:vAlign w:val="bottom"/>
            <w:tcBorders>
              <w:top w:val="single" w:sz="8" w:color="CCEEFF"/>
            </w:tcBorders>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c>
          <w:tcPr>
            <w:tcW w:w="266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of OPAL Fuels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Six Months Ended June 30, 2022 and 2021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F-45</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266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Redeemable Preferred Units and Members’ Equity for the Six Months Ended June 30,</w:t>
            </w:r>
          </w:p>
        </w:tc>
        <w:tc>
          <w:tcPr>
            <w:tcW w:w="10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32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F-46</w:t>
            </w:r>
          </w:p>
        </w:tc>
      </w:tr>
      <w:tr>
        <w:trPr>
          <w:trHeight w:val="20"/>
        </w:trPr>
        <w:tc>
          <w:tcPr>
            <w:tcW w:w="180" w:type="dxa"/>
            <w:vAlign w:val="bottom"/>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2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2022 and 2021 (unaudited)</w:t>
            </w:r>
          </w:p>
        </w:tc>
        <w:tc>
          <w:tcPr>
            <w:tcW w:w="198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F-48</w:t>
            </w: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F-49</w:t>
            </w:r>
          </w:p>
        </w:tc>
      </w:tr>
      <w:tr>
        <w:trPr>
          <w:trHeight w:val="675"/>
        </w:trPr>
        <w:tc>
          <w:tcPr>
            <w:tcW w:w="180" w:type="dxa"/>
            <w:vAlign w:val="bottom"/>
            <w:tcBorders>
              <w:top w:val="single" w:sz="8" w:color="0000EE"/>
              <w:bottom w:val="single" w:sz="8" w:color="auto"/>
            </w:tcBorders>
          </w:tcPr>
          <w:p>
            <w:pPr>
              <w:spacing w:after="0"/>
              <w:rPr>
                <w:sz w:val="24"/>
                <w:szCs w:val="24"/>
                <w:color w:val="auto"/>
              </w:rPr>
            </w:pPr>
          </w:p>
        </w:tc>
        <w:tc>
          <w:tcPr>
            <w:tcW w:w="1960" w:type="dxa"/>
            <w:vAlign w:val="bottom"/>
            <w:tcBorders>
              <w:top w:val="single" w:sz="8" w:color="0000EE"/>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54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OPAL Fuels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F-77</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2021 and 2020 (restated)</w:t>
            </w:r>
          </w:p>
        </w:tc>
        <w:tc>
          <w:tcPr>
            <w:tcW w:w="48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F-78</w:t>
            </w:r>
          </w:p>
        </w:tc>
      </w:tr>
      <w:tr>
        <w:trPr>
          <w:trHeight w:val="176"/>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2021, 2020 (restated) and 2019 (restated)</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F-80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Redeemable Preferred Units and Members’ Equity (Deficit) for the Years Ended December 31,</w:t>
            </w:r>
          </w:p>
        </w:tc>
        <w:tc>
          <w:tcPr>
            <w:tcW w:w="10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9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2021, 2020 (restated) and 2019 (restated)</w:t>
            </w:r>
          </w:p>
        </w:tc>
        <w:tc>
          <w:tcPr>
            <w:tcW w:w="656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F-81</w:t>
            </w: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(restated) and 2019 (restated)</w:t>
            </w:r>
          </w:p>
        </w:tc>
        <w:tc>
          <w:tcPr>
            <w:tcW w:w="10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F-82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(restated)</w:t>
            </w:r>
          </w:p>
        </w:tc>
        <w:tc>
          <w:tcPr>
            <w:tcW w:w="10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F-84</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0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BEACON RNG LLC FINANCIAL STATEMENTS</w:t>
            </w:r>
          </w:p>
        </w:tc>
        <w:tc>
          <w:tcPr>
            <w:tcW w:w="10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Beacon RNG LLC</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Auditor</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F-132</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 as of April 30, 2021</w:t>
            </w:r>
          </w:p>
        </w:tc>
        <w:tc>
          <w:tcPr>
            <w:tcW w:w="67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F-134</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period Ended April 30,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F-135</w:t>
            </w:r>
          </w:p>
        </w:tc>
      </w:tr>
      <w:tr>
        <w:trPr>
          <w:trHeight w:val="21"/>
        </w:trPr>
        <w:tc>
          <w:tcPr>
            <w:tcW w:w="2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Members’ Equity for the period Ended April 30, 2021</w:t>
            </w:r>
          </w:p>
        </w:tc>
        <w:tc>
          <w:tcPr>
            <w:tcW w:w="3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F-136</w:t>
            </w: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period Ended April 30, 2021</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F-137</w:t>
            </w:r>
          </w:p>
        </w:tc>
      </w:tr>
      <w:tr>
        <w:trPr>
          <w:trHeight w:val="20"/>
        </w:trPr>
        <w:tc>
          <w:tcPr>
            <w:tcW w:w="2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F-138</w:t>
            </w:r>
          </w:p>
        </w:tc>
      </w:tr>
      <w:tr>
        <w:trPr>
          <w:trHeight w:val="21"/>
        </w:trPr>
        <w:tc>
          <w:tcPr>
            <w:tcW w:w="22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1"/>
        </w:trPr>
        <w:tc>
          <w:tcPr>
            <w:tcW w:w="4660" w:type="dxa"/>
            <w:vAlign w:val="bottom"/>
            <w:tcBorders>
              <w:bottom w:val="single" w:sz="8" w:color="0000EE"/>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Consolidated Balance Sheets as of December 31, 2020 and 2019</w:t>
            </w:r>
          </w:p>
        </w:tc>
        <w:tc>
          <w:tcPr>
            <w:tcW w:w="5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F-144</w:t>
            </w:r>
          </w:p>
        </w:tc>
      </w:tr>
      <w:tr>
        <w:trPr>
          <w:trHeight w:val="175"/>
        </w:trPr>
        <w:tc>
          <w:tcPr>
            <w:tcW w:w="10240" w:type="dxa"/>
            <w:vAlign w:val="bottom"/>
            <w:tcBorders>
              <w:top w:val="single" w:sz="8" w:color="CCEE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 Ended 2020 and for the period from March 11, 2019 (Inception) through December 31,</w:t>
            </w:r>
          </w:p>
        </w:tc>
        <w:tc>
          <w:tcPr>
            <w:tcW w:w="1000" w:type="dxa"/>
            <w:vAlign w:val="bottom"/>
            <w:tcBorders>
              <w:top w:val="single" w:sz="8" w:color="CCEEFF"/>
            </w:tcBorders>
          </w:tcPr>
          <w:p>
            <w:pPr>
              <w:spacing w:after="0"/>
              <w:rPr>
                <w:sz w:val="15"/>
                <w:szCs w:val="15"/>
                <w:color w:val="auto"/>
              </w:rPr>
            </w:pPr>
          </w:p>
        </w:tc>
      </w:tr>
      <w:tr>
        <w:trPr>
          <w:trHeight w:val="196"/>
        </w:trPr>
        <w:tc>
          <w:tcPr>
            <w:tcW w:w="22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2019</w:t>
            </w:r>
          </w:p>
        </w:tc>
        <w:tc>
          <w:tcPr>
            <w:tcW w:w="9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F-145</w:t>
            </w:r>
          </w:p>
        </w:tc>
      </w:tr>
      <w:tr>
        <w:trPr>
          <w:trHeight w:val="20"/>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Members’ Equity for the Year Ended 2020 and for the period from March 11, 2019 (Inception)</w:t>
            </w:r>
          </w:p>
        </w:tc>
        <w:tc>
          <w:tcPr>
            <w:tcW w:w="100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952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through December 31, 2019</w:t>
            </w:r>
          </w:p>
        </w:tc>
        <w:tc>
          <w:tcPr>
            <w:tcW w:w="540" w:type="dxa"/>
            <w:vAlign w:val="bottom"/>
            <w:tcBorders>
              <w:top w:val="single" w:sz="8" w:color="CCEEFF"/>
            </w:tcBorders>
            <w:gridSpan w:val="3"/>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 Ended 2020 and for the period from March 11, 2019 (Inception) through December 31,</w:t>
            </w:r>
          </w:p>
        </w:tc>
        <w:tc>
          <w:tcPr>
            <w:tcW w:w="1000" w:type="dxa"/>
            <w:vAlign w:val="bottom"/>
          </w:tcPr>
          <w:p>
            <w:pPr>
              <w:spacing w:after="0"/>
              <w:rPr>
                <w:sz w:val="15"/>
                <w:szCs w:val="15"/>
                <w:color w:val="auto"/>
              </w:rPr>
            </w:pPr>
          </w:p>
        </w:tc>
      </w:tr>
      <w:tr>
        <w:trPr>
          <w:trHeight w:val="196"/>
        </w:trPr>
        <w:tc>
          <w:tcPr>
            <w:tcW w:w="220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2019</w:t>
            </w:r>
          </w:p>
        </w:tc>
        <w:tc>
          <w:tcPr>
            <w:tcW w:w="9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0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F-147</w:t>
            </w:r>
          </w:p>
        </w:tc>
      </w:tr>
      <w:tr>
        <w:trPr>
          <w:trHeight w:val="21"/>
        </w:trPr>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F-148</w:t>
            </w:r>
          </w:p>
        </w:tc>
      </w:tr>
      <w:tr>
        <w:trPr>
          <w:trHeight w:val="655"/>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color w:val="auto"/>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144" w:name="page145"/>
    <w:bookmarkEnd w:id="144"/>
    <w:p>
      <w:pPr>
        <w:ind w:left="4900"/>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219,127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811,526</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546,368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701,663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159,954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311,615,892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311,175,471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312,381,387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312,848,614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68,531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18,764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29,902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94,497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103,518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113,261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6,193,192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3,966,447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10,890,707</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16,218,840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25,795,700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22,515,550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40,766,115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311,515,892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500,000,000 shares authorized (excluding 31,116,305 shares subject to</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 at June 30, 2022 and 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(21,650,833)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(39,081,329)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shareholders’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(21,650,055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(39,080,551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312,381,387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312,848,614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January 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1,733,643</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394,413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3,124,650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522,889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(1,733,643)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(394,413)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(3,124,650)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(522,889)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4,325,040</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(11,225,560)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(10,954,400)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279,890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415,868</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5,020,798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(11,221,256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10,297,171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(11,412,563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3,287,155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(11,615,669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7,172,521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(11,935,452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of Class A ordinary shares, basic and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31,116,305</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31,116,305</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18,823,444</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of Class B ordinary shares, basic and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7,779,076</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CHANGES IN SHAREHOLDERS’ DEFICIT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1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(39,081,329)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(39,080,551)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3,885,366</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3,885,366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March 31, 2022 (unaudited)</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(35,195,963)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(35,195,185)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Class A common stock</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 amount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(352,842)</w:t>
            </w:r>
          </w:p>
        </w:tc>
        <w:tc>
          <w:tcPr>
            <w:tcW w:w="14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(352,842)</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10,610,817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3,287,155</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3,287,155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 (unaudited)</w:t>
            </w: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(21,650,833</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(21,650,055</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60" w:type="dxa"/>
            <w:vAlign w:val="bottom"/>
            <w:gridSpan w:val="20"/>
          </w:tcPr>
          <w:p>
            <w:pPr>
              <w:ind w:left="1500"/>
              <w:spacing w:after="0"/>
              <w:rPr>
                <w:sz w:val="20"/>
                <w:szCs w:val="20"/>
                <w:color w:val="auto"/>
              </w:rPr>
            </w:pPr>
            <w:r>
              <w:rPr>
                <w:rFonts w:ascii="Times New Roman" w:cs="Times New Roman" w:eastAsia="Times New Roman" w:hAnsi="Times New Roman"/>
                <w:sz w:val="18"/>
                <w:szCs w:val="18"/>
                <w:b w:val="1"/>
                <w:bCs w:val="1"/>
                <w:color w:val="auto"/>
              </w:rPr>
              <w:t>For The Three Months Ended and For the Period From January 13, 2021 (inception) through June 30, 2021</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3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18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4"/>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0"/>
                <w:szCs w:val="20"/>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0" w:type="dxa"/>
            <w:vAlign w:val="bottom"/>
          </w:tcPr>
          <w:p>
            <w:pPr>
              <w:spacing w:after="0"/>
              <w:rPr>
                <w:sz w:val="1"/>
                <w:szCs w:val="1"/>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13, 2021 (inception)</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 ordinary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(22,886,667)</w:t>
            </w: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(23,086,620)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possible redemption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less fair value of private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 ordinary shares from</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(319,783)</w:t>
            </w:r>
          </w:p>
        </w:tc>
        <w:tc>
          <w:tcPr>
            <w:tcW w:w="1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(319,783)</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 March 31, 2021 (unaudited)</w:t>
            </w: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7,779,076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 (23,206,450)</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(23,205,672)</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(11,615,669)</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(11,615,669)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 June 30, 2021 (unaudited)</w:t>
            </w: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32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7,779,076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(34,822,119</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(34,821,341</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period</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January 13,</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For the six</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(inception)</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through</w:t>
            </w:r>
          </w:p>
        </w:tc>
      </w:tr>
      <w:tr>
        <w:trPr>
          <w:trHeight w:val="216"/>
        </w:trPr>
        <w:tc>
          <w:tcPr>
            <w:tcW w:w="26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266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7,172,521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(11,935,452)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(9,576,860)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10,954,400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462,620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(440,421)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(279,890)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315,249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(1,225,548)</w:t>
            </w:r>
          </w:p>
        </w:tc>
      </w:tr>
      <w:tr>
        <w:trPr>
          <w:trHeight w:val="216"/>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49,767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(64,595)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105,056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legal fees</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2,226,745</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(311,163,050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9,223,261</w:t>
            </w: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(6,295,461)</w:t>
            </w:r>
          </w:p>
        </w:tc>
      </w:tr>
      <w:tr>
        <w:trPr>
          <w:trHeight w:val="236"/>
        </w:trPr>
        <w:tc>
          <w:tcPr>
            <w:tcW w:w="2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w:t>
            </w:r>
          </w:p>
        </w:tc>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313,919,208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w:t>
            </w:r>
          </w:p>
        </w:tc>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(592,399)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1,164,577</w:t>
            </w:r>
          </w:p>
        </w:tc>
        <w:tc>
          <w:tcPr>
            <w:tcW w:w="100" w:type="dxa"/>
            <w:vAlign w:val="bottom"/>
          </w:tcPr>
          <w:p>
            <w:pPr>
              <w:spacing w:after="0"/>
              <w:rPr>
                <w:sz w:val="17"/>
                <w:szCs w:val="17"/>
                <w:color w:val="auto"/>
              </w:rPr>
            </w:pPr>
          </w:p>
        </w:tc>
      </w:tr>
      <w:tr>
        <w:trPr>
          <w:trHeight w:val="24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6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811,526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 end of the period</w:t>
            </w:r>
          </w:p>
        </w:tc>
        <w:tc>
          <w:tcPr>
            <w:tcW w:w="60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219,127</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1,164,577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w:t>
            </w: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352,842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144,842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10,890,707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10,610,817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r>
        <w:rPr>
          <w:rFonts w:ascii="Times New Roman" w:cs="Times New Roman" w:eastAsia="Times New Roman" w:hAnsi="Times New Roman"/>
          <w:sz w:val="29"/>
          <w:szCs w:val="29"/>
          <w:color w:val="auto"/>
          <w:vertAlign w:val="superscript"/>
        </w:rPr>
        <w:t>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1-Description of Organization, Business Operations and Basis of Presentation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OPAL Fuels Inc. (formerly known as ArcLight Clean Transition Corp. II) (the “Company”) was incorporated as a Cayman Islands exempted company on January 13, 2021. The Company was incorporated for the purpose of effecting a merger, share exchange, asset acquisition, share purchase, reorganization or similar business combination with one or more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3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“First Earnout Triggering Event”), New OPAL will issue to OPAL HoldCo, Ares and Hillman (collectively, the “Earnout Participants”) an aggregate of 5,000,000 shares of New OPAL Class B Common Stock and New OPAL Class D Common Stock and corresponding OPAL Units (collectively, the “First Earnout Tranche”) in accordance with the allocations set forth in the Business Combination Agreement. Additionally, if New OPAL’s annual EBITDA for the calendar year 2024 exceeds $446,000,000 (the “Second Earnout Triggering Event”), New OPAL will issue to the Earnout Participants an aggregate of 5,000,000 additional shares of New OPAL Class B Common Stock and New OPAL Class D Common Stock and corresponding OPAL Units (collectively, the “Second Earnout Tranche”)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Financing (Private Placement)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 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 The Subscription Agreements provide that the Company will grant the investors in the PIPE Investment certain customary registration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Rights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Business Combination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activity for the period from January 13, 2021 (inception) through June 30,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required to provide its holders of Public Shares (the “Public Shareholders”) with the opportunity to redeem all or a portion of their Public Shares upon the completion of a Business Combination either (i) in connection with a general meeting called to approve the Business Combination or (ii) by means of a tender offer. The Company sought shareholder approval of a Business Combination in connection with the Business Combination. The Public Shareholders were entitled to redeem their Public Shares for a pro rata portion of the amount then in the Trust Account. The per-share amount distributed to Public Shareholders who redeemed their Public Shares was not reduced by the deferred underwriting commissions the Company paid to the underwriters (as discussed in Note 6). These Public Shares are recorded at a redemption value and classified as temporary equity upon and following the completion of the Initial Public Offering, in accordance with the Financial Accounting Standards Board’s (“FASB”) Accounting Standards Codification (“ASC”) Topic 480 “Distinguishing Liabilities from Equity” (“ASC 480”).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approximately $219,000 in its operating bank account and working capital of approximately $662,000.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liquidity needs up to June 30,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we used substantially all of the funds held in the Trust Account to complete the Business Combination. Funds held in the Trust Account were also used to fund the redemption of publicly held Class A ordinary shares of ArcLight.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certain disclosures included in the annual financial statements have been condensed or omitted from these financial statements as they are not required for interim financial statements. In the opinion of management, all adjustments (consisting of normal accruals) considered for a fair presentation have been included. Operating results for the three and six months ended June 30, 2022 are not necessarily indicative of the results that may be expected for the year ended December 31, 2022.</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June 30, 2022 and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Held in Trust Account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 of Credit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June 30, 2022 and December 31, 2021, the Company has not experienced losses on these accounts and management believes the Company is not exposed to significant risks on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Financial Instruments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Associated with the Initial Public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 In May, 2022, the Company reversed the deferred underwriting fees as the underwriters resigned from their role in the Business Combination and thereby waived their entitlement of the deferred underwriting commissions (Note 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June 30, 2022 and December 31, 2021, 31,116,305 Class A ordinary shares subject to possible redemption is presented at redemption value as temporary equity, outside of the shareholders’ equity section of the Company’s condensed balance sheets.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Per Ordinary Share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and six months ended June 30, 2022, the three months ended June 30, 2021 and for the period January 13, 2021 (inception) through June 30, 2021. Re-measurement associated with the Class A ordinary shares subject to possible redemption is excluded from earnings per share as the redemption value approximates fair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0" w:type="dxa"/>
            <w:vAlign w:val="bottom"/>
          </w:tcPr>
          <w:p>
            <w:pPr>
              <w:spacing w:after="0"/>
              <w:rPr>
                <w:sz w:val="21"/>
                <w:szCs w:val="21"/>
                <w:color w:val="auto"/>
              </w:rPr>
            </w:pPr>
          </w:p>
        </w:tc>
        <w:tc>
          <w:tcPr>
            <w:tcW w:w="2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2,629,724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5,738,017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31,116,305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31,116,305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7,779,076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ind w:right="335" w:firstLine="324"/>
        <w:spacing w:after="0" w:line="292"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period</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January 13, 2021</w:t>
            </w:r>
          </w:p>
        </w:tc>
      </w:tr>
      <w:tr>
        <w:trPr>
          <w:trHeight w:val="216"/>
        </w:trPr>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(inception) through</w:t>
            </w:r>
          </w:p>
        </w:tc>
      </w:tr>
      <w:tr>
        <w:trPr>
          <w:trHeight w:val="245"/>
        </w:trPr>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2021</w:t>
            </w:r>
          </w:p>
        </w:tc>
      </w:tr>
      <w:tr>
        <w:trPr>
          <w:trHeight w:val="237"/>
        </w:trPr>
        <w:tc>
          <w:tcPr>
            <w:tcW w:w="12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Class B</w:t>
            </w:r>
          </w:p>
        </w:tc>
      </w:tr>
    </w:tbl>
    <w:p>
      <w:pPr>
        <w:spacing w:after="0" w:line="200" w:lineRule="exact"/>
        <w:rPr>
          <w:sz w:val="20"/>
          <w:szCs w:val="20"/>
          <w:color w:val="auto"/>
        </w:rPr>
      </w:pPr>
    </w:p>
    <w:p>
      <w:pPr>
        <w:spacing w:after="0" w:line="214" w:lineRule="exact"/>
        <w:rPr>
          <w:sz w:val="20"/>
          <w:szCs w:val="20"/>
          <w:color w:val="auto"/>
        </w:rPr>
      </w:pPr>
    </w:p>
    <w:p>
      <w:pPr>
        <w:ind w:left="345" w:hanging="345"/>
        <w:spacing w:after="0"/>
        <w:tabs>
          <w:tab w:leader="none" w:pos="3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(9,292,535)  $   (2,323,134)  $   (8,560,232)  $   (3,375,220)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-119380</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31,116,305</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7,779,076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18,823,444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7,421,910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-359410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55" w:space="720"/>
            <w:col w:w="5265"/>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unaudited condensed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3-Initial Public Offering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 In May, 2022, the Company reversed the $10.9 million of deferred underwriting fees as the underwriters resigned from their role in the Business Combination and thereby waived their entitlement of the deferred underwriting commissions (Note 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4-Private Placement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June 30, 2022 and December 31, 2021, the Company had no borrowings under the Working Capital Loans.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$30,000 and $30,000 in expenses in connection with such services for the three months ended June 30, 2022 and 2021, respectively, as reflected in the accompanying unaudited condensed statements of operations. The Company incurred $60,000 and $40,000 in expenses in connection with such services for the six months ended June 30, 2022 and for the period from January 13, 2021 (inception) through June 30, 2021, respectively, as reflected in the accompanying unaudited condensed statements of operations. The company ceased paying these quarterly fees and periodic cost reimbursements following the consummation of the Business Combination.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and Shareholder Rights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May 14, 2022, the underwriters from the Initial Public Offering resigned and withdrew from their role in the Business Combination and thereby waived their entitlement to the deferred underwriting commissions in the amount of approximately $10.9 million, which the Company has recorded as a gain on settlement of underwriter fees on the statement of shareholders’ equity for the three and six months ended June 30, 2022 for $10.6 million, which represents the original amount recorded to accumulated deficit, and the remaining representing the original amount recorded to the statement of operations of approximately $280,000 was recorded for the three and six months ended June 30, 2022, which represents the original amount.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engagement letter to obtain legal advisory services, pursuant to which the legal counsel agreed to defer the payment of their fees until the closing of the initial Business Combination. As of June 30, 2022 and December 31, 2021, the Company recorded an aggregate of approximately $6.2 million and $4.0 million, respectively, in connection with such arrangement as deferred legal fees in the accompanying condensed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Class A Ordinary Shares Subject to Possible Redemption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June 30, 2022 and December 31, 2021, there were 31,116,305 shares of Class A ordinary shares outstanding, all of which were subject to possible redemption.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Class A ordinary shares subject to possible redemption reflected on the condensed balance sheets is reconciled on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on Class A ordinary shares subject to possible redemption amount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23,086,620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December 31, 2021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36"/>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of Class A common stock subject to possible redemption amount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352,842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at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311,515,892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8-Shareholders’ Deficit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A Ordinary Shares-The Company is authorized to issue 500,000,000 Class A ordinary shares with a par value of $0.0001 per share. Holders of the Company’s Class A ordinary shares are entitled to one vote for each share. As of June 30, 2022 and December 31, 2021, there were 31,116,305 Class A ordinary shares issued and outstanding. All Class A ordinary shares subject to possible redemption have been classified as temporary equity (see Note 7).</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Class B Ordinary Shares-The Company is authorized to issue 50,000,000 Class B ordinary shares with a par value of $0.0001 per share. On 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June 30, 2022 and December 31, 2021, there were 7,779,076 Class B ordinary shares issued and outstanding.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Preference Shares-The Company is authorized to issue 5,000,000 preference shares with a par value of $0.0001 per share. As of June 30, 2022 and December 31, 2021, there were no preference shares issued or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9-Derivative Warrant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an aggregate of 15,446,522 warrants outstanding, comprised of 6,223,261 and 9,223,261 Public Warrants and Private Placement Warrants, respectively.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w:t>
      </w:r>
    </w:p>
    <w:p>
      <w:pPr>
        <w:spacing w:after="0" w:line="3" w:lineRule="exact"/>
        <w:rPr>
          <w:sz w:val="20"/>
          <w:szCs w:val="20"/>
          <w:color w:val="auto"/>
        </w:rPr>
      </w:pPr>
    </w:p>
    <w:p>
      <w:pPr>
        <w:jc w:val="both"/>
        <w:ind w:firstLine="8"/>
        <w:spacing w:after="0" w:line="252" w:lineRule="auto"/>
        <w:tabs>
          <w:tab w:leader="none" w:pos="2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ordinary shares for any 20 trading days within a 30-trading day period ending on the third trading day prior to the date on which the Company sends the notice of redemption to the warrant holders (the “Reference Value”) equals or exceeds $18.00 per share (as adjusted).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the Private Placement Warrants must also concurrently be called for redemption on the same terms as the outstanding Public Warrants, as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10-Fair Value Measurements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June 30, 2022 and December 31, 2021 and indicates the fair value hierarchy of the valuation techniques that the Company utilized to determine such fair value.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311,615,892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6,534,420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9,684,420</w:t>
            </w:r>
          </w:p>
        </w:tc>
      </w:tr>
      <w:tr>
        <w:trPr>
          <w:trHeight w:val="41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14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24"/>
                <w:szCs w:val="24"/>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40" w:type="dxa"/>
            <w:vAlign w:val="bottom"/>
          </w:tcPr>
          <w:p>
            <w:pPr>
              <w:spacing w:after="0"/>
              <w:rPr>
                <w:sz w:val="21"/>
                <w:szCs w:val="21"/>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Description</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311,175,471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liabilities-public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10,392,850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 warrant liabilities-private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six months ended June 30, 2022 or for the period from January 13, 2021 (inception) through June 30,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June 30, 2022 and 2021, the Company recognized a gain/(loss) to the unaudited condensed statements of operations resulting from a decrease (increase) in the fair value of liabilities of approximately $4.3 million and ($11.2 million), respectively, presented as change in fair value of derivative warrant liabilities in the accompanying unaudited condensed statements of operations. For the six months ended June 30, 2022 and for the period from January 13, 2021 (inception) through June 30, 2021, the Company recognized a gain/(loss) to the unaudited condensed statements of operations resulting from a decrease (increase) in the fair value of liabilities of approximately $9.6 million and ($11.0 million), respectively, presented as change in fair value of derivative warrant liabilities in the accompanying unaudited condensed statements of operations.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95"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derivative warrant liabilities for the period from January 13, 2021 (inception) through June 30, 2022 is summarized as follows: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Transfer to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34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140" w:type="dxa"/>
            <w:vAlign w:val="bottom"/>
          </w:tcPr>
          <w:p>
            <w:pPr>
              <w:spacing w:after="0"/>
              <w:rPr>
                <w:sz w:val="21"/>
                <w:szCs w:val="21"/>
                <w:color w:val="auto"/>
              </w:rPr>
            </w:pPr>
          </w:p>
        </w:tc>
        <w:tc>
          <w:tcPr>
            <w:tcW w:w="13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8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5,948,230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9,047,530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14,995,760</w:t>
            </w:r>
          </w:p>
        </w:tc>
        <w:tc>
          <w:tcPr>
            <w:tcW w:w="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(10,455,080)</w:t>
            </w:r>
          </w:p>
        </w:tc>
        <w:tc>
          <w:tcPr>
            <w:tcW w:w="140" w:type="dxa"/>
            <w:vAlign w:val="bottom"/>
          </w:tcPr>
          <w:p>
            <w:pPr>
              <w:spacing w:after="0"/>
              <w:rPr>
                <w:sz w:val="20"/>
                <w:szCs w:val="20"/>
                <w:color w:val="auto"/>
              </w:rPr>
            </w:pPr>
          </w:p>
        </w:tc>
        <w:tc>
          <w:tcPr>
            <w:tcW w:w="13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(10,455,080)</w:t>
            </w:r>
          </w:p>
        </w:tc>
      </w:tr>
      <w:tr>
        <w:trPr>
          <w:trHeight w:val="263"/>
        </w:trPr>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4,506,850</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6,355,320</w:t>
            </w:r>
          </w:p>
        </w:tc>
        <w:tc>
          <w:tcPr>
            <w:tcW w:w="16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10,862,170</w:t>
            </w:r>
          </w:p>
        </w:tc>
        <w:tc>
          <w:tcPr>
            <w:tcW w:w="40" w:type="dxa"/>
            <w:vAlign w:val="bottom"/>
          </w:tcPr>
          <w:p>
            <w:pPr>
              <w:spacing w:after="0"/>
              <w:rPr>
                <w:sz w:val="22"/>
                <w:szCs w:val="22"/>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960" w:hanging="955"/>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15,402,850   $  15,402,850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41744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50" w:lineRule="exact"/>
        <w:rPr>
          <w:sz w:val="20"/>
          <w:szCs w:val="20"/>
          <w:color w:val="auto"/>
        </w:rPr>
      </w:pPr>
    </w:p>
    <w:p>
      <w:pPr>
        <w:ind w:left="3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Public</w:t>
      </w:r>
      <w:r>
        <w:rPr>
          <w:sz w:val="20"/>
          <w:szCs w:val="20"/>
          <w:color w:val="auto"/>
        </w:rPr>
        <w:tab/>
      </w:r>
      <w:r>
        <w:rPr>
          <w:rFonts w:ascii="Times New Roman" w:cs="Times New Roman" w:eastAsia="Times New Roman" w:hAnsi="Times New Roman"/>
          <w:sz w:val="18"/>
          <w:szCs w:val="18"/>
          <w:b w:val="1"/>
          <w:bCs w:val="1"/>
          <w:color w:val="auto"/>
        </w:rPr>
        <w:t>Private</w:t>
      </w:r>
    </w:p>
    <w:p>
      <w:pPr>
        <w:spacing w:after="0" w:line="31" w:lineRule="exact"/>
        <w:rPr>
          <w:sz w:val="20"/>
          <w:szCs w:val="20"/>
          <w:color w:val="auto"/>
        </w:rPr>
      </w:pPr>
    </w:p>
    <w:p>
      <w:pPr>
        <w:ind w:left="200"/>
        <w:spacing w:after="0"/>
        <w:tabs>
          <w:tab w:leader="none" w:pos="1540" w:val="left"/>
          <w:tab w:leader="none" w:pos="3040" w:val="left"/>
        </w:tabs>
        <w:rPr>
          <w:sz w:val="20"/>
          <w:szCs w:val="20"/>
          <w:color w:val="auto"/>
        </w:rPr>
      </w:pPr>
      <w:r>
        <w:rPr>
          <w:rFonts w:ascii="Times New Roman" w:cs="Times New Roman" w:eastAsia="Times New Roman" w:hAnsi="Times New Roman"/>
          <w:sz w:val="18"/>
          <w:szCs w:val="18"/>
          <w:b w:val="1"/>
          <w:bCs w:val="1"/>
          <w:color w:val="auto"/>
        </w:rPr>
        <w:t>Warrants</w:t>
      </w:r>
      <w:r>
        <w:rPr>
          <w:sz w:val="20"/>
          <w:szCs w:val="20"/>
          <w:color w:val="auto"/>
        </w:rPr>
        <w:tab/>
      </w:r>
      <w:r>
        <w:rPr>
          <w:rFonts w:ascii="Times New Roman" w:cs="Times New Roman" w:eastAsia="Times New Roman" w:hAnsi="Times New Roman"/>
          <w:sz w:val="18"/>
          <w:szCs w:val="18"/>
          <w:b w:val="1"/>
          <w:bCs w:val="1"/>
          <w:color w:val="auto"/>
        </w:rPr>
        <w:t>Warrants</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9" w:lineRule="exact"/>
        <w:rPr>
          <w:sz w:val="20"/>
          <w:szCs w:val="20"/>
          <w:color w:val="auto"/>
        </w:rPr>
      </w:pPr>
    </w:p>
    <w:p>
      <w:pPr>
        <w:sectPr>
          <w:pgSz w:w="11900" w:h="16838" w:orient="portrait"/>
          <w:cols w:equalWidth="0" w:num="2">
            <w:col w:w="6600" w:space="720"/>
            <w:col w:w="392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520" w:type="dxa"/>
            <w:vAlign w:val="bottom"/>
            <w:shd w:val="clear" w:color="auto" w:fill="CCEEFF"/>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15,402,850</w:t>
            </w:r>
          </w:p>
        </w:tc>
        <w:tc>
          <w:tcPr>
            <w:tcW w:w="200" w:type="dxa"/>
            <w:vAlign w:val="bottom"/>
            <w:shd w:val="clear" w:color="auto" w:fill="CCEE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15,402,850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520" w:type="dxa"/>
            <w:vAlign w:val="bottom"/>
          </w:tcPr>
          <w:p>
            <w:pPr>
              <w:spacing w:after="0"/>
              <w:rPr>
                <w:sz w:val="20"/>
                <w:szCs w:val="20"/>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(3,135,910)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(3,135,910)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March 31, 2022</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52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(2,582,520)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(2,582,520)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June 30, 2022</w:t>
            </w: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6,534,420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6,534,420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date the unaudited condensed financial statements were issued. Except as discussed below,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2022, subsequent to the fiscal quarter ended June 30, 2022, OPAL Fuels Inc. consummated the previously announced Business Combination with OPAL HoldCo, and OPAL Fuels, pursuant to the Business Combination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$274,186,522 in the aggregate.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proceeds of the Business Combination were funded through a combination of Company cash held in trust, net of redemptions, and $110,806,000 in aggregate gross proceeds to New OPAL from the PIPE Investment.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OPAL FUELS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(f/k/a ArcLight Clean Transition Corp.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4, 2022, OPAL Fuels Intermediate Holdco 2 LLC (“OPAL Intermediate Holdco 2”), a wholly-owned subsidiary the Company, entered into a new senior secured credit facility (the “Credit Agreement”) with OPAL Intermediate Holdco 2 as the Borrower, direct and indirect subsidiary of the Borrower as Guarantors, the lenders party thereto (the “Lenders”), Bank of Montreal as the administration agent, and Wilmington Trust as collateral and depositary agent. The Credit Agreement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DSR Facility are to be used solely to satisfy the balance to be maintained in the debt service reserve account.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Purchase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2022, the Company entered into a forward share purchase agreement (the “Purchase Agreement”) with Meteora Capital Partners and its affiliates (collectively, “Meteora”) pursuant to which, provided that so long as Meteora will have acquired from redeeming shareholders of the Company at least 1,900,000 ArcLight Class A ordinary shares as of the closing of the Company’s Business Combination with OPAL Fuels, and has not redeemed any of such the Company’s Class A ordinary shares, in connection with the Business Combination, then Meteora may elect to sell and transfer to the combined company following the Business Combination (the “Combined Company”), and the Combined Company will purchase from Meteora, on the six month anniversary of the closing of the Business Combination, up to 2,000,000 shares of Class A common stock of the Combined Company (the “Share Repurchase”) held by Meteora at the time of closing of the Business Combination (the “Meteora Shares”). Unless otherwise defined herein, capitalized terms used herein shall have the meanings ascribed thereto in the Purchase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at which Meteora has the right to sell the Meteora Shares to the Combined Company is $10.02 per share. Meteora will notify the Combined Company in writing not less than five (5) business days prior to the closing date of the Share Repurchase (the “Put Date”), specifying the number of Meteora Shares that the Combined Company will be required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Meteora is also permitted at its election to sell any or all of the Meteora Shares in the open market commencing after the closing of the Business Combination, so long as the sale price exceeds $10.02 per share prior to the payment of any commissions due by Meteora for such sale.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an escrow agreement (the “Escrow Agreement”), to be entered into by and among Continental Stock Transfer and Trust Co. (“Continental”) and Meteora, to secure its purchase obligation to Meteora, at the closing of the Business Combination, the Company will place into escrow with Continental an aggregate amount of up to $20,040,000 (the “Escrow Amount”). If and when Meteora sells the Meteora Shares to any third party, an amount equal to the Combined Company’s purchase price obligation for that portion of such Meteora Shares, which Meteora sells in the open market, will be released from escrow to the Combined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exchange for the Company’s commitment to purchase the Meteora Shares on the Put Date, Meteora agrees to continue to hold, and not to redeem, the Meteora Shares prior to the closing date of the Business Combination. In consideration for Meteora’s entry into the Purchase Agreement and the transactions and covenants therein, the Company shall, at its option, (i) issue to Meteora 112,500 shares of Class A common stock of the Combined Company or (ii) pay to Meteora a cash payment in the amount of $600,000 upon consummation of the Business Combination.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ArcLight Clean Transition Corp. II (the “Company”) as of December 31, 2021, the related statements of operations, changes in shareholders’ deficit and cash flows for the period from January 13,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13, 2021 (inception) through December 31, 2021,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811,526</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701,663</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159,954</w:t>
            </w:r>
          </w:p>
        </w:tc>
        <w:tc>
          <w:tcPr>
            <w:tcW w:w="80" w:type="dxa"/>
            <w:vAlign w:val="bottom"/>
          </w:tcPr>
          <w:p>
            <w:pPr>
              <w:spacing w:after="0"/>
              <w:rPr>
                <w:sz w:val="18"/>
                <w:szCs w:val="18"/>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311,175,471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18,764</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94,497</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3,966,447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10,890,707</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25,795,700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40,766,115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31,116,305 shares at redemption value of $10.00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311,163,050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$0.0001 par value; 5,000,000 shares authorized; none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 authorized; no n on-redeemable shares issued and outstanding</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50,000,000 shares authorized; 7,779,076 shares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(39,081,329)</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(39,080,551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312,848,614</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ARCLIGHT CLEAN TRANSITION CORP. II</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FOR THE PERIOD FROM JANUARY 13, 2021 (INCEPTION) THROUGH DECEMBER 31,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(4,944,523)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(10,799,940)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(462,620)</w:t>
            </w:r>
          </w:p>
        </w:tc>
        <w:tc>
          <w:tcPr>
            <w:tcW w:w="0" w:type="dxa"/>
            <w:vAlign w:val="bottom"/>
          </w:tcPr>
          <w:p>
            <w:pPr>
              <w:spacing w:after="0"/>
              <w:rPr>
                <w:sz w:val="1"/>
                <w:szCs w:val="1"/>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(11,250,139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8"/>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25,360,688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B ordinary shares, basic and diluted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JANUARY 13, 2021 (INCEPTION) THROUGH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13, 2021 (inception)</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ordinary shares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7,906,250</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on Class A ordinary shares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(199,953)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(22,886,667)</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(23,086,620)</w:t>
            </w:r>
          </w:p>
        </w:tc>
        <w:tc>
          <w:tcPr>
            <w:tcW w:w="0" w:type="dxa"/>
            <w:vAlign w:val="bottom"/>
          </w:tcPr>
          <w:p>
            <w:pPr>
              <w:spacing w:after="0"/>
              <w:rPr>
                <w:sz w:val="1"/>
                <w:szCs w:val="1"/>
                <w:color w:val="auto"/>
              </w:rPr>
            </w:pPr>
          </w:p>
        </w:tc>
      </w:tr>
      <w:tr>
        <w:trPr>
          <w:trHeight w:val="198"/>
        </w:trPr>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Sponsor less fair value of private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175,731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175,731</w:t>
            </w:r>
          </w:p>
        </w:tc>
        <w:tc>
          <w:tcPr>
            <w:tcW w:w="0" w:type="dxa"/>
            <w:vAlign w:val="bottom"/>
          </w:tcPr>
          <w:p>
            <w:pPr>
              <w:spacing w:after="0"/>
              <w:rPr>
                <w:sz w:val="1"/>
                <w:szCs w:val="1"/>
                <w:color w:val="auto"/>
              </w:rPr>
            </w:pPr>
          </w:p>
        </w:tc>
      </w:tr>
      <w:tr>
        <w:trPr>
          <w:trHeight w:val="198"/>
        </w:trPr>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Class B ordinary shares from</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(127,174)</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(16,194,662)</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(16,194,662)</w:t>
            </w:r>
          </w:p>
        </w:tc>
        <w:tc>
          <w:tcPr>
            <w:tcW w:w="0" w:type="dxa"/>
            <w:vAlign w:val="bottom"/>
          </w:tcPr>
          <w:p>
            <w:pPr>
              <w:spacing w:after="0"/>
              <w:rPr>
                <w:sz w:val="1"/>
                <w:szCs w:val="1"/>
                <w:color w:val="auto"/>
              </w:rPr>
            </w:pPr>
          </w:p>
        </w:tc>
      </w:tr>
      <w:tr>
        <w:trPr>
          <w:trHeight w:val="27"/>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332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7,779,076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(39,081,329</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(39,080,551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8" w:name="page169"/>
    <w:bookmarkEnd w:id="168"/>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225"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7"/>
          <w:szCs w:val="17"/>
          <w:b w:val="1"/>
          <w:bCs w:val="1"/>
          <w:color w:val="auto"/>
        </w:rPr>
        <w:t>FOR THE PERIOD FROM JANUARY 13, 2021 (INCEPTION) THROUGH DECEMBER 31,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in exchange for issuance of Class B ordinary 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costs –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legal fees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deposited in Trust Account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paid by related party under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underwriting commissions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Forfeiture of Class B ordinary shares from Sponsor</w:t>
      </w:r>
    </w:p>
    <w:p>
      <w:pPr>
        <w:spacing w:after="0" w:line="20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(16,194,662)</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26,800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10,799,940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462,620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(12,421)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(861,617)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(181,236)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24,497</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3,966,447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(1,944,632)</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(311,163,050)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(311,163,050)</w:t>
      </w:r>
    </w:p>
    <w:p>
      <w:pPr>
        <w:spacing w:after="0" w:line="2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(171,742)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311,163,050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9,223,261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(6,295,461)</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313,919,208</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811,526</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40" w:hanging="535"/>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0294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77" w:lineRule="exact"/>
        <w:rPr>
          <w:sz w:val="20"/>
          <w:szCs w:val="20"/>
          <w:color w:val="auto"/>
        </w:rPr>
      </w:pPr>
    </w:p>
    <w:p>
      <w:pPr>
        <w:ind w:left="520" w:hanging="515"/>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w:t>
      </w:r>
    </w:p>
    <w:p>
      <w:pPr>
        <w:spacing w:after="0" w:line="27" w:lineRule="exact"/>
        <w:rPr>
          <w:sz w:val="20"/>
          <w:szCs w:val="20"/>
          <w:color w:val="auto"/>
        </w:rPr>
      </w:pPr>
    </w:p>
    <w:p>
      <w:pPr>
        <w:ind w:left="620" w:hanging="615"/>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w:t>
      </w:r>
    </w:p>
    <w:p>
      <w:pPr>
        <w:spacing w:after="0" w:line="9" w:lineRule="exact"/>
        <w:rPr>
          <w:sz w:val="20"/>
          <w:szCs w:val="20"/>
          <w:color w:val="auto"/>
        </w:rPr>
      </w:pPr>
    </w:p>
    <w:p>
      <w:pPr>
        <w:ind w:left="520" w:hanging="515"/>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144,842</w:t>
      </w:r>
    </w:p>
    <w:p>
      <w:pPr>
        <w:spacing w:after="0" w:line="9" w:lineRule="exact"/>
        <w:rPr>
          <w:rFonts w:ascii="Times New Roman" w:cs="Times New Roman" w:eastAsia="Times New Roman" w:hAnsi="Times New Roman"/>
          <w:sz w:val="18"/>
          <w:szCs w:val="18"/>
          <w:color w:val="auto"/>
        </w:rPr>
      </w:pPr>
    </w:p>
    <w:p>
      <w:pPr>
        <w:ind w:left="300" w:hanging="295"/>
        <w:spacing w:after="0"/>
        <w:tabs>
          <w:tab w:leader="none" w:pos="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10,890,707</w:t>
      </w:r>
    </w:p>
    <w:p>
      <w:pPr>
        <w:spacing w:after="0" w:line="9" w:lineRule="exact"/>
        <w:rPr>
          <w:rFonts w:ascii="Times New Roman" w:cs="Times New Roman" w:eastAsia="Times New Roman" w:hAnsi="Times New Roman"/>
          <w:sz w:val="18"/>
          <w:szCs w:val="18"/>
          <w:color w:val="auto"/>
        </w:rPr>
      </w:pPr>
    </w:p>
    <w:p>
      <w:pPr>
        <w:ind w:left="940" w:hanging="935"/>
        <w:spacing w:after="0"/>
        <w:tabs>
          <w:tab w:leader="none" w:pos="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ectPr>
          <w:pgSz w:w="11900" w:h="16838" w:orient="portrait"/>
          <w:cols w:equalWidth="0" w:num="2">
            <w:col w:w="9460" w:space="560"/>
            <w:col w:w="1180"/>
          </w:cols>
          <w:pgMar w:left="320" w:top="873" w:right="37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finalized (“Business Combination”).</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had not yet commenced operations. All activity for the period from January 13, 2021 (inception) through December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w:t>
      </w:r>
    </w:p>
    <w:p>
      <w:pPr>
        <w:jc w:val="both"/>
        <w:ind w:firstLine="8"/>
        <w:spacing w:after="0" w:line="250" w:lineRule="auto"/>
        <w:tabs>
          <w:tab w:leader="none" w:pos="2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20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7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On December 2, 2021, the Company, OPAL HoldCo LLC, a Delaware limited liability company (“</w:t>
      </w:r>
      <w:r>
        <w:rPr>
          <w:rFonts w:ascii="Times New Roman" w:cs="Times New Roman" w:eastAsia="Times New Roman" w:hAnsi="Times New Roman"/>
          <w:sz w:val="18"/>
          <w:szCs w:val="18"/>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i w:val="1"/>
          <w:iCs w:val="1"/>
          <w:color w:val="auto"/>
        </w:rPr>
        <w:t>OPAL Fuels</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(collectively,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were unanimously approved by the boards of directors of each of the Company and OPAL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and, in connection with the Domestication, (A) the Company’s name will be changed to “OPAL Fuels Inc.” (“</w:t>
      </w:r>
      <w:r>
        <w:rPr>
          <w:rFonts w:ascii="Times New Roman" w:cs="Times New Roman" w:eastAsia="Times New Roman" w:hAnsi="Times New Roman"/>
          <w:sz w:val="18"/>
          <w:szCs w:val="18"/>
          <w:i w:val="1"/>
          <w:iCs w:val="1"/>
          <w:color w:val="auto"/>
        </w:rPr>
        <w:t>New OPAL</w:t>
      </w:r>
      <w:r>
        <w:rPr>
          <w:rFonts w:ascii="Times New Roman" w:cs="Times New Roman" w:eastAsia="Times New Roman" w:hAnsi="Times New Roman"/>
          <w:sz w:val="18"/>
          <w:szCs w:val="18"/>
          <w:color w:val="auto"/>
        </w:rPr>
        <w:t>”), (B) each outstanding Class A ordinary share of the Company will become one share of Class A common stock, par value $0.0001 per share, of New OPAL (the “</w:t>
      </w:r>
      <w:r>
        <w:rPr>
          <w:rFonts w:ascii="Times New Roman" w:cs="Times New Roman" w:eastAsia="Times New Roman" w:hAnsi="Times New Roman"/>
          <w:sz w:val="18"/>
          <w:szCs w:val="18"/>
          <w:i w:val="1"/>
          <w:iCs w:val="1"/>
          <w:color w:val="auto"/>
        </w:rPr>
        <w:t>New OPAL Class A Common Stock</w:t>
      </w:r>
      <w:r>
        <w:rPr>
          <w:rFonts w:ascii="Times New Roman" w:cs="Times New Roman" w:eastAsia="Times New Roman" w:hAnsi="Times New Roman"/>
          <w:sz w:val="18"/>
          <w:szCs w:val="18"/>
          <w:color w:val="auto"/>
        </w:rPr>
        <w:t>”),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”)to be re-classified into a number of common units (collectively, the “</w:t>
      </w:r>
      <w:r>
        <w:rPr>
          <w:rFonts w:ascii="Times New Roman" w:cs="Times New Roman" w:eastAsia="Times New Roman" w:hAnsi="Times New Roman"/>
          <w:sz w:val="18"/>
          <w:szCs w:val="18"/>
          <w:i w:val="1"/>
          <w:iCs w:val="1"/>
          <w:color w:val="auto"/>
        </w:rPr>
        <w:t>OPAL Units</w:t>
      </w:r>
      <w:r>
        <w:rPr>
          <w:rFonts w:ascii="Times New Roman" w:cs="Times New Roman" w:eastAsia="Times New Roman" w:hAnsi="Times New Roman"/>
          <w:sz w:val="18"/>
          <w:szCs w:val="18"/>
          <w:color w:val="auto"/>
        </w:rPr>
        <w:t>”)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held by ARCC Beacon LLC, a Delaware limited liability company (“</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(C) the Company will contribute the (x) the amount of cash in the trust account (the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established by the Company with the proceeds from its initial public offering as of immediately prior to the Closing (and before, for the avoidance of doubt, giving effect to the exercise of redemption rights by any of the Company’s shareholders (the “</w:t>
      </w:r>
      <w:r>
        <w:rPr>
          <w:rFonts w:ascii="Times New Roman" w:cs="Times New Roman" w:eastAsia="Times New Roman" w:hAnsi="Times New Roman"/>
          <w:sz w:val="18"/>
          <w:szCs w:val="18"/>
          <w:i w:val="1"/>
          <w:iCs w:val="1"/>
          <w:color w:val="auto"/>
        </w:rPr>
        <w:t>Public Share Redemptions</w:t>
      </w:r>
      <w:r>
        <w:rPr>
          <w:rFonts w:ascii="Times New Roman" w:cs="Times New Roman" w:eastAsia="Times New Roman" w:hAnsi="Times New Roman"/>
          <w:sz w:val="18"/>
          <w:szCs w:val="18"/>
          <w:color w:val="auto"/>
        </w:rPr>
        <w:t>”)),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w:t>
      </w:r>
      <w:r>
        <w:rPr>
          <w:rFonts w:ascii="Times New Roman" w:cs="Times New Roman" w:eastAsia="Times New Roman" w:hAnsi="Times New Roman"/>
          <w:sz w:val="18"/>
          <w:szCs w:val="18"/>
          <w:i w:val="1"/>
          <w:iCs w:val="1"/>
          <w:color w:val="auto"/>
        </w:rPr>
        <w:t>Hillman</w:t>
      </w:r>
      <w:r>
        <w:rPr>
          <w:rFonts w:ascii="Times New Roman" w:cs="Times New Roman" w:eastAsia="Times New Roman" w:hAnsi="Times New Roman"/>
          <w:sz w:val="18"/>
          <w:szCs w:val="18"/>
          <w:color w:val="auto"/>
        </w:rPr>
        <w:t>”) a number of shares of Class D common stock, par value $0.0001 per share, of New OPAL (the “</w:t>
      </w:r>
      <w:r>
        <w:rPr>
          <w:rFonts w:ascii="Times New Roman" w:cs="Times New Roman" w:eastAsia="Times New Roman" w:hAnsi="Times New Roman"/>
          <w:sz w:val="18"/>
          <w:szCs w:val="18"/>
          <w:i w:val="1"/>
          <w:iCs w:val="1"/>
          <w:color w:val="auto"/>
        </w:rPr>
        <w:t>New OPAL Class D Common Stock</w:t>
      </w:r>
      <w:r>
        <w:rPr>
          <w:rFonts w:ascii="Times New Roman" w:cs="Times New Roman" w:eastAsia="Times New Roman" w:hAnsi="Times New Roman"/>
          <w:sz w:val="18"/>
          <w:szCs w:val="18"/>
          <w:color w:val="auto"/>
        </w:rPr>
        <w:t>”), and distribute to Ares (together with OPAL HoldCo and Hillman, collectively, the “</w:t>
      </w:r>
      <w:r>
        <w:rPr>
          <w:rFonts w:ascii="Times New Roman" w:cs="Times New Roman" w:eastAsia="Times New Roman" w:hAnsi="Times New Roman"/>
          <w:sz w:val="18"/>
          <w:szCs w:val="18"/>
          <w:i w:val="1"/>
          <w:iCs w:val="1"/>
          <w:color w:val="auto"/>
        </w:rPr>
        <w:t>OPAL Equityholders</w:t>
      </w:r>
      <w:r>
        <w:rPr>
          <w:rFonts w:ascii="Times New Roman" w:cs="Times New Roman" w:eastAsia="Times New Roman" w:hAnsi="Times New Roman"/>
          <w:sz w:val="18"/>
          <w:szCs w:val="18"/>
          <w:color w:val="auto"/>
        </w:rPr>
        <w:t>”) shares of Class B common stock, par value $0.0001 per share, of New OPAL (the “</w:t>
      </w:r>
      <w:r>
        <w:rPr>
          <w:rFonts w:ascii="Times New Roman" w:cs="Times New Roman" w:eastAsia="Times New Roman" w:hAnsi="Times New Roman"/>
          <w:sz w:val="18"/>
          <w:szCs w:val="18"/>
          <w:i w:val="1"/>
          <w:iCs w:val="1"/>
          <w:color w:val="auto"/>
        </w:rPr>
        <w:t>New OPAL Class B Common Stock</w:t>
      </w:r>
      <w:r>
        <w:rPr>
          <w:rFonts w:ascii="Times New Roman" w:cs="Times New Roman" w:eastAsia="Times New Roman" w:hAnsi="Times New Roman"/>
          <w:sz w:val="18"/>
          <w:szCs w:val="18"/>
          <w:color w:val="auto"/>
        </w:rPr>
        <w:t>”) (neither of which will have any economic value but will entitle the holder thereof to five votes per share or one vote per share, respectively), equal to the number of OPAL Units held by each of the OPAL Equityholders.</w:t>
      </w:r>
    </w:p>
    <w:p>
      <w:pPr>
        <w:spacing w:after="0" w:line="20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if New OPAL’s annual EBITDA for the calendar year 2023 exceeds $238,000,000 (the “</w:t>
      </w:r>
      <w:r>
        <w:rPr>
          <w:rFonts w:ascii="Times New Roman" w:cs="Times New Roman" w:eastAsia="Times New Roman" w:hAnsi="Times New Roman"/>
          <w:sz w:val="18"/>
          <w:szCs w:val="18"/>
          <w:i w:val="1"/>
          <w:iCs w:val="1"/>
          <w:color w:val="auto"/>
        </w:rPr>
        <w:t>First Earnout Triggering Event</w:t>
      </w:r>
      <w:r>
        <w:rPr>
          <w:rFonts w:ascii="Times New Roman" w:cs="Times New Roman" w:eastAsia="Times New Roman" w:hAnsi="Times New Roman"/>
          <w:sz w:val="18"/>
          <w:szCs w:val="18"/>
          <w:color w:val="auto"/>
        </w:rPr>
        <w:t>”), New OPAL will issue to OPAL HoldCo, Ares and Hillman (collectively, the “</w:t>
      </w:r>
      <w:r>
        <w:rPr>
          <w:rFonts w:ascii="Times New Roman" w:cs="Times New Roman" w:eastAsia="Times New Roman" w:hAnsi="Times New Roman"/>
          <w:sz w:val="18"/>
          <w:szCs w:val="18"/>
          <w:i w:val="1"/>
          <w:iCs w:val="1"/>
          <w:color w:val="auto"/>
        </w:rPr>
        <w:t>Earnout Participants</w:t>
      </w:r>
      <w:r>
        <w:rPr>
          <w:rFonts w:ascii="Times New Roman" w:cs="Times New Roman" w:eastAsia="Times New Roman" w:hAnsi="Times New Roman"/>
          <w:sz w:val="18"/>
          <w:szCs w:val="18"/>
          <w:color w:val="auto"/>
        </w:rPr>
        <w:t>”) an aggregate of 5,000,000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First Earnout Tranche</w:t>
      </w:r>
      <w:r>
        <w:rPr>
          <w:rFonts w:ascii="Times New Roman" w:cs="Times New Roman" w:eastAsia="Times New Roman" w:hAnsi="Times New Roman"/>
          <w:sz w:val="18"/>
          <w:szCs w:val="18"/>
          <w:color w:val="auto"/>
        </w:rPr>
        <w:t>”) in accordance with the allocations set forth in the Business Combination Agreement. Additionally, if New OPAL’s annual EBITDA for the calendar year 2024 exceeds $446,000,000 (the “</w:t>
      </w:r>
      <w:r>
        <w:rPr>
          <w:rFonts w:ascii="Times New Roman" w:cs="Times New Roman" w:eastAsia="Times New Roman" w:hAnsi="Times New Roman"/>
          <w:sz w:val="18"/>
          <w:szCs w:val="18"/>
          <w:i w:val="1"/>
          <w:iCs w:val="1"/>
          <w:color w:val="auto"/>
        </w:rPr>
        <w:t>Second Earnout Triggering Event</w:t>
      </w:r>
      <w:r>
        <w:rPr>
          <w:rFonts w:ascii="Times New Roman" w:cs="Times New Roman" w:eastAsia="Times New Roman" w:hAnsi="Times New Roman"/>
          <w:sz w:val="18"/>
          <w:szCs w:val="18"/>
          <w:color w:val="auto"/>
        </w:rPr>
        <w:t>”), New OPAL will issue to the Earnout Participants an aggregate of 5,000,000 additional shares of New OPAL Class B Common Stock and New OPAL Class D Common Stock and corresponding OPAL Units (collectively, the “</w:t>
      </w:r>
      <w:r>
        <w:rPr>
          <w:rFonts w:ascii="Times New Roman" w:cs="Times New Roman" w:eastAsia="Times New Roman" w:hAnsi="Times New Roman"/>
          <w:sz w:val="18"/>
          <w:szCs w:val="18"/>
          <w:i w:val="1"/>
          <w:iCs w:val="1"/>
          <w:color w:val="auto"/>
        </w:rPr>
        <w:t>Second Earnout Tranche</w:t>
      </w:r>
      <w:r>
        <w:rPr>
          <w:rFonts w:ascii="Times New Roman" w:cs="Times New Roman" w:eastAsia="Times New Roman" w:hAnsi="Times New Roman"/>
          <w:sz w:val="18"/>
          <w:szCs w:val="18"/>
          <w:color w:val="auto"/>
        </w:rPr>
        <w:t>”) in accordance with the allocations set forth in the Business Combination Agreement. In the event that the First Earnout Triggering Event does not occur but the Second Earnout Triggering Event does occur, New OPAL will be obligated to issue both the First Earnout Tranche and the Second Earnout Tranche upon the occurrence of the Second Earnout Triggering Event.</w:t>
      </w:r>
    </w:p>
    <w:p>
      <w:pPr>
        <w:spacing w:after="0" w:line="19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late in first half of 2022, following the receipt of the required approval by the Company’s shareholders and the fulfillment of other customary closing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Financing (Private Placement)</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(the “</w:t>
      </w:r>
      <w:r>
        <w:rPr>
          <w:rFonts w:ascii="Times New Roman" w:cs="Times New Roman" w:eastAsia="Times New Roman" w:hAnsi="Times New Roman"/>
          <w:sz w:val="18"/>
          <w:szCs w:val="18"/>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with certain investors, including, among others, an affiliate of the Company, as well as additional third-party investors.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closing of the PIPE Investment is contingent upon, among other things, the substantially concurrent consummation of the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Agreements provide that the Company will grant the investors in the PIPE Investment certain customary registration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contemplates that, at the Closing, OPAL Fuels, Ares, Hillman and the Class B Shareholders (collectively the “</w:t>
      </w:r>
      <w:r>
        <w:rPr>
          <w:rFonts w:ascii="Times New Roman" w:cs="Times New Roman" w:eastAsia="Times New Roman" w:hAnsi="Times New Roman"/>
          <w:sz w:val="18"/>
          <w:szCs w:val="18"/>
          <w:i w:val="1"/>
          <w:iCs w:val="1"/>
          <w:color w:val="auto"/>
        </w:rPr>
        <w:t>New OPAL Holders</w:t>
      </w:r>
      <w:r>
        <w:rPr>
          <w:rFonts w:ascii="Times New Roman" w:cs="Times New Roman" w:eastAsia="Times New Roman" w:hAnsi="Times New Roman"/>
          <w:sz w:val="18"/>
          <w:szCs w:val="18"/>
          <w:color w:val="auto"/>
        </w:rPr>
        <w:t>”) will enter into an Investor Rights Agreement (the “</w:t>
      </w:r>
      <w:r>
        <w:rPr>
          <w:rFonts w:ascii="Times New Roman" w:cs="Times New Roman" w:eastAsia="Times New Roman" w:hAnsi="Times New Roman"/>
          <w:sz w:val="18"/>
          <w:szCs w:val="18"/>
          <w:i w:val="1"/>
          <w:iCs w:val="1"/>
          <w:color w:val="auto"/>
        </w:rPr>
        <w:t>Investor Rights Agreement</w:t>
      </w:r>
      <w:r>
        <w:rPr>
          <w:rFonts w:ascii="Times New Roman" w:cs="Times New Roman" w:eastAsia="Times New Roman" w:hAnsi="Times New Roman"/>
          <w:sz w:val="18"/>
          <w:szCs w:val="18"/>
          <w:color w:val="auto"/>
        </w:rPr>
        <w: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approximately $812,000 in its operating bank account and working capital of approximately $1.4 million.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liquidity needs up to December 31, 2021 had been satisfied through a payment of $25,000 from the Sponsor to cover certain expenses on behalf of the Company in exchange for the issuance of the Founder Shares (as defined below), the loan under the promissory note from the Sponsor of approximately $172,000 (the “Note”) (see Note 5) to the Company, and the net proceeds from the consummation of the Private Placement not held in the Trust Account. The Note from the Sponsor was repaid in full on March 26, 2021.</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have concluded that the specific impact is not readily determinable as of the date of financial statements. The financial statement does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 and include all adjustments necessary for the fair presentation of the Company’s financial position for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There were no cash equivalents as of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2021, the Company has not experienced losses on these accounts and management believes the Company is not exposed to significant risks on such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approximates the carrying amounts represented in the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760" w:hanging="334"/>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FASB ASC Topic 815, “Derivatives and Hedging” (“ASC 815”). The classification of derivative instruments, including whether such instruments should be recorded as liabilities or as equity, is re-assessed at the end of each reporting period.</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as of December 31, 2021, 31,116,305 Class A ordinary shares subject to possible redemption is presented at redemption value as temporary equity, outside of the shareholders’ equity section of the Company’s balance sheet.</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Immediately upon the closing of the Initial Public Offering, the Company recognized the accretion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Ordinary Share</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warrants sold in the Initial Public Offering and the Private Placement to purchase an aggregate of 15,446,522, of the Company’s Class A ordinary shares in the calculation of diluted net income (loss) per share, since their inclusion would be anti-dilutive under the treasury stock method. As a result, diluted net income (loss) per share is the same as basic net income (loss) per share for the period January 13, 2021 (inception) through December 31, 2021. Accretion associated with the Class A ordinary shares subject to possible redemption is excluded from earnings per share as the redemption value approximates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used to compute basic and diluted net income (loss) per share for each ordinary share class: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Allocation of 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right="3200" w:firstLine="162"/>
        <w:spacing w:after="0" w:line="360" w:lineRule="auto"/>
        <w:rPr>
          <w:sz w:val="20"/>
          <w:szCs w:val="20"/>
          <w:color w:val="auto"/>
        </w:rPr>
      </w:pPr>
      <w:r>
        <w:rPr>
          <w:rFonts w:ascii="Times New Roman" w:cs="Times New Roman" w:eastAsia="Times New Roman" w:hAnsi="Times New Roman"/>
          <w:sz w:val="18"/>
          <w:szCs w:val="18"/>
          <w:color w:val="auto"/>
        </w:rPr>
        <w:t>Basic and diluted weighted average ordinary shares outstanding Basic and diluted net (loss) per ordinary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period</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January 13,</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(inception) through</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gridSpan w:val="3"/>
          </w:tcPr>
          <w:p>
            <w:pPr>
              <w:spacing w:after="0"/>
              <w:rPr>
                <w:sz w:val="21"/>
                <w:szCs w:val="21"/>
                <w:color w:val="auto"/>
              </w:rPr>
            </w:pPr>
          </w:p>
        </w:tc>
      </w:tr>
      <w:tr>
        <w:trPr>
          <w:trHeight w:val="648"/>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(12,456,056)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(3,738,606)</w:t>
            </w:r>
          </w:p>
        </w:tc>
      </w:tr>
      <w:tr>
        <w:trPr>
          <w:trHeight w:val="453"/>
        </w:trPr>
        <w:tc>
          <w:tcPr>
            <w:tcW w:w="180" w:type="dxa"/>
            <w:vAlign w:val="bottom"/>
          </w:tcPr>
          <w:p>
            <w:pPr>
              <w:spacing w:after="0"/>
              <w:rPr>
                <w:sz w:val="24"/>
                <w:szCs w:val="24"/>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25,360,688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7,611,848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the Company on January 1, 2024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updates,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December 31, 2021, the Company had no borrowings under the Working Capital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$100,000 in expenses in connection with such services for the period from January 13, 2021 (inception) ended December 31, 2021 which is included in general and administrative expenses in the accompanying statement of operations.</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&amp;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Shareholder Rights Agreement</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&amp; Contingencies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Legal Fees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entered into an engagement letter to obtain legal advisory services, pursuant to which the legal counsel agreed to defer their fees until the closing of the initial Business Combination. As of December 31, 2021, the Company recorded an aggregate of approximately $4.0 million in connection with such arrangement as deferred legal fees in the accompanying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Class A Ordinary Shares Subject to Possible Redemption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December 31, 2021, there were 31,116,305 shares of Class A ordinary shares outstanding, all of which were subject to possible redemption.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2021, Class A ordinary shares subject to possible redemption reflected on the balance sheet is reconciled on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311,163,050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allocated to Class A shares subject to possible redemption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(17,138,390)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allocated to Public Warrants at issuance</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(5,948,230)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Accretion on Class A ordinary shares subject to possible redemption amount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23,086,620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311,163,050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Shareholders’ Deficit</w:t>
      </w:r>
    </w:p>
    <w:p>
      <w:pPr>
        <w:spacing w:after="0" w:line="22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Class A ordinary shares with a par value of $0.0001 per share. 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Class A ordinary shares are entitled to one vote for each share. As of December 31, 2021, there were 31,116,305 Class A ordinary shares issued and outstanding. All Class A ordinary shares subject to possible redemption have been classified as temporary equity (see Note 7).</w:t>
      </w:r>
    </w:p>
    <w:p>
      <w:pPr>
        <w:spacing w:after="0" w:line="17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Class B ordinary shares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December 31, 2021, there were 7,779,076 Class B ordinary shares issued and outstanding.</w:t>
      </w:r>
    </w:p>
    <w:p>
      <w:pPr>
        <w:spacing w:after="0" w:line="19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Shareholders’ Deficit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9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 of $0.0001 per share.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there were no preference shares issued or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Warrant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2021, the Company had 6,223,261 and 9,223,261 Public Warrants and Private Placement Warrants, respectively, outstanding.</w:t>
      </w:r>
    </w:p>
    <w:p>
      <w:pPr>
        <w:spacing w:after="0" w:line="2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w:t>
      </w:r>
    </w:p>
    <w:p>
      <w:pPr>
        <w:spacing w:after="0" w:line="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warrants is not effective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9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cash when the price per Class A ordinary share equals or exceeds $18.00:</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as described herein with respect to the Private Placement Warrants):</w:t>
      </w:r>
    </w:p>
    <w:p>
      <w:pPr>
        <w:spacing w:after="0" w:line="162" w:lineRule="exact"/>
        <w:rPr>
          <w:sz w:val="20"/>
          <w:szCs w:val="20"/>
          <w:color w:val="auto"/>
        </w:rPr>
      </w:pPr>
    </w:p>
    <w:p>
      <w:pPr>
        <w:ind w:left="760" w:hanging="334"/>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warrants for Class A ordinary shares when the price per Class A ordinary share equals or exceeds $10.00:</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225" w:lineRule="exact"/>
        <w:rPr>
          <w:sz w:val="20"/>
          <w:szCs w:val="20"/>
          <w:color w:val="auto"/>
        </w:rPr>
      </w:pPr>
    </w:p>
    <w:p>
      <w:pPr>
        <w:ind w:left="760" w:hanging="334"/>
        <w:spacing w:after="0"/>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760" w:hanging="334"/>
        <w:spacing w:after="0" w:line="266"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75" w:lineRule="exact"/>
        <w:rPr>
          <w:rFonts w:ascii="Times New Roman" w:cs="Times New Roman" w:eastAsia="Times New Roman" w:hAnsi="Times New Roman"/>
          <w:sz w:val="18"/>
          <w:szCs w:val="18"/>
          <w:color w:val="auto"/>
        </w:rPr>
      </w:pPr>
    </w:p>
    <w:p>
      <w:pPr>
        <w:ind w:left="760" w:hanging="334"/>
        <w:spacing w:after="0" w:line="282" w:lineRule="auto"/>
        <w:tabs>
          <w:tab w:leader="none" w:pos="7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 — trading day period ending three trading days before the Company sends the notice of redemption to the warrant holders;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Derivative Warrant Liabilities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left="760" w:hanging="334"/>
        <w:spacing w:after="0" w:line="266"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December 31, 2021 and indicates the fair value hierarchy of the valuation techniques that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7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held in Trust Account – money market fund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311,175,471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Public Warrants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10,392,850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liabilities – Private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15,402,850</w:t>
            </w:r>
          </w:p>
        </w:tc>
      </w:tr>
    </w:tbl>
    <w:p>
      <w:pPr>
        <w:spacing w:after="0" w:line="17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period from January 13, 2021 (inception) through December 31, 2021, the Company recognized a change to the statement of operations resulting from an increase in the fair value of liabilities of approximately $10.8 million presented as change in fair value of derivative warrant liabilities in the accompanying statement of operations.</w:t>
      </w:r>
    </w:p>
    <w:p>
      <w:pPr>
        <w:spacing w:after="0" w:line="18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4" w:name="page185"/>
    <w:bookmarkEnd w:id="184"/>
    <w:p>
      <w:pPr>
        <w:ind w:left="3820"/>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22,</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the options to convert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change in the level 3 fair value of the derivative warrant liabilities for the period from January 13, 2021 (inception) through December 31, 2021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Public</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Private</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January 13, 2021 (inception)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Public and Private Warrants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5,948,230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9,047,530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14,995,760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Level 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(10,455,080)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(10,455,080)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4,506,850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6,355,320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10,862,170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at December 31, 2021</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15,402,850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up to the date financial statements were issued. Based upon this review, the Company determined that there have been no events that have occurred that would require adjustments to the disclosures in the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$23,864 and $1,991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39,314</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$100 and $40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24,781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Parts 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$496 and $113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162,969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86,975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$36,653 and $27,794 at June 30, 2022 and December 31, 2021,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cash (includes $1,164 and $1,163 at June 30, 2022 and December 31, 2021, respectively, related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(includes $217 and $544 at June 30, 2022 and December 31, 2021, respectively, related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12,581</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related party (includes $939 and $— at June 30, 2022 and December 31, 2021, respectively,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tax credits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 and $1,722 at June 30, 2022 and December 31, 2021, respectively, related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$184 and $—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73,145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$1,418 and $756 at June 30, 2022 and December 31, 2021, respectively,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OPAL term loan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$17,469 and $16,199 at June 30, 2022 and December 31, 2021,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Municipality loan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305,323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285,887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 authorized, and 300,000 units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31,417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30,210</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units, subject to redemption, $100 par value, 2,000,000 units authorized, and 1,000,000 and 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units issued and outstanding at June 30, 2022 and December 31, 2021, respectively.</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units authorized, and 1,000 units issued and outstanding at June 30, 2022</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2021</w:t>
            </w:r>
          </w:p>
        </w:tc>
        <w:tc>
          <w:tcPr>
            <w:tcW w:w="320" w:type="dxa"/>
            <w:vAlign w:val="bottom"/>
          </w:tcPr>
          <w:p>
            <w:pPr>
              <w:spacing w:after="0"/>
              <w:rPr>
                <w:sz w:val="20"/>
                <w:szCs w:val="20"/>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47,681</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47,592</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OPAL Fuels LLC members’ equity</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2"/>
              </w:rPr>
              <w:t>56,636</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63,559</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17,638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2"/>
              </w:rPr>
              <w:t>74,274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64,747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50,815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19,174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19,152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21,437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17,173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102,264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57,784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17,888</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28,757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11,185</w:t>
            </w: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19,818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unit amounts: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18,636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PREFERRED UNITS AND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8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Series A Preferred</w:t>
            </w:r>
          </w:p>
        </w:tc>
        <w:tc>
          <w:tcPr>
            <w:tcW w:w="172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Series A-1 Preferred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8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Members’</w:t>
            </w:r>
          </w:p>
        </w:tc>
        <w:tc>
          <w:tcPr>
            <w:tcW w:w="120" w:type="dxa"/>
            <w:vAlign w:val="bottom"/>
          </w:tcPr>
          <w:p>
            <w:pPr>
              <w:spacing w:after="0"/>
              <w:rPr>
                <w:sz w:val="16"/>
                <w:szCs w:val="16"/>
                <w:color w:val="auto"/>
              </w:rPr>
            </w:pPr>
          </w:p>
        </w:tc>
        <w:tc>
          <w:tcPr>
            <w:tcW w:w="94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6"/>
                <w:szCs w:val="16"/>
                <w:color w:val="auto"/>
              </w:rPr>
            </w:pPr>
          </w:p>
        </w:tc>
        <w:tc>
          <w:tcPr>
            <w:tcW w:w="106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Members’</w:t>
            </w:r>
          </w:p>
        </w:tc>
        <w:tc>
          <w:tcPr>
            <w:tcW w:w="116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6"/>
                <w:szCs w:val="16"/>
                <w:color w:val="auto"/>
              </w:rPr>
            </w:pPr>
          </w:p>
        </w:tc>
        <w:tc>
          <w:tcPr>
            <w:tcW w:w="70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60" w:type="dxa"/>
            <w:vAlign w:val="bottom"/>
          </w:tcPr>
          <w:p>
            <w:pPr>
              <w:spacing w:after="0"/>
              <w:rPr>
                <w:sz w:val="21"/>
                <w:szCs w:val="21"/>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860" w:type="dxa"/>
            <w:vAlign w:val="bottom"/>
            <w:tcBorders>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1"/>
                <w:szCs w:val="21"/>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0" w:type="dxa"/>
            <w:vAlign w:val="bottom"/>
          </w:tcPr>
          <w:p>
            <w:pPr>
              <w:spacing w:after="0"/>
              <w:rPr>
                <w:sz w:val="21"/>
                <w:szCs w:val="21"/>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184"/>
        </w:trPr>
        <w:tc>
          <w:tcPr>
            <w:tcW w:w="158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December</w:t>
            </w: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64,747</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non-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9"/>
                <w:szCs w:val="29"/>
                <w:color w:val="auto"/>
                <w:vertAlign w:val="superscript"/>
              </w:rPr>
              <w:t>(1)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16,949</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16,901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to</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 non-</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redeemable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units,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issuance</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5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9"/>
                <w:szCs w:val="29"/>
                <w:color w:val="auto"/>
                <w:vertAlign w:val="superscript"/>
              </w:rPr>
              <w:t>(2)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Paid-in-kind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(2,435)</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171"/>
        </w:trPr>
        <w:tc>
          <w:tcPr>
            <w:tcW w:w="15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June 30,</w:t>
            </w: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352"/>
        <w:spacing w:after="0" w:line="196" w:lineRule="auto"/>
        <w:tabs>
          <w:tab w:leader="none" w:pos="36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Represents partner’s contribution towards a newly formed joint venture Emerald RNG LLC. See Note.12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additional information.</w:t>
      </w:r>
    </w:p>
    <w:p>
      <w:pPr>
        <w:spacing w:after="0" w:line="87" w:lineRule="exact"/>
        <w:rPr>
          <w:rFonts w:ascii="Times New Roman" w:cs="Times New Roman" w:eastAsia="Times New Roman" w:hAnsi="Times New Roman"/>
          <w:sz w:val="30"/>
          <w:szCs w:val="30"/>
          <w:color w:val="auto"/>
          <w:vertAlign w:val="superscript"/>
        </w:rPr>
      </w:pPr>
    </w:p>
    <w:p>
      <w:pPr>
        <w:ind w:left="360" w:hanging="352"/>
        <w:spacing w:after="0" w:line="197" w:lineRule="auto"/>
        <w:tabs>
          <w:tab w:leader="none" w:pos="36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issued 1,000,000 redeemable preferred units to NextEra Energy(“</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xml:space="preserve">”) for aggregate proceeds of $100,000. The issuance costs of $267 were reduced from retained earnings. Please see Note.13 </w:t>
      </w:r>
      <w:r>
        <w:rPr>
          <w:rFonts w:ascii="Times New Roman" w:cs="Times New Roman" w:eastAsia="Times New Roman" w:hAnsi="Times New Roman"/>
          <w:sz w:val="18"/>
          <w:szCs w:val="18"/>
          <w:i w:val="1"/>
          <w:iCs w:val="1"/>
          <w:color w:val="auto"/>
        </w:rPr>
        <w:t>Redeemable preferred units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7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21"/>
                <w:szCs w:val="21"/>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136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20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1"/>
                <w:szCs w:val="21"/>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21"/>
                <w:szCs w:val="21"/>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Initial non-controlling interest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3,857</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June 30,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hanging="352"/>
        <w:spacing w:after="0"/>
        <w:tabs>
          <w:tab w:leader="none" w:pos="36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partner’s contribution from sale of non-controlling interest in an RNG facility.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3,954</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8,437</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(3,242)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6,551</w:t>
            </w: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(54,298)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(34,422)</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 on acquisition of equity method investment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1,975</w:t>
            </w: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11,809</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Senior secured credit facility</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15,202</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redeemable preferred units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7,522</w:t>
            </w:r>
          </w:p>
        </w:tc>
      </w:tr>
      <w:tr>
        <w:trPr>
          <w:trHeight w:val="23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members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58,225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16,334</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restricted cash, and cash equivalents,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31,722</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 and $168 capitalized, respectively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long-term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 for purchase of Property, plant and equipment included in Accounts payable and Accrued capital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20,096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83"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OPAL Fuels LLC (including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i w:val="1"/>
          <w:i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i w:val="1"/>
          <w:iCs w:val="1"/>
          <w:color w:val="auto"/>
        </w:rPr>
        <w:t>CNG</w:t>
      </w:r>
      <w:r>
        <w:rPr>
          <w:rFonts w:ascii="Times New Roman" w:cs="Times New Roman" w:eastAsia="Times New Roman" w:hAnsi="Times New Roman"/>
          <w:sz w:val="18"/>
          <w:szCs w:val="18"/>
          <w:color w:val="auto"/>
        </w:rPr>
        <w:t>”) for vehicle fleets across the country that use RNG and CNG to displace diesel as their transportation fuel. RNG is derived from landfill gas (“</w:t>
      </w:r>
      <w:r>
        <w:rPr>
          <w:rFonts w:ascii="Times New Roman" w:cs="Times New Roman" w:eastAsia="Times New Roman" w:hAnsi="Times New Roman"/>
          <w:sz w:val="18"/>
          <w:szCs w:val="18"/>
          <w:b w:val="1"/>
          <w:bCs w:val="1"/>
          <w:i w:val="1"/>
          <w:iCs w:val="1"/>
          <w:color w:val="auto"/>
        </w:rPr>
        <w:t>LFG</w:t>
      </w:r>
      <w:r>
        <w:rPr>
          <w:rFonts w:ascii="Times New Roman" w:cs="Times New Roman" w:eastAsia="Times New Roman" w:hAnsi="Times New Roman"/>
          <w:sz w:val="18"/>
          <w:szCs w:val="18"/>
          <w:color w:val="auto"/>
        </w:rPr>
        <w:t>”) and dairy digester gas. In addition, the Company owns LFG fueled power plants that sell renewable power to public utilities. The Company is a subsidiary of Opal Holdco LLC which, in turn, is an indirect subsidiary of Fortistar LLC (the “</w:t>
      </w:r>
      <w:r>
        <w:rPr>
          <w:rFonts w:ascii="Times New Roman" w:cs="Times New Roman" w:eastAsia="Times New Roman" w:hAnsi="Times New Roman"/>
          <w:sz w:val="18"/>
          <w:szCs w:val="18"/>
          <w:b w:val="1"/>
          <w:bCs w:val="1"/>
          <w:i w:val="1"/>
          <w:iCs w:val="1"/>
          <w:color w:val="auto"/>
        </w:rPr>
        <w:t>Ultimate Parent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expressly stated, all dollar amounts set forth in these notes are presented in thousands of dollars except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six months ended June 30, 2022.</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our liquidity consisted of cash and cash equivalents including restricted cash of $100,279.</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we had total indebtedness excluding the deferred financing costs of $244,113 in principal amount which primarily consists of $80,132 under the Senior secured credit facility, $60,820 under the Convertible note payable, $83,556 under the OPAL term loan, $174 under the Municipality loan, and $19,431 under the Sunoma loan. The outstanding debt under the Senior secured credit facility is due to be paid in December 2022 and therefore has been classified as a current liability.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completed the Business Combination (further described in Note 16 below) in July 2022 which resulted in additional cash infusion of $123,363. The Company received the remaining $5,000 subscribed for pursuant to the PIPE Investment (defined below in Note 16) from one of the PIPE Investors (defined below in Note 16) subsequent to the Closing. Additionally, on August 4, 2022, we entered into a senior secured credit facility for $105,000 which will be used to fund a portfolio of RNG projects currently in, or going into, construction. In July 2022, we received a redemption notice from Biotown for the Note receivable and the Company subsequently received $11,555 including the payment of the principal balance of $10,915, prepayment penalty of $546 and accrued interest of $94. We would have an additional $35,000 available under the OPAL term loan in second half of 2022 upon the commencement of operations of three additional RNG facilities.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available cash following the consummation of the Business Combination and PIPE Investment, together with our other assets, expected cash flows from operations, and available lines of credit under various debt facilities will be sufficient to meet our existing commitments for a period of at least twelve months following the date of this prospectus.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2" w:name="page193"/>
    <w:bookmarkEnd w:id="19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accompanying condensed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are prepared in accordance with generally accepted accounting principles in the United States (“</w:t>
      </w:r>
      <w:r>
        <w:rPr>
          <w:rFonts w:ascii="Times New Roman" w:cs="Times New Roman" w:eastAsia="Times New Roman" w:hAnsi="Times New Roman"/>
          <w:sz w:val="18"/>
          <w:szCs w:val="18"/>
          <w:b w:val="1"/>
          <w:bCs w:val="1"/>
          <w:i w:val="1"/>
          <w:iCs w:val="1"/>
          <w:color w:val="auto"/>
        </w:rPr>
        <w:t>U.S. GAAP</w:t>
      </w:r>
      <w:r>
        <w:rPr>
          <w:rFonts w:ascii="Times New Roman" w:cs="Times New Roman" w:eastAsia="Times New Roman" w:hAnsi="Times New Roman"/>
          <w:sz w:val="18"/>
          <w:szCs w:val="18"/>
          <w:color w:val="auto"/>
        </w:rPr>
        <w:t>”). In the opinion of management, the accompanying unaudited condensed consolidated financial statements include all normal and recurring adjustments, which are necessary in order to make the financial statements not misleading and to provide a fair presentation of the Company’s financial position, operating results, and cash flows for the interim periods presented. The results of operations for the interim periods presented are not necessarily indicative of the results that may be expected for the entire year. The information herein should be read in conjunction with the Company’s audited consolidated financial statements and notes thereto.</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all other entities in which the Company has a controlling financial interest: Fortistar Methane 3 LLC (“</w:t>
      </w:r>
      <w:r>
        <w:rPr>
          <w:rFonts w:ascii="Times New Roman" w:cs="Times New Roman" w:eastAsia="Times New Roman" w:hAnsi="Times New Roman"/>
          <w:sz w:val="18"/>
          <w:szCs w:val="18"/>
          <w:b w:val="1"/>
          <w:bCs w:val="1"/>
          <w:i w:val="1"/>
          <w:iCs w:val="1"/>
          <w:color w:val="auto"/>
        </w:rPr>
        <w:t>FM3</w:t>
      </w:r>
      <w:r>
        <w:rPr>
          <w:rFonts w:ascii="Times New Roman" w:cs="Times New Roman" w:eastAsia="Times New Roman" w:hAnsi="Times New Roman"/>
          <w:sz w:val="18"/>
          <w:szCs w:val="18"/>
          <w:color w:val="auto"/>
        </w:rPr>
        <w:t>”), Fortistar Methane 4 LLC, Sunoma Holdings, LLC (“</w:t>
      </w:r>
      <w:r>
        <w:rPr>
          <w:rFonts w:ascii="Times New Roman" w:cs="Times New Roman" w:eastAsia="Times New Roman" w:hAnsi="Times New Roman"/>
          <w:sz w:val="18"/>
          <w:szCs w:val="18"/>
          <w:b w:val="1"/>
          <w:bCs w:val="1"/>
          <w:i w:val="1"/>
          <w:iCs w:val="1"/>
          <w:color w:val="auto"/>
        </w:rPr>
        <w:t>Sunoma</w:t>
      </w:r>
      <w:r>
        <w:rPr>
          <w:rFonts w:ascii="Times New Roman" w:cs="Times New Roman" w:eastAsia="Times New Roman" w:hAnsi="Times New Roman"/>
          <w:sz w:val="18"/>
          <w:szCs w:val="18"/>
          <w:color w:val="auto"/>
        </w:rPr>
        <w:t>”), Emerald RNG LLC (“</w:t>
      </w:r>
      <w:r>
        <w:rPr>
          <w:rFonts w:ascii="Times New Roman" w:cs="Times New Roman" w:eastAsia="Times New Roman" w:hAnsi="Times New Roman"/>
          <w:sz w:val="18"/>
          <w:szCs w:val="18"/>
          <w:b w:val="1"/>
          <w:bCs w:val="1"/>
          <w:i w:val="1"/>
          <w:iCs w:val="1"/>
          <w:color w:val="auto"/>
        </w:rPr>
        <w:t>Emerald</w:t>
      </w:r>
      <w:r>
        <w:rPr>
          <w:rFonts w:ascii="Times New Roman" w:cs="Times New Roman" w:eastAsia="Times New Roman" w:hAnsi="Times New Roman"/>
          <w:sz w:val="18"/>
          <w:szCs w:val="18"/>
          <w:color w:val="auto"/>
        </w:rPr>
        <w:t>”), Sapphire RNG LLC (“</w:t>
      </w:r>
      <w:r>
        <w:rPr>
          <w:rFonts w:ascii="Times New Roman" w:cs="Times New Roman" w:eastAsia="Times New Roman" w:hAnsi="Times New Roman"/>
          <w:sz w:val="18"/>
          <w:szCs w:val="18"/>
          <w:b w:val="1"/>
          <w:bCs w:val="1"/>
          <w:i w:val="1"/>
          <w:iCs w:val="1"/>
          <w:color w:val="auto"/>
        </w:rPr>
        <w:t>Sapphire</w:t>
      </w:r>
      <w:r>
        <w:rPr>
          <w:rFonts w:ascii="Times New Roman" w:cs="Times New Roman" w:eastAsia="Times New Roman" w:hAnsi="Times New Roman"/>
          <w:sz w:val="18"/>
          <w:szCs w:val="18"/>
          <w:color w:val="auto"/>
        </w:rPr>
        <w:t>”), New River LLC (“</w:t>
      </w:r>
      <w:r>
        <w:rPr>
          <w:rFonts w:ascii="Times New Roman" w:cs="Times New Roman" w:eastAsia="Times New Roman" w:hAnsi="Times New Roman"/>
          <w:sz w:val="18"/>
          <w:szCs w:val="18"/>
          <w:b w:val="1"/>
          <w:bCs w:val="1"/>
          <w:i w:val="1"/>
          <w:iCs w:val="1"/>
          <w:color w:val="auto"/>
        </w:rPr>
        <w:t>New River</w:t>
      </w:r>
      <w:r>
        <w:rPr>
          <w:rFonts w:ascii="Times New Roman" w:cs="Times New Roman" w:eastAsia="Times New Roman" w:hAnsi="Times New Roman"/>
          <w:sz w:val="18"/>
          <w:szCs w:val="18"/>
          <w:color w:val="auto"/>
        </w:rPr>
        <w:t>”), Reynolds NRG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Beacon RNG LLC (“</w:t>
      </w:r>
      <w:r>
        <w:rPr>
          <w:rFonts w:ascii="Times New Roman" w:cs="Times New Roman" w:eastAsia="Times New Roman" w:hAnsi="Times New Roman"/>
          <w:sz w:val="18"/>
          <w:szCs w:val="18"/>
          <w:b w:val="1"/>
          <w:bCs w:val="1"/>
          <w:i w:val="1"/>
          <w:iCs w:val="1"/>
          <w:color w:val="auto"/>
        </w:rPr>
        <w:t>Beacon</w:t>
      </w:r>
      <w:r>
        <w:rPr>
          <w:rFonts w:ascii="Times New Roman" w:cs="Times New Roman" w:eastAsia="Times New Roman" w:hAnsi="Times New Roman"/>
          <w:sz w:val="18"/>
          <w:szCs w:val="18"/>
          <w:color w:val="auto"/>
        </w:rPr>
        <w:t>”), Central Valley LLC (“</w:t>
      </w:r>
      <w:r>
        <w:rPr>
          <w:rFonts w:ascii="Times New Roman" w:cs="Times New Roman" w:eastAsia="Times New Roman" w:hAnsi="Times New Roman"/>
          <w:sz w:val="18"/>
          <w:szCs w:val="18"/>
          <w:b w:val="1"/>
          <w:bCs w:val="1"/>
          <w:i w:val="1"/>
          <w:iCs w:val="1"/>
          <w:color w:val="auto"/>
        </w:rPr>
        <w:t>Central Valley</w:t>
      </w:r>
      <w:r>
        <w:rPr>
          <w:rFonts w:ascii="Times New Roman" w:cs="Times New Roman" w:eastAsia="Times New Roman" w:hAnsi="Times New Roman"/>
          <w:sz w:val="18"/>
          <w:szCs w:val="18"/>
          <w:color w:val="auto"/>
        </w:rPr>
        <w:t>”), Fortistar Contracting LLC, Fortistar RNG LLC, and TruStar Energy LLC (“</w:t>
      </w:r>
      <w:r>
        <w:rPr>
          <w:rFonts w:ascii="Times New Roman" w:cs="Times New Roman" w:eastAsia="Times New Roman" w:hAnsi="Times New Roman"/>
          <w:sz w:val="18"/>
          <w:szCs w:val="18"/>
          <w:b w:val="1"/>
          <w:bCs w:val="1"/>
          <w:i w:val="1"/>
          <w:iCs w:val="1"/>
          <w:color w:val="auto"/>
        </w:rPr>
        <w:t>TruStar</w:t>
      </w:r>
      <w:r>
        <w:rPr>
          <w:rFonts w:ascii="Times New Roman" w:cs="Times New Roman" w:eastAsia="Times New Roman" w:hAnsi="Times New Roman"/>
          <w:sz w:val="18"/>
          <w:szCs w:val="18"/>
          <w:color w:val="auto"/>
        </w:rPr>
        <w:t>”). The Company’s condensed consolidated financial statements include the assets and liabilities of these subsidiaries. All intercompany transactions and balances have been eliminated in consolidation. The non-controlling interest attributable to the Company’s variable interest entities (“</w:t>
      </w:r>
      <w:r>
        <w:rPr>
          <w:rFonts w:ascii="Times New Roman" w:cs="Times New Roman" w:eastAsia="Times New Roman" w:hAnsi="Times New Roman"/>
          <w:sz w:val="18"/>
          <w:szCs w:val="18"/>
          <w:b w:val="1"/>
          <w:bCs w:val="1"/>
          <w:i w:val="1"/>
          <w:iCs w:val="1"/>
          <w:color w:val="auto"/>
        </w:rPr>
        <w:t>VIE</w:t>
      </w:r>
      <w:r>
        <w:rPr>
          <w:rFonts w:ascii="Times New Roman" w:cs="Times New Roman" w:eastAsia="Times New Roman" w:hAnsi="Times New Roman"/>
          <w:sz w:val="18"/>
          <w:szCs w:val="18"/>
          <w:color w:val="auto"/>
        </w:rPr>
        <w:t>”) are presented as a separate component from OPAL Fuels LLC members’ equity in the condensed consolidated balance sheets and as a non-controlling interest in the condensed consolidated statements of changes in redeemable preferred units and members’ equity.</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activities of the Company, its subsidiaries, and its equity method investments for the six months ended June 30, 2022 and 2021. Investments in unconsolidated entities in which the Company can influence the operating or financial decisions are accounted for under the equity method. As of June 30, 2022 and December 31, 2021, the Company accounted for its ownership interests in Pine Bend RNG LLC (“</w:t>
      </w:r>
      <w:r>
        <w:rPr>
          <w:rFonts w:ascii="Times New Roman" w:cs="Times New Roman" w:eastAsia="Times New Roman" w:hAnsi="Times New Roman"/>
          <w:sz w:val="18"/>
          <w:szCs w:val="18"/>
          <w:b w:val="1"/>
          <w:bCs w:val="1"/>
          <w:i w:val="1"/>
          <w:iCs w:val="1"/>
          <w:color w:val="auto"/>
        </w:rPr>
        <w:t>Pine Bend</w:t>
      </w:r>
      <w:r>
        <w:rPr>
          <w:rFonts w:ascii="Times New Roman" w:cs="Times New Roman" w:eastAsia="Times New Roman" w:hAnsi="Times New Roman"/>
          <w:sz w:val="18"/>
          <w:szCs w:val="18"/>
          <w:color w:val="auto"/>
        </w:rPr>
        <w:t>”), Noble Road RNG LLC (“</w:t>
      </w:r>
      <w:r>
        <w:rPr>
          <w:rFonts w:ascii="Times New Roman" w:cs="Times New Roman" w:eastAsia="Times New Roman" w:hAnsi="Times New Roman"/>
          <w:sz w:val="18"/>
          <w:szCs w:val="18"/>
          <w:b w:val="1"/>
          <w:bCs w:val="1"/>
          <w:i w:val="1"/>
          <w:iCs w:val="1"/>
          <w:color w:val="auto"/>
        </w:rPr>
        <w:t>Noble Road</w:t>
      </w:r>
      <w:r>
        <w:rPr>
          <w:rFonts w:ascii="Times New Roman" w:cs="Times New Roman" w:eastAsia="Times New Roman" w:hAnsi="Times New Roman"/>
          <w:sz w:val="18"/>
          <w:szCs w:val="18"/>
          <w:color w:val="auto"/>
        </w:rPr>
        <w:t>”) and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xml:space="preserve">”) under the equity method. The Company’s interests in Beacon for the period between January 1, 2021 and April 30, 2021 were accounted for under the equity method. Please see Note 3.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for additional information. Beacon was consolidated after acquisition of remaining ownership interests increasing the ownership interest from 44.3% to 100% on May 1, 2021.</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the estimated losses on our trade receivables, the fair value of the Convertible note payable (as defined below), the impairment assessment of goodwill, and the fair value of derivatives. Actual results could differ from those estimates. The Company’s estimates and assumptions are subject to uncertainties, including those associated with market conditions, risks and trends and the ongoing COVID-19 pandemic.</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results of operations for the interim periods presented are not necessarily indicative of the results that may be expected for the entire year.</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Certain financial information or footnote disclosures normally included in the annual financial statements prepared in accordance with U.S. GAAP have been condensed or omitted, pursuant to the rules and regulations of the Securities Exchange Commission for interim financial reporting. Accordingly, it does not include all the information and notes necessary for a complete presentation of financial position, results of operations, or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2022, the Financial Accounting Standards Board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Equity Securities Subject to Contractual Sale Restrictions </w:t>
      </w:r>
      <w:r>
        <w:rPr>
          <w:rFonts w:ascii="Times New Roman" w:cs="Times New Roman" w:eastAsia="Times New Roman" w:hAnsi="Times New Roman"/>
          <w:sz w:val="18"/>
          <w:szCs w:val="18"/>
          <w:color w:val="auto"/>
        </w:rPr>
        <w:t>which states that a contractual restriction on the sale of an equity security is not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held as collateral</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100,279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allowance for doubtful accounts was $100 and $0 at June 30, 2022 and December 31,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in accordance with FASB Accounting Standards Codification (“</w:t>
      </w:r>
      <w:r>
        <w:rPr>
          <w:rFonts w:ascii="Times New Roman" w:cs="Times New Roman" w:eastAsia="Times New Roman" w:hAnsi="Times New Roman"/>
          <w:sz w:val="18"/>
          <w:szCs w:val="18"/>
          <w:b w:val="1"/>
          <w:bCs w:val="1"/>
          <w:i w:val="1"/>
          <w:iCs w:val="1"/>
          <w:color w:val="auto"/>
        </w:rPr>
        <w:t>ASC</w:t>
      </w:r>
      <w:r>
        <w:rPr>
          <w:rFonts w:ascii="Times New Roman" w:cs="Times New Roman" w:eastAsia="Times New Roman" w:hAnsi="Times New Roman"/>
          <w:sz w:val="18"/>
          <w:szCs w:val="18"/>
          <w:color w:val="auto"/>
        </w:rPr>
        <w:t xml:space="preserve">”) 410, </w:t>
      </w:r>
      <w:r>
        <w:rPr>
          <w:rFonts w:ascii="Times New Roman" w:cs="Times New Roman" w:eastAsia="Times New Roman" w:hAnsi="Times New Roman"/>
          <w:sz w:val="18"/>
          <w:szCs w:val="18"/>
          <w:i w:val="1"/>
          <w:iCs w:val="1"/>
          <w:color w:val="auto"/>
        </w:rPr>
        <w:t>Asset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Environmental Obligations, </w:t>
      </w:r>
      <w:r>
        <w:rPr>
          <w:rFonts w:ascii="Times New Roman" w:cs="Times New Roman" w:eastAsia="Times New Roman" w:hAnsi="Times New Roman"/>
          <w:sz w:val="18"/>
          <w:szCs w:val="18"/>
          <w:color w:val="auto"/>
        </w:rPr>
        <w:t>which requires entities to record the fair value of a liability for an asset retirement obligation in the period in which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estimated the value of its total asset retirement obligations to be $5,887 and $5,738,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in the asset retirement obligations were as follows as of June 30,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Write off of Asset retirement obligation</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1002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asset retirement obligation</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that allows for the recognition of revenue from performance obligations in the amount of consideration to which there is a right to invoice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agreements with two natural gas producers (“</w:t>
      </w:r>
      <w:r>
        <w:rPr>
          <w:rFonts w:ascii="Times New Roman" w:cs="Times New Roman" w:eastAsia="Times New Roman" w:hAnsi="Times New Roman"/>
          <w:sz w:val="18"/>
          <w:szCs w:val="18"/>
          <w:b w:val="1"/>
          <w:bCs w:val="1"/>
          <w:i w:val="1"/>
          <w:iCs w:val="1"/>
          <w:color w:val="auto"/>
        </w:rPr>
        <w:t>Producers</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i w:val="1"/>
          <w:iCs w:val="1"/>
          <w:color w:val="auto"/>
        </w:rPr>
        <w:t>System</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a current asset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first quarter of 2022. During the six months ended June 30, 2022, the Company earned net revenues after discount and fees of $29,688 under this contract which was recorded as part of Revenues - RNG fuel.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i w:val="1"/>
          <w:iCs w:val="1"/>
          <w:color w:val="auto"/>
        </w:rPr>
        <w:t>MMBtu</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i w:val="1"/>
          <w:iCs w:val="1"/>
          <w:color w:val="auto"/>
        </w:rPr>
        <w:t>MWhs</w:t>
      </w:r>
      <w:r>
        <w:rPr>
          <w:rFonts w:ascii="Times New Roman" w:cs="Times New Roman" w:eastAsia="Times New Roman" w:hAnsi="Times New Roman"/>
          <w:sz w:val="18"/>
          <w:szCs w:val="18"/>
          <w:color w:val="auto"/>
        </w:rPr>
        <w:t>”) produced at that site. This revenue is recognized when LFG is collected and renewable power is delivered.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5" w:name="page196"/>
    <w:bookmarkEnd w:id="19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concluded these agreements meet the criteria for a lease and are classified as operating leases. Typically, these agreements do not require any minimum consumption amounts and, therefore, no minimum payments. Included in “RNG fuel” revenues are $1,050 and $950 related to the lease portion of these agreements for the six months ended June 30, 2022 and 2021. In addition, the Company has assessed all PPAs and concluded that certain PPAs contain a lease element requiring lease accounting. Included in “Renewable power” revenues are $630 and $877 related to the lease element of these PPAs for the six months ended June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disaggregation of revenue according to product line:</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approximately 22.3% and 16.0%, respectively, of revenue was recognized over time, and the remainder was for products and services transferred at a point in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and estimated earnings in excess of billings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retainage, net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 assets 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Contract liabilities 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revenue of $9,785 that was included in “Contract liabilities” at December 31, 2021. During the six months ended June 30, 2021, the Company recognized revenue of $4,678 that was included in “Contract liabilities” at December 31, 2020.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i w:val="1"/>
          <w:iCs w:val="1"/>
          <w:color w:val="auto"/>
        </w:rPr>
        <w:t>backlog</w:t>
      </w:r>
      <w:r>
        <w:rPr>
          <w:rFonts w:ascii="Times New Roman" w:cs="Times New Roman" w:eastAsia="Times New Roman" w:hAnsi="Times New Roman"/>
          <w:sz w:val="18"/>
          <w:szCs w:val="18"/>
          <w:color w:val="auto"/>
        </w:rPr>
        <w:t>”) represent the unrecognized revenue value of its contract commitments. The Company’s backlog may significantly vary each reporting period based on the timing of major new contract commitments. At June 30, 2022, the Company had a backlog of $46,028 with out of which $44,691 of its backlog is anticipated to be recognized as revenue in the next 12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two customers accounted for 45% and 41% of revenue, respectively. At June 30, 2022, two customers accounted for 38% of accounts receivable. At December 31, 2021, one customer accounted for 11%, of accounts receivable.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Other Entities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equity method investments were as follows as of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 Bend</w:t>
            </w:r>
          </w:p>
        </w:tc>
        <w:tc>
          <w:tcPr>
            <w:tcW w:w="3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21,082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Noble Road</w:t>
            </w:r>
          </w:p>
        </w:tc>
        <w:tc>
          <w:tcPr>
            <w:tcW w:w="4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GREP</w:t>
            </w:r>
          </w:p>
        </w:tc>
        <w:tc>
          <w:tcPr>
            <w:tcW w:w="4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investment in other entities</w:t>
            </w:r>
          </w:p>
        </w:tc>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70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i w:val="1"/>
          <w:iCs w:val="1"/>
          <w:color w:val="auto"/>
        </w:rPr>
        <w:t>Note receivable</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which held a note receivable of $10,450 to Biotown Bio 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The Note receivable was set to mature on July 15, 2027 and carries an interest of 12.5% out of which 8% is payable in cash on a quarterly basis from the inception of the loan and 4.5% payment-in-kind interest adding to the outstanding debt balance until the facility becomes operational. The Company recorded $746 as a reduction to interest and financing expense, net in its condensed consolidated statement of operations for the six months ended June 30, 2022. The Note receivable also entitled Reynolds to receive 4.25% of any revenue based distributions made with a cap of $4,500 over the term of the debt. The Company recorded the fair value of the Note receivable — variable fee component of $1,538 as an allocation of the initial investment balance of $10,450 and recorded an payment-in-kind interest income of $136 as a reduction to interest and financing expense, net in the condensed consolidated statement of operations for the six months ended June 30, 2022.</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 receivable of $9,518 has been recorded as a current asset as the repayment was received in July 2022 and Note receivable - variable fee component of $1,792 have been recorded as long-term asset on its condensed consolidated balance sheet as of June 30,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(loss) income from equity method 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8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(loss) income from equity method investments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2,392</w:t>
            </w:r>
          </w:p>
        </w:tc>
      </w:tr>
    </w:tbl>
    <w:p>
      <w:pPr>
        <w:spacing w:after="0" w:line="184" w:lineRule="exact"/>
        <w:rPr>
          <w:sz w:val="20"/>
          <w:szCs w:val="20"/>
          <w:color w:val="auto"/>
        </w:rPr>
      </w:pPr>
    </w:p>
    <w:p>
      <w:pPr>
        <w:ind w:left="360" w:right="20" w:hanging="352"/>
        <w:spacing w:after="0" w:line="195" w:lineRule="auto"/>
        <w:tabs>
          <w:tab w:leader="none" w:pos="360"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from equity method investments represents our portion of the net income from equity method investments in Pine Bend, Noble Road and GREP for the six months ended June 30, 2022 and Beacon for the six months ended June 30,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as of June 30, 2022 and December 31, 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32,491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123,520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62,616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324,004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229,411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there has been an increase in property, plant, and equipment as a result of the increase in construction of RNG generation facilities including, but not limited to Central Valley, Emerald, New River, and RNG dispensing facilities. The majority of these facilities, for which costs are in construction-in-progress as of June 30, 2022, are expected to be operational within the next year.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plant, and equipment for the six months ended June 30, 2022 and June 30, 2021 was $6,005 and $3,723,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at June 30, 2022 and December 31, 2021: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r>
      <w:tr>
        <w:trPr>
          <w:trHeight w:val="250"/>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6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20"/>
                <w:szCs w:val="20"/>
                <w:color w:val="auto"/>
              </w:rPr>
            </w:pPr>
          </w:p>
        </w:tc>
      </w:tr>
      <w:tr>
        <w:trPr>
          <w:trHeight w:val="250"/>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 The remaining liability of $174 under the Municipality loan is shown as part of current liabilities on its condensed consolidated balance sheet as of June 30, 2022. Please 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information.</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the six months ended June 30, 2022 and 2021 was $398 and $231, respectively. At June 30, 2022, estimated future amortization expense for intangible assets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six months ending December 31,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50"/>
        </w:trPr>
        <w:tc>
          <w:tcPr>
            <w:tcW w:w="10020" w:type="dxa"/>
            <w:vAlign w:val="bottom"/>
            <w:tcBorders>
              <w:top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top w:val="single" w:sz="8" w:color="CCEEFF"/>
            </w:tcBorders>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if any, by reporting segment from the beginning of the period to the end of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7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35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3,453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51,155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54,608</w:t>
            </w:r>
          </w:p>
        </w:tc>
      </w:tr>
      <w:tr>
        <w:trPr>
          <w:trHeight w:val="20"/>
        </w:trPr>
        <w:tc>
          <w:tcPr>
            <w:tcW w:w="3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1570"/>
              <w:spacing w:after="0"/>
              <w:rPr>
                <w:sz w:val="20"/>
                <w:szCs w:val="20"/>
                <w:color w:val="auto"/>
              </w:rPr>
            </w:pPr>
            <w:r>
              <w:rPr>
                <w:rFonts w:ascii="Times New Roman" w:cs="Times New Roman" w:eastAsia="Times New Roman" w:hAnsi="Times New Roman"/>
                <w:sz w:val="18"/>
                <w:szCs w:val="18"/>
                <w:color w:val="auto"/>
              </w:rPr>
              <w:t>F-56</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Borrowings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June 30, 2022 and December 31, 2021: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(73,145)</w:t>
            </w:r>
          </w:p>
        </w:tc>
      </w:tr>
      <w:tr>
        <w:trPr>
          <w:trHeight w:val="210"/>
        </w:trPr>
        <w:tc>
          <w:tcPr>
            <w:tcW w:w="868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Senior secured facility, term loan, net of debt issuance costs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facility, working capital facility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OPAL term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83,556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(19,332)</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(13,425)</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OPAL term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Sunoma loan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17,524</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(756)</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Convertible note payable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58,710</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Municipality loan</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borrowings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134,083</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principal maturities of debt are expected as follows, excluding any subsequent refinancing transactions: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Secured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OPAL</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Municipality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 Loan</w:t>
            </w:r>
          </w:p>
        </w:tc>
        <w:tc>
          <w:tcPr>
            <w:tcW w:w="120" w:type="dxa"/>
            <w:vAlign w:val="bottom"/>
          </w:tcPr>
          <w:p>
            <w:pPr>
              <w:spacing w:after="0"/>
              <w:rPr>
                <w:sz w:val="21"/>
                <w:szCs w:val="21"/>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Sunoma loan</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220" w:type="dxa"/>
            <w:vAlign w:val="bottom"/>
          </w:tcPr>
          <w:p>
            <w:pPr>
              <w:spacing w:after="0"/>
              <w:rPr>
                <w:sz w:val="21"/>
                <w:szCs w:val="21"/>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38,282</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63,876</w:t>
            </w:r>
          </w:p>
        </w:tc>
        <w:tc>
          <w:tcPr>
            <w:tcW w:w="80" w:type="dxa"/>
            <w:vAlign w:val="bottom"/>
          </w:tcPr>
          <w:p>
            <w:pPr>
              <w:spacing w:after="0"/>
              <w:rPr>
                <w:sz w:val="18"/>
                <w:szCs w:val="18"/>
                <w:color w:val="auto"/>
              </w:rPr>
            </w:pPr>
          </w:p>
        </w:tc>
      </w:tr>
      <w:tr>
        <w:trPr>
          <w:trHeight w:val="23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80" w:type="dxa"/>
            <w:vAlign w:val="bottom"/>
            <w:shd w:val="clear" w:color="auto" w:fill="CCEEFF"/>
          </w:tcPr>
          <w:p>
            <w:pPr>
              <w:spacing w:after="0"/>
              <w:rPr>
                <w:sz w:val="19"/>
                <w:szCs w:val="19"/>
                <w:color w:val="auto"/>
              </w:rPr>
            </w:pPr>
          </w:p>
        </w:tc>
      </w:tr>
      <w:tr>
        <w:trPr>
          <w:trHeight w:val="27"/>
        </w:trPr>
        <w:tc>
          <w:tcPr>
            <w:tcW w:w="3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3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83,556</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244,113</w:t>
            </w:r>
          </w:p>
        </w:tc>
        <w:tc>
          <w:tcPr>
            <w:tcW w:w="80" w:type="dxa"/>
            <w:vAlign w:val="bottom"/>
          </w:tcPr>
          <w:p>
            <w:pPr>
              <w:spacing w:after="0"/>
              <w:rPr>
                <w:sz w:val="21"/>
                <w:szCs w:val="21"/>
                <w:color w:val="auto"/>
              </w:rPr>
            </w:pPr>
          </w:p>
        </w:tc>
      </w:tr>
      <w:tr>
        <w:trPr>
          <w:trHeight w:val="20"/>
        </w:trPr>
        <w:tc>
          <w:tcPr>
            <w:tcW w:w="3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21, 2015, FM3, entered into a senior secured credit facility as a borrower and Investec Bank PLC and MUFG Union Bank N.A., as joint lead arranger and book runners and CoBank ACB as documentation agent and LC issuing bank, which provides for an aggregate principal amount of $150,000, which consists of (i) a term loan of $125,000 (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a (ii) working capital letter of credit facility (“</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Facility</w:t>
      </w:r>
      <w:r>
        <w:rPr>
          <w:rFonts w:ascii="Times New Roman" w:cs="Times New Roman" w:eastAsia="Times New Roman" w:hAnsi="Times New Roman"/>
          <w:sz w:val="18"/>
          <w:szCs w:val="18"/>
          <w:color w:val="auto"/>
        </w:rPr>
        <w:t>”) of up to $19,000 and a (iii) Debt service reserve and liquidity facility (“</w:t>
      </w:r>
      <w:r>
        <w:rPr>
          <w:rFonts w:ascii="Times New Roman" w:cs="Times New Roman" w:eastAsia="Times New Roman" w:hAnsi="Times New Roman"/>
          <w:sz w:val="18"/>
          <w:szCs w:val="18"/>
          <w:b w:val="1"/>
          <w:bCs w:val="1"/>
          <w:i w:val="1"/>
          <w:iCs w:val="1"/>
          <w:color w:val="auto"/>
        </w:rPr>
        <w:t>Debt Reserve and Liquidity Facility</w:t>
      </w:r>
      <w:r>
        <w:rPr>
          <w:rFonts w:ascii="Times New Roman" w:cs="Times New Roman" w:eastAsia="Times New Roman" w:hAnsi="Times New Roman"/>
          <w:sz w:val="18"/>
          <w:szCs w:val="18"/>
          <w:color w:val="auto"/>
        </w:rPr>
        <w:t>”) of up to $6,000.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$14,300 to the lenders in connection with the transaction. As of June 30, 2022 and December 31, 2021, $72,632 and $73,869, respectively, was outstanding under the Senior secured facility, term loan.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0" w:name="page201"/>
    <w:bookmarkEnd w:id="20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then 3.0% until October 8, 2021, and 3.25% thereafter. Pursuant to the terms of facility, FM3 is required to repay 1%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10 consecutive business days annually. As of June 30, 2022 and December 31, 2021, the total amount outstanding under the Working Capital Facility was $7,500. Additionally, the Company pays commitment fee of 0.75% on unused portion of the facility.</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2022 and December 31, 2021, the Company had outstanding letters of credit that support obligations of the Company and its subsidiaries of $7,971 and $7,823, respectively. The Senior secured credit facility is collateralized by substantially all the assets of FM3 and assignment of FM3’s rights, title, and interests in purchase and sale agreements and landfill gas rights agreements.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not be less than 1.0 and restrictions on distributions and additional indebtedness. The lenders only have recourse to the assets of FM3. For the six months ended June 30, 2022, FM3 was in compliance with all debt covenants. The Company received a waiver granting exemption from certain non-financial covenants as per the terms of the debt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For the six months ended June 30, 2022 and 2021, the Company received cash dividend of $126 and $139, respectively, which was recorded as a credit to interest expense in its condensed consolidated statements of operations. Additionally, the Company recorded $489 as long-term asset on its condensed consolidated balance sheets at June 30, 2022 and December 31, 2021, which represents the Company’s equity interest in Cobank SCB which will be redeemed for cash beginning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27, 2021, TruStar renewed the existing revolving credit arrangement with JP Morgan Chase Bank, N.A., for an aggregate amount of $10,000. This revolver credit facility was secured by marketable securities pledged by the Ultimate Parent. The amounts outstanding under this credit facility had an interest rate of 1.00% plus one month LIBOR. In the fourth quarter of 2021, the outstanding balance under this credit facility was fully repaid and the revolver credit facility was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August 27, 2020, Sunoma entered into a debt agreement with Live Oak Banking Company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for an aggregate principal amount of $20,000. At June 30, 2022, the total amount outstanding under the Sunoma Loan Agreement, including accrued interest of $1,615, was $19,431 and the loan proceeds were used for the construction of the subsidiary’s dairy digester-to-RNG project. Sunoma paid $635 as financing fees. The loan bears interest at the greater of Prime plus 3.50%, or 7.75%.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are secured by the assets of Sunoma.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1" w:name="page202"/>
    <w:bookmarkEnd w:id="201"/>
    <w:p>
      <w:pPr>
        <w:ind w:left="340"/>
        <w:spacing w:after="0"/>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(ii) the minimum current ratio cannot be less than 1.0 (iii) minimum debt service coverage ratio of trailing four quarters cannot be less than 1.25.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apply after the construction is complete and the facility meets certain predetermined operational standards and documentation criteria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converts to a term loan which is expected to be in third quarter of 2022.</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construction loan had an original maturity date of April 27, 2022. During the first quarter of 2022, the Company received an extension to the original maturity date until July 27, 2022. At maturity, the construction loan outstanding under the Sunoma loan is convertible to a permanent loan guaranteed by the United States Department of Agriculture (“</w:t>
      </w:r>
      <w:r>
        <w:rPr>
          <w:rFonts w:ascii="Times New Roman" w:cs="Times New Roman" w:eastAsia="Times New Roman" w:hAnsi="Times New Roman"/>
          <w:sz w:val="18"/>
          <w:szCs w:val="18"/>
          <w:b w:val="1"/>
          <w:bCs w:val="1"/>
          <w:i w:val="1"/>
          <w:iCs w:val="1"/>
          <w:color w:val="auto"/>
        </w:rPr>
        <w:t>USDA</w:t>
      </w:r>
      <w:r>
        <w:rPr>
          <w:rFonts w:ascii="Times New Roman" w:cs="Times New Roman" w:eastAsia="Times New Roman" w:hAnsi="Times New Roman"/>
          <w:sz w:val="18"/>
          <w:szCs w:val="18"/>
          <w:color w:val="auto"/>
        </w:rPr>
        <w:t>”). The loan was converted into a permanent loan in July 2022. The Permanent USDA loan will consist of an 11-year term and bear interest at the then-current 10-year LIBOR Swap rate plus 5.45%, fixed for the term of the loan. The floor rate of the USDA loan will be equal to 6.75%. The Permanent USDA loan will be secured by the assets of Sunoma. The accrued interest is payable after the conversion to a permanent loan.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significant assets of Sunoma are parenthesized in the condensed consolidated balance sheets as June 30, 2022 and December 31, 2021. Refer to Note 12,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Intermediate Holdco</w:t>
      </w:r>
      <w:r>
        <w:rPr>
          <w:rFonts w:ascii="Times New Roman" w:cs="Times New Roman" w:eastAsia="Times New Roman" w:hAnsi="Times New Roman"/>
          <w:sz w:val="18"/>
          <w:szCs w:val="18"/>
          <w:color w:val="auto"/>
        </w:rPr>
        <w:t>”) as the borrower and Bank of America N.A., Customers Bank, Citi Bank N.A., Barclays Bank PLC as lenders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in October 2021 and the remainder will be used for general corporate purposes, including investments in RNG projects being developed by the Company. As of June 30, 2022, the Company expects that the three additional RNG facilities will be operational in the third quarter of 2022 at which time the additional $35,000 would be made available to the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As of June 30, 2022 and December 31, 2021, $83,556 and $75,000, respectively, were outstanding under this term loan.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loan matures April 22, 2025 and bears interest at 3.0% plus LIBOR. In accordance to the terms of the facility, OPAL Intermediate Holdco is required to repay 1.79% or $1,611 per month beginning March 2022 and an additional $700 per month beginning after the additional drawdown of the $35.0 million in September 2022.</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$15,000 until March 31, 2022 and $10,000 thereafter and (ii) leverage ratio not to exceed 4:1. As of June 30, 2022,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payable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2021, the Company acquired the remaining ownership interests in Beacon and signed an unsecured, contingently convertible note (the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for a total aggregate amount for $50,000 at an interest rate of 8.00% per annum. The Company has the option to pay the interest in cash on a quarterly basis or payment-in-kind interest. The Company chose the option of payment-in-kind interest.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2" w:name="page203"/>
    <w:bookmarkEnd w:id="20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Convertible note payable matures the earlier of December 31, 2026 or the date on which a change in control occurs as defined in the terms of the Note. Upon the consummation of the BCA, the counterparty may choose to convert the total amount outstanding under the Note to common shares based on a certain pre-determined conversion formula. If the BCA is not complete by September 30, 2022, the Company can redeem the Note by repaying the amounts outstanding in full plus a 10.00% penalty. After September 30, 2022, there is no prepayment penalty. If the BCA is consummated prior to September 30, 2022, the counterparty may elect not to take common shares and require the Company to redeem the Note in cash. On July 21, 2022, 50% of the Convertible note payable was converted to equity upon consummation of the Business Combination.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information.</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elected to account for the Note using the fair value option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on May 1, 2021, which was determined to be $55,410. The fair value was subsequently remeasured on each reporting date and the change in fair value recorded as interest expense in the condensed consolidated statement of operations for each reporting period. At June 30, 2022 and December 31,2021, the Note was classified as non-current liability in the condensed consolidated balance sheets at a fair value of $60,820 and $58,710, respectively. The Company recorded $2,110 and $888 as payment-in-kind interest expense in the condensed consolidated statement of operations for the six months ended June 30,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 At June 30, 2022 and December 31, 2021, $174 and $278, respectively, were outstanding on the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Senior secured facility was 4.25% including a margin plus LIBOR.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weighted average effective interest rate including amortization of debt issuance costs on OPAL term loan was 4.93%.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six months ended June 30, 2022, the interest rate on the Sunoma loan was 7.75%.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the payment-in-kind interest rate on Convertible note payable was 8.00%. The change in fair value of the Note recorded as interest expense between May 1, 2021 and June 30, 2022 was $5,410.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3" w:name="page204"/>
    <w:bookmarkEnd w:id="203"/>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the weighted average interest rate on Municipality loan was 3.00%.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weighted average effective interest rate for this period was 4.23%.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interest rate on TruStar revolver credit facility was 3.34%.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2021, the weighted average interest rate on Municipality loan was 3.00%.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expense for the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1,743</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Sunoma loan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mark-to-market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on Note receivable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20" w:hanging="352"/>
        <w:spacing w:after="0" w:line="195" w:lineRule="auto"/>
        <w:tabs>
          <w:tab w:leader="none" w:pos="360" w:val="left"/>
        </w:tabs>
        <w:numPr>
          <w:ilvl w:val="0"/>
          <w:numId w:val="1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interest on the Sunoma loan was capitalized during the construction phase of the RNG facility. Sunoma became operational in December 2021. Therefore, the interest for the six months ended June 30, 2022 has been expensed.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In addition, the Company maintains a fleet of vehicles under lease with terms ranging from 48 to 60 months and with lease expiration dates ranging from April 2021 to June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$690 and $403 for the six months ended June 30,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condensed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condensed consolidated balance sheets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5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r>
      <w:tr>
        <w:trPr>
          <w:trHeight w:val="245"/>
        </w:trPr>
        <w:tc>
          <w:tcPr>
            <w:tcW w:w="5760" w:type="dxa"/>
            <w:vAlign w:val="bottom"/>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5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Derivative financial liability, current</w:t>
            </w:r>
          </w:p>
        </w:tc>
      </w:tr>
      <w:tr>
        <w:trPr>
          <w:trHeight w:val="268"/>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interest swaps</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w:t>
            </w:r>
          </w:p>
        </w:tc>
        <w:tc>
          <w:tcPr>
            <w:tcW w:w="2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portion</w:t>
            </w:r>
          </w:p>
        </w:tc>
      </w:tr>
      <w:tr>
        <w:trPr>
          <w:trHeight w:val="237"/>
        </w:trPr>
        <w:tc>
          <w:tcPr>
            <w:tcW w:w="5760" w:type="dxa"/>
            <w:vAlign w:val="bottom"/>
            <w:tcBorders>
              <w:top w:val="single" w:sz="8" w:color="CCEEFF"/>
            </w:tcBorders>
          </w:tcPr>
          <w:p>
            <w:pPr>
              <w:spacing w:after="0"/>
              <w:rPr>
                <w:sz w:val="20"/>
                <w:szCs w:val="20"/>
                <w:color w:val="auto"/>
              </w:rPr>
            </w:pPr>
          </w:p>
        </w:tc>
        <w:tc>
          <w:tcPr>
            <w:tcW w:w="88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800" w:type="dxa"/>
            <w:vAlign w:val="bottom"/>
            <w:tcBorders>
              <w:top w:val="single" w:sz="8" w:color="CCEEFF"/>
            </w:tcBorders>
          </w:tcPr>
          <w:p>
            <w:pPr>
              <w:spacing w:after="0"/>
              <w:rPr>
                <w:sz w:val="20"/>
                <w:szCs w:val="20"/>
                <w:color w:val="auto"/>
              </w:rPr>
            </w:pPr>
          </w:p>
        </w:tc>
      </w:tr>
      <w:tr>
        <w:trPr>
          <w:trHeight w:val="21"/>
        </w:trPr>
        <w:tc>
          <w:tcPr>
            <w:tcW w:w="57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derivative instruments on the condensed consolidated statement of operations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 Gain</w:t>
            </w:r>
          </w:p>
        </w:tc>
      </w:tr>
      <w:tr>
        <w:trPr>
          <w:trHeight w:val="216"/>
        </w:trPr>
        <w:tc>
          <w:tcPr>
            <w:tcW w:w="5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r>
      <w:tr>
        <w:trPr>
          <w:trHeight w:val="216"/>
        </w:trPr>
        <w:tc>
          <w:tcPr>
            <w:tcW w:w="5760" w:type="dxa"/>
            <w:vAlign w:val="bottom"/>
          </w:tcPr>
          <w:p>
            <w:pPr>
              <w:spacing w:after="0"/>
              <w:rPr>
                <w:sz w:val="18"/>
                <w:szCs w:val="18"/>
                <w:color w:val="auto"/>
              </w:rPr>
            </w:pPr>
          </w:p>
        </w:tc>
        <w:tc>
          <w:tcPr>
            <w:tcW w:w="21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r>
      <w:tr>
        <w:trPr>
          <w:trHeight w:val="245"/>
        </w:trPr>
        <w:tc>
          <w:tcPr>
            <w:tcW w:w="57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from Derivatives</w:t>
            </w:r>
          </w:p>
        </w:tc>
      </w:tr>
      <w:tr>
        <w:trPr>
          <w:trHeight w:val="237"/>
        </w:trPr>
        <w:tc>
          <w:tcPr>
            <w:tcW w:w="57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7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7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2800" w:type="dxa"/>
            <w:vAlign w:val="bottom"/>
          </w:tcPr>
          <w:p>
            <w:pPr>
              <w:spacing w:after="0"/>
              <w:rPr>
                <w:sz w:val="20"/>
                <w:szCs w:val="20"/>
                <w:color w:val="auto"/>
              </w:rPr>
            </w:pPr>
          </w:p>
        </w:tc>
      </w:tr>
      <w:tr>
        <w:trPr>
          <w:trHeight w:val="184"/>
        </w:trPr>
        <w:tc>
          <w:tcPr>
            <w:tcW w:w="57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Realized and unrealized gain on</w:t>
            </w:r>
          </w:p>
        </w:tc>
      </w:tr>
      <w:tr>
        <w:trPr>
          <w:trHeight w:val="282"/>
        </w:trPr>
        <w:tc>
          <w:tcPr>
            <w:tcW w:w="57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40"/>
              <w:spacing w:after="0" w:line="275" w:lineRule="exact"/>
              <w:rPr>
                <w:sz w:val="20"/>
                <w:szCs w:val="20"/>
                <w:color w:val="auto"/>
              </w:rPr>
            </w:pPr>
            <w:r>
              <w:rPr>
                <w:rFonts w:ascii="Times New Roman" w:cs="Times New Roman" w:eastAsia="Times New Roman" w:hAnsi="Times New Roman"/>
                <w:sz w:val="17"/>
                <w:szCs w:val="17"/>
                <w:color w:val="auto"/>
              </w:rPr>
              <w:t>(328</w:t>
            </w:r>
            <w:r>
              <w:rPr>
                <w:rFonts w:ascii="Times New Roman" w:cs="Times New Roman" w:eastAsia="Times New Roman" w:hAnsi="Times New Roman"/>
                <w:sz w:val="31"/>
                <w:szCs w:val="31"/>
                <w:color w:val="auto"/>
                <w:vertAlign w:val="superscript"/>
              </w:rPr>
              <w: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380" w:type="dxa"/>
            <w:vAlign w:val="bottom"/>
            <w:gridSpan w:val="3"/>
            <w:shd w:val="clear" w:color="auto" w:fill="CCEEFF"/>
          </w:tcPr>
          <w:p>
            <w:pPr>
              <w:ind w:left="120"/>
              <w:spacing w:after="0" w:line="275" w:lineRule="exact"/>
              <w:rPr>
                <w:sz w:val="20"/>
                <w:szCs w:val="20"/>
                <w:color w:val="auto"/>
              </w:rPr>
            </w:pPr>
            <w:r>
              <w:rPr>
                <w:rFonts w:ascii="Times New Roman" w:cs="Times New Roman" w:eastAsia="Times New Roman" w:hAnsi="Times New Roman"/>
                <w:sz w:val="31"/>
                <w:szCs w:val="31"/>
                <w:color w:val="auto"/>
                <w:vertAlign w:val="subscript"/>
              </w:rPr>
              <w:t>(17</w:t>
            </w:r>
            <w:r>
              <w:rPr>
                <w:rFonts w:ascii="Times New Roman" w:cs="Times New Roman" w:eastAsia="Times New Roman" w:hAnsi="Times New Roman"/>
                <w:sz w:val="17"/>
                <w:szCs w:val="17"/>
                <w:color w:val="auto"/>
              </w:rPr>
              <w:t>)  interest rate swaps, net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 have been reflected in the fair value of financial derivative instruments. There are no credit-risk-related contingent features that could be triggered in derivative financial instruments that are in a liability position.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condensed consolidated balance sheets.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derivative instruments on the Company’s condensed consolidated balance sheets and the effect of netting arrangements and collateral on its financial position: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Assets/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Offset in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of Recognized</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(992)</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swap contracts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the contract price causing loss of higher revenues.</w:t>
      </w:r>
    </w:p>
    <w:p>
      <w:pPr>
        <w:spacing w:after="0" w:line="18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power purchase agreement (“</w:t>
      </w:r>
      <w:r>
        <w:rPr>
          <w:rFonts w:ascii="Times New Roman" w:cs="Times New Roman" w:eastAsia="Times New Roman" w:hAnsi="Times New Roman"/>
          <w:sz w:val="18"/>
          <w:szCs w:val="18"/>
          <w:b w:val="1"/>
          <w:bCs w:val="1"/>
          <w:i w:val="1"/>
          <w:iCs w:val="1"/>
          <w:color w:val="auto"/>
        </w:rPr>
        <w:t>PPA</w:t>
      </w:r>
      <w:r>
        <w:rPr>
          <w:rFonts w:ascii="Times New Roman" w:cs="Times New Roman" w:eastAsia="Times New Roman" w:hAnsi="Times New Roman"/>
          <w:sz w:val="18"/>
          <w:szCs w:val="18"/>
          <w:color w:val="auto"/>
        </w:rPr>
        <w:t>”)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counterparty in November 2019. Pursuant to the agreement, the Company entered into swaps with contract prices ranging between $35.75 and $51.25 per MWh.</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commodity swaps in place as of June 30, 2022 and December 31, 2021. There were no new commodity swap contracts entered in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Quantity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per Year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From</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85"/>
              </w:rPr>
              <w:t>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2021</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effect of commodity swaps on the condensed consolidated statements of operations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 gain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w:t>
            </w:r>
          </w:p>
        </w:tc>
        <w:tc>
          <w:tcPr>
            <w:tcW w:w="15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154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 loss</w:t>
            </w: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90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color w:val="auto"/>
              </w:rPr>
              <w:t>F-63</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6" w:name="page207"/>
    <w:bookmarkEnd w:id="206"/>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59"/>
        </w:trPr>
        <w:tc>
          <w:tcPr>
            <w:tcW w:w="6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w:t>
            </w:r>
          </w:p>
        </w:tc>
      </w:tr>
      <w:tr>
        <w:trPr>
          <w:trHeight w:val="194"/>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245"/>
        </w:trPr>
        <w:tc>
          <w:tcPr>
            <w:tcW w:w="6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Sheet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7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w:t>
            </w:r>
          </w:p>
        </w:tc>
      </w:tr>
      <w:tr>
        <w:trPr>
          <w:trHeight w:val="234"/>
        </w:trPr>
        <w:tc>
          <w:tcPr>
            <w:tcW w:w="7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current portion</w:t>
            </w: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7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portion of unrealized loss on commodity swaps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 financial</w:t>
            </w:r>
          </w:p>
        </w:tc>
      </w:tr>
      <w:tr>
        <w:trPr>
          <w:trHeight w:val="216"/>
        </w:trPr>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current</w:t>
            </w:r>
          </w:p>
        </w:tc>
      </w:tr>
      <w:tr>
        <w:trPr>
          <w:trHeight w:val="234"/>
        </w:trPr>
        <w:tc>
          <w:tcPr>
            <w:tcW w:w="7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long-term debt of $140,302 and $134,083 as of June 30, 2022 and December 31, 2021, respectively, represents the total amount to be repaid if the debt has to be discharged in full and therefore approximates its fair value.</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regarding fair value measurements which establishes a three-tier fair value hierarchy and prioritizes the inputs used in valuation techniques that measure fair value. These tiers include: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7" w:name="page208"/>
    <w:bookmarkEnd w:id="20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curves are derived based on the quotes provided by New York Mercantile Exchange (“</w:t>
      </w:r>
      <w:r>
        <w:rPr>
          <w:rFonts w:ascii="Times New Roman" w:cs="Times New Roman" w:eastAsia="Times New Roman" w:hAnsi="Times New Roman"/>
          <w:sz w:val="18"/>
          <w:szCs w:val="18"/>
          <w:b w:val="1"/>
          <w:bCs w:val="1"/>
          <w:i w:val="1"/>
          <w:iCs w:val="1"/>
          <w:color w:val="auto"/>
        </w:rPr>
        <w:t>NYMEX</w:t>
      </w:r>
      <w:r>
        <w:rPr>
          <w:rFonts w:ascii="Times New Roman" w:cs="Times New Roman" w:eastAsia="Times New Roman" w:hAnsi="Times New Roman"/>
          <w:sz w:val="18"/>
          <w:szCs w:val="18"/>
          <w:color w:val="auto"/>
        </w:rPr>
        <w:t>”), Amerex Energy Services (“</w:t>
      </w:r>
      <w:r>
        <w:rPr>
          <w:rFonts w:ascii="Times New Roman" w:cs="Times New Roman" w:eastAsia="Times New Roman" w:hAnsi="Times New Roman"/>
          <w:sz w:val="18"/>
          <w:szCs w:val="18"/>
          <w:b w:val="1"/>
          <w:bCs w:val="1"/>
          <w:i w:val="1"/>
          <w:iCs w:val="1"/>
          <w:color w:val="auto"/>
        </w:rPr>
        <w:t>Amerex</w:t>
      </w:r>
      <w:r>
        <w:rPr>
          <w:rFonts w:ascii="Times New Roman" w:cs="Times New Roman" w:eastAsia="Times New Roman" w:hAnsi="Times New Roman"/>
          <w:sz w:val="18"/>
          <w:szCs w:val="18"/>
          <w:color w:val="auto"/>
        </w:rPr>
        <w:t>”) and Tradition Energy (“</w:t>
      </w:r>
      <w:r>
        <w:rPr>
          <w:rFonts w:ascii="Times New Roman" w:cs="Times New Roman" w:eastAsia="Times New Roman" w:hAnsi="Times New Roman"/>
          <w:sz w:val="18"/>
          <w:szCs w:val="18"/>
          <w:b w:val="1"/>
          <w:bCs w:val="1"/>
          <w:i w:val="1"/>
          <w:iCs w:val="1"/>
          <w:color w:val="auto"/>
        </w:rPr>
        <w:t>Tradition</w:t>
      </w:r>
      <w:r>
        <w:rPr>
          <w:rFonts w:ascii="Times New Roman" w:cs="Times New Roman" w:eastAsia="Times New Roman" w:hAnsi="Times New Roman"/>
          <w:sz w:val="18"/>
          <w:szCs w:val="18"/>
          <w:color w:val="auto"/>
        </w:rPr>
        <w:t>”).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w:t>
      </w:r>
      <w:r>
        <w:rPr>
          <w:rFonts w:ascii="Times New Roman" w:cs="Times New Roman" w:eastAsia="Times New Roman" w:hAnsi="Times New Roman"/>
          <w:sz w:val="18"/>
          <w:szCs w:val="18"/>
          <w:b w:val="1"/>
          <w:bCs w:val="1"/>
          <w:i w:val="1"/>
          <w:iCs w:val="1"/>
          <w:color w:val="auto"/>
        </w:rPr>
        <w:t>DCF</w:t>
      </w:r>
      <w:r>
        <w:rPr>
          <w:rFonts w:ascii="Times New Roman" w:cs="Times New Roman" w:eastAsia="Times New Roman" w:hAnsi="Times New Roman"/>
          <w:sz w:val="18"/>
          <w:szCs w:val="18"/>
          <w:color w:val="auto"/>
        </w:rPr>
        <w:t>”)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convertible note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based on discount rates ranging from 7.0% to 7.5%.</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June 30, 2022 or December 31, 2021.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June 30, 2022 and December 31, 2021, set forth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 of June 30, 2022</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6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5,807</w:t>
            </w: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60,820</w:t>
            </w:r>
          </w:p>
        </w:tc>
      </w:tr>
      <w:tr>
        <w:trPr>
          <w:trHeight w:val="216"/>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655"/>
        </w:trPr>
        <w:tc>
          <w:tcPr>
            <w:tcW w:w="5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F-65</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2021</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9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58,710</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9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992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swap contracts</w:t>
            </w:r>
          </w:p>
        </w:tc>
        <w:tc>
          <w:tcPr>
            <w:tcW w:w="90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382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six months ended June 30, 2022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six months ended June 30, 2022 and 2021, the Company received contributions from its Ultimate Parent of $0 and $7,522,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made distributions to its Ultimate Parent of $0 and $3,695 for the six months ended June 30,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22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xml:space="preserve">”), the Company issued 14 newly authorized common units and 300,000 Series A-1 preferred units to Hillman in return for Hillman’s non-controlling interest in four RNG project subsidiaries for total consideration of $30,000. The Company recorded paid-in-kind preferred dividend of $1,207 for the six months ended June 30, 2022. Please see Note 13,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w:t>
      </w:r>
      <w:r>
        <w:rPr>
          <w:rFonts w:ascii="Times New Roman" w:cs="Times New Roman" w:eastAsia="Times New Roman" w:hAnsi="Times New Roman"/>
          <w:sz w:val="18"/>
          <w:szCs w:val="18"/>
          <w:b w:val="1"/>
          <w:bCs w:val="1"/>
          <w:i w:val="1"/>
          <w:iCs w:val="1"/>
          <w:color w:val="auto"/>
        </w:rPr>
        <w:t>Reynolds</w:t>
      </w:r>
      <w:r>
        <w:rPr>
          <w:rFonts w:ascii="Times New Roman" w:cs="Times New Roman" w:eastAsia="Times New Roman" w:hAnsi="Times New Roman"/>
          <w:sz w:val="18"/>
          <w:szCs w:val="18"/>
          <w:color w:val="auto"/>
        </w:rPr>
        <w:t>”), an RNG production facility for $12,020 which was funded with cash on hand. Reynolds held an equity investment of 1,570 Class B units in GREP BTB Holdings LLC (“</w:t>
      </w:r>
      <w:r>
        <w:rPr>
          <w:rFonts w:ascii="Times New Roman" w:cs="Times New Roman" w:eastAsia="Times New Roman" w:hAnsi="Times New Roman"/>
          <w:sz w:val="18"/>
          <w:szCs w:val="18"/>
          <w:b w:val="1"/>
          <w:bCs w:val="1"/>
          <w:i w:val="1"/>
          <w:iCs w:val="1"/>
          <w:color w:val="auto"/>
        </w:rPr>
        <w:t>GREP</w:t>
      </w:r>
      <w:r>
        <w:rPr>
          <w:rFonts w:ascii="Times New Roman" w:cs="Times New Roman" w:eastAsia="Times New Roman" w:hAnsi="Times New Roman"/>
          <w:sz w:val="18"/>
          <w:szCs w:val="18"/>
          <w:color w:val="auto"/>
        </w:rPr>
        <w:t>”) representing 20% interest for a cash consideration of $1,570 which owns 50% of BioTown Biogas LLC (“</w:t>
      </w:r>
      <w:r>
        <w:rPr>
          <w:rFonts w:ascii="Times New Roman" w:cs="Times New Roman" w:eastAsia="Times New Roman" w:hAnsi="Times New Roman"/>
          <w:sz w:val="18"/>
          <w:szCs w:val="18"/>
          <w:b w:val="1"/>
          <w:bCs w:val="1"/>
          <w:i w:val="1"/>
          <w:iCs w:val="1"/>
          <w:color w:val="auto"/>
        </w:rPr>
        <w:t>Biotown</w:t>
      </w:r>
      <w:r>
        <w:rPr>
          <w:rFonts w:ascii="Times New Roman" w:cs="Times New Roman" w:eastAsia="Times New Roman" w:hAnsi="Times New Roman"/>
          <w:sz w:val="18"/>
          <w:szCs w:val="18"/>
          <w:color w:val="auto"/>
        </w:rPr>
        <w:t>”), a power generation facility under development to convert to an RNG facility. The Reynolds transaction was an asset acquisition from an affiliate under common control. The Company accounts for its 20% equity investment in GREP under the equity method. The Company recorded a loss of $556 as its share of net loss for the six months ended June 30, 2022 and reduced its investment in GREP as of June 30, 2022.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2021, the Ultimate Parent entered into two equity commitment agreements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four equity commitment letters to the contractor hired to construct these RNG projects. As of June 30, 2022, the equity commitments for three RNG facilities have been fulfilled and only one equity commitment letter is outstanding which is shown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Yet to be</w:t>
            </w:r>
          </w:p>
        </w:tc>
      </w:tr>
      <w:tr>
        <w:trPr>
          <w:trHeight w:val="245"/>
        </w:trPr>
        <w:tc>
          <w:tcPr>
            <w:tcW w:w="7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Letters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Fulfilled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River RNG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is eliminated in the condensed consolidated statements of operations for the six months ended June 30, 2022. During 2021, the Company accounted Beacon under equity method for the period between January 1, 2021 and April 30, 2021 and consolidated Beacon for the remaining part of the year. Therefore, all environmental fees earned after May 1, 2021 is eliminated in the condensed consolidated statement of operations. For the period between January 1, 2021 and April 30, 2021, the company earned environmental processing fees of $632, net of intersegment elimination.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2021, TruStar, a wholly-owned subsidiary of the Company, contracted with Noble Road to dispense Noble Road’s RNG, generate and market the resulting RINs created on behalf of Noble Road The term of this contract is November 1, 2021 through June 30, 2032. The Company receives non-cash consideration in the form of RINs or LCFSs for providing these services and recognizes the RINs or LCFSs received as inventory based on their estimated fair value at contract inception. The facility came online in first quarter of 2022. For the six months ended June 30, 2022 and 2021, the Company earned environmental processing fees of $242 and $0, net of intersegment elimination, under this agreement which are included in Fuel Station Services revenues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2020, the Company signed a management, operations, and maintenance services agreement (“</w:t>
      </w:r>
      <w:r>
        <w:rPr>
          <w:rFonts w:ascii="Times New Roman" w:cs="Times New Roman" w:eastAsia="Times New Roman" w:hAnsi="Times New Roman"/>
          <w:sz w:val="18"/>
          <w:szCs w:val="18"/>
          <w:b w:val="1"/>
          <w:bCs w:val="1"/>
          <w:i w:val="1"/>
          <w:iCs w:val="1"/>
          <w:color w:val="auto"/>
        </w:rPr>
        <w:t>Administrative services agreement</w:t>
      </w:r>
      <w:r>
        <w:rPr>
          <w:rFonts w:ascii="Times New Roman" w:cs="Times New Roman" w:eastAsia="Times New Roman" w:hAnsi="Times New Roman"/>
          <w:sz w:val="18"/>
          <w:szCs w:val="18"/>
          <w:color w:val="auto"/>
        </w:rPr>
        <w: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payment of service fees based on actual time incurred at contractually agreed rates provided for in the Administrative services agreement and a fixed annual payment of $580,000 per year adjusted annually for inflation. Additionally, the agreement provides for the Company to receive credits for any services provided by the Company’s employees to its Ultimate Parent. For the six months ended June 30, 2022 and 2021, there have been no material services by the Company’s employees to its Ultimate Parent.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0" w:name="page211"/>
    <w:bookmarkEnd w:id="210"/>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w:t>
      </w:r>
      <w:r>
        <w:rPr>
          <w:rFonts w:ascii="Times New Roman" w:cs="Times New Roman" w:eastAsia="Times New Roman" w:hAnsi="Times New Roman"/>
          <w:sz w:val="18"/>
          <w:szCs w:val="18"/>
          <w:b w:val="1"/>
          <w:bCs w:val="1"/>
          <w:i w:val="1"/>
          <w:iCs w:val="1"/>
          <w:color w:val="auto"/>
        </w:rPr>
        <w:t>Costar</w:t>
      </w:r>
      <w:r>
        <w:rPr>
          <w:rFonts w:ascii="Times New Roman" w:cs="Times New Roman" w:eastAsia="Times New Roman" w:hAnsi="Times New Roman"/>
          <w:sz w:val="18"/>
          <w:szCs w:val="18"/>
          <w:color w:val="auto"/>
        </w:rPr>
        <w:t>”), an affiliate of the Ultimate Parent. As per the agreement, Costar provides information technology (“</w:t>
      </w:r>
      <w:r>
        <w:rPr>
          <w:rFonts w:ascii="Times New Roman" w:cs="Times New Roman" w:eastAsia="Times New Roman" w:hAnsi="Times New Roman"/>
          <w:sz w:val="18"/>
          <w:szCs w:val="18"/>
          <w:b w:val="1"/>
          <w:bCs w:val="1"/>
          <w:i w:val="1"/>
          <w:iCs w:val="1"/>
          <w:color w:val="auto"/>
        </w:rPr>
        <w:t>IT</w:t>
      </w:r>
      <w:r>
        <w:rPr>
          <w:rFonts w:ascii="Times New Roman" w:cs="Times New Roman" w:eastAsia="Times New Roman" w:hAnsi="Times New Roman"/>
          <w:sz w:val="18"/>
          <w:szCs w:val="18"/>
          <w:color w:val="auto"/>
        </w:rPr>
        <w: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“Selling, general, and administrative” expenses except for $1,516 which was recorded as part of “Deferred financing costs” as of June 30,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Rent - fixed compensation</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6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services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6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and December 31, 2021, the Company had Accounts payable, related party in the amounts of $1,141 and $166,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Reportable Segments and Geographic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into four operating segments based on the characteristics of its renewable power generation, dispensing portfolio, and the nature of other products and services. During the second quarter of 2022, the Company changed its internal reporting to its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176" w:lineRule="exact"/>
        <w:rPr>
          <w:sz w:val="20"/>
          <w:szCs w:val="20"/>
          <w:color w:val="auto"/>
        </w:rPr>
      </w:pPr>
    </w:p>
    <w:p>
      <w:pPr>
        <w:jc w:val="both"/>
        <w:ind w:left="660" w:hanging="328"/>
        <w:spacing w:after="0" w:line="26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3 (“</w:t>
      </w:r>
      <w:r>
        <w:rPr>
          <w:rFonts w:ascii="Times New Roman" w:cs="Times New Roman" w:eastAsia="Times New Roman" w:hAnsi="Times New Roman"/>
          <w:sz w:val="18"/>
          <w:szCs w:val="18"/>
          <w:b w:val="1"/>
          <w:bCs w:val="1"/>
          <w:i w:val="1"/>
          <w:iCs w:val="1"/>
          <w:color w:val="auto"/>
        </w:rPr>
        <w:t>RP3</w:t>
      </w:r>
      <w:r>
        <w:rPr>
          <w:rFonts w:ascii="Times New Roman" w:cs="Times New Roman" w:eastAsia="Times New Roman" w:hAnsi="Times New Roman"/>
          <w:sz w:val="18"/>
          <w:szCs w:val="18"/>
          <w:color w:val="auto"/>
        </w:rPr>
        <w:t>”) portfolio generates renewable power through methane-rich landfills and digester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 collection systems primarily located in Southern California. RP3 sells renewable power to public utilities throughout the United States. The Renewable Power 4 (“</w:t>
      </w:r>
      <w:r>
        <w:rPr>
          <w:rFonts w:ascii="Times New Roman" w:cs="Times New Roman" w:eastAsia="Times New Roman" w:hAnsi="Times New Roman"/>
          <w:sz w:val="18"/>
          <w:szCs w:val="18"/>
          <w:b w:val="1"/>
          <w:bCs w:val="1"/>
          <w:i w:val="1"/>
          <w:iCs w:val="1"/>
          <w:color w:val="auto"/>
        </w:rPr>
        <w:t>RP4</w:t>
      </w:r>
      <w:r>
        <w:rPr>
          <w:rFonts w:ascii="Times New Roman" w:cs="Times New Roman" w:eastAsia="Times New Roman" w:hAnsi="Times New Roman"/>
          <w:sz w:val="18"/>
          <w:szCs w:val="18"/>
          <w:color w:val="auto"/>
        </w:rPr>
        <w:t>”) portfolio generates renewable power through methane-rich landfills and digester gas collection systems. RP4 sells renewable power to public utilities throughout the United States.</w:t>
      </w:r>
    </w:p>
    <w:p>
      <w:pPr>
        <w:spacing w:after="0" w:line="17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This division relates to all RNG supply and dispensing related activities directly related to the generation and sale of brown gas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credits.</w:t>
      </w:r>
    </w:p>
    <w:p>
      <w:pPr>
        <w:spacing w:after="0" w:line="15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 RNG facilities in which long term gas right contracts have been or in the process of being ratified and the building of RNG generation facilities.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supply operating facilities – This includes the generation, extraction, and sale of RNG - (plus associated RINs and LCFSs from landfills (includes Beacon, Emerald, Reynolds, Sapphire, Noble Road, Central Valley New River, and Pine Bend) and dairy farms (Sunoma).</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for vehicle fleets - This includes both dispensing/sale of brown gas and the environmental credit generation and monetization. This company operates fueling stations that dispense gas into transportation vehicles. Also includes the development and construction of these facilities.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RNG Fuel portfolio consists of the Company’s interests in Beacon, Noble Road, Pine Bend, New River, Central Valley, Emerald, Reynolds, Sapphire, and Sunoma. For the six months ended June 30, 2022, the Company has accounted for its interests in Pine Bend, Reynolds and Noble Road under the equity method of accounting and the results of operations of Beacon, New River, Central Valley, Emerald, Sapphire, and Sunoma were consolidated in its condensed consolidated statement of operations. The Company has accounted for its interest in Beacon under the equity method of accounting for the period between January 1, 2021 and April 30, 2021 and had consolidated for the period May 1, 2021 and June 30, 2021. The results of operations of Noble Road, Pine Bend and Sunoma for the period between January 1, 2021 and June 30, 2021 were consolidated in its condensed consolidated statement of operations. As of June 30, 2022, Pine Bend, Central Valley, Emerald, and Sapphire are not operational. Sunoma became operational in December 2021, Noble Road in January 2022 and New river in April 2022.</w:t>
      </w:r>
    </w:p>
    <w:p>
      <w:pPr>
        <w:spacing w:after="0" w:line="188"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 It includes</w:t>
      </w:r>
    </w:p>
    <w:p>
      <w:pPr>
        <w:spacing w:after="0" w:line="22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sites across the US. Includes a manufacturing division that builds Compact Fueling Systems (CFS) and Defueling systems.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CNG Construction of Fueling Stations. Design/build and serve as general contractor for typically Guarantee Maxim Price (GMP) or fixed priced contracts for customers typically lasting less than one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1" w:name="page212"/>
    <w:bookmarkEnd w:id="211"/>
    <w:p>
      <w:pPr>
        <w:ind w:left="733" w:hanging="328"/>
        <w:spacing w:after="0"/>
        <w:tabs>
          <w:tab w:leader="none" w:pos="73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Consists of a multitude of activities managed and maintained at a corporate level primarily including but not limited to:</w:t>
      </w:r>
    </w:p>
    <w:p>
      <w:pPr>
        <w:spacing w:after="0" w:line="229" w:lineRule="exact"/>
        <w:rPr>
          <w:rFonts w:ascii="Times New Roman" w:cs="Times New Roman" w:eastAsia="Times New Roman" w:hAnsi="Times New Roman"/>
          <w:sz w:val="18"/>
          <w:szCs w:val="18"/>
          <w:color w:val="auto"/>
        </w:rPr>
      </w:pPr>
    </w:p>
    <w:p>
      <w:pPr>
        <w:ind w:left="1053" w:hanging="324"/>
        <w:spacing w:after="0"/>
        <w:tabs>
          <w:tab w:leader="none" w:pos="1053"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accounting, finance, sales activities such as: payroll, stock compensation expense, travel and other related costs</w:t>
      </w:r>
    </w:p>
    <w:p>
      <w:pPr>
        <w:spacing w:after="0" w:line="225" w:lineRule="exact"/>
        <w:rPr>
          <w:rFonts w:ascii="Times New Roman" w:cs="Times New Roman" w:eastAsia="Times New Roman" w:hAnsi="Times New Roman"/>
          <w:sz w:val="18"/>
          <w:szCs w:val="18"/>
          <w:color w:val="auto"/>
        </w:rPr>
      </w:pPr>
    </w:p>
    <w:p>
      <w:pPr>
        <w:ind w:left="1053" w:hanging="324"/>
        <w:spacing w:after="0"/>
        <w:tabs>
          <w:tab w:leader="none" w:pos="1053"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professional fees (Audit, tax, legal etc.)</w:t>
      </w:r>
    </w:p>
    <w:p>
      <w:pPr>
        <w:spacing w:after="0" w:line="225" w:lineRule="exact"/>
        <w:rPr>
          <w:sz w:val="20"/>
          <w:szCs w:val="20"/>
          <w:color w:val="auto"/>
        </w:rPr>
      </w:pPr>
    </w:p>
    <w:p>
      <w:pPr>
        <w:jc w:val="both"/>
        <w:ind w:left="73"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each of the four operating segments meets the characteristics of a reportable segment in U.S. GAAP. The Company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72" w:lineRule="exact"/>
        <w:rPr>
          <w:sz w:val="20"/>
          <w:szCs w:val="20"/>
          <w:color w:val="auto"/>
        </w:rPr>
      </w:pPr>
    </w:p>
    <w:tbl>
      <w:tblPr>
        <w:tblLayout w:type="fixed"/>
        <w:tblInd w:w="73"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20,088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32,685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17,177</w:t>
            </w:r>
          </w:p>
        </w:tc>
      </w:tr>
      <w:tr>
        <w:trPr>
          <w:trHeight w:val="257"/>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(14,181)</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102,264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ind w:left="213" w:hanging="213"/>
        <w:spacing w:after="0"/>
        <w:tabs>
          <w:tab w:leader="none" w:pos="213" w:val="left"/>
        </w:tabs>
        <w:numPr>
          <w:ilvl w:val="0"/>
          <w:numId w:val="1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Other includes revenues of Fortistar Contracting LLC.</w:t>
      </w:r>
    </w:p>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73"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(2,070)</w:t>
            </w: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5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73"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33" w:right="3360" w:hanging="5344"/>
        <w:spacing w:after="0" w:line="783" w:lineRule="auto"/>
        <w:tabs>
          <w:tab w:leader="none" w:pos="5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amortization of intangible assets and depreciation expense not allocated to any segment.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-296545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873"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Renewable Power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13,642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Fuel Station Services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3,414</w:t>
            </w: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22"/>
                <w:szCs w:val="22"/>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9"/>
                <w:szCs w:val="29"/>
                <w:color w:val="auto"/>
                <w:vertAlign w:val="superscript"/>
              </w:rPr>
              <w:t>(1) (2)</w:t>
            </w:r>
          </w:p>
        </w:tc>
        <w:tc>
          <w:tcPr>
            <w:tcW w:w="2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(19,660)</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Pr>
          <w:p>
            <w:pPr>
              <w:spacing w:after="0"/>
              <w:rPr>
                <w:sz w:val="22"/>
                <w:szCs w:val="22"/>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00" w:type="dxa"/>
            <w:vAlign w:val="bottom"/>
            <w:tcBorders>
              <w:top w:val="single" w:sz="8" w:color="CCEEFF"/>
            </w:tcBorders>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Corporate segment includes $19,818 gain on acquisition of equity method investment for the six months ended June 30, 2021.</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Corporate segment for the six months ended June 30, 2021, includes certain payroll expenses for employees who were transferred from Renewable Power and Fuel Station Services segment for the six months ended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Purchases of Property, Plant, and Equipment: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34,422</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Power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RNG Fuel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215,512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Station Services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56,567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17,528</w:t>
            </w: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47,150</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380,844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includes total assets associated with Fortistar Contracting LLC as the Company does not maintain segment-level records for these balances.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3" w:name="page214"/>
    <w:bookmarkEnd w:id="2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held equity interests in five VIEs — Sunoma, GREP, Emerald, Sapphire, and Central Valley.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GREP has been presented as an equity method investment and the remaining four VIEs Sunoma, Emerald, Sapphire, and Central Valley are consolidated by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condensed consolidated balance sheets as of June 30, 2022 and December 31, 2021.</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determined that each of these entities are VIEs and in its capacity as a managing member except for Emerald and Sapphire,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the primary beneficiary. The Company is deemed as a primary beneficiary based on two conditions:</w:t>
      </w:r>
    </w:p>
    <w:p>
      <w:pPr>
        <w:spacing w:after="0" w:line="207" w:lineRule="exact"/>
        <w:rPr>
          <w:sz w:val="20"/>
          <w:szCs w:val="20"/>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condensed consolidated financial statements.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condensed consolidated balance sheet items for consolidated VIEs as of June 30, 2022 and December 31, 2021. The VIE information below is presented on an aggregate basis based on similar risk and reward characteristics and the nature of our involvement with the VIEs, such as:</w:t>
      </w:r>
    </w:p>
    <w:p>
      <w:pPr>
        <w:spacing w:after="0" w:line="176"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and they are reported under the RNG Fuel Supply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4" w:name="page215"/>
    <w:bookmarkEnd w:id="214"/>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are parenthesized in the condensed consolidated balance sheets and are included in the asset totals listed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24,460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4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7"/>
        </w:trPr>
        <w:tc>
          <w:tcPr>
            <w:tcW w:w="44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vMerge w:val="continue"/>
            <w:shd w:val="clear" w:color="auto" w:fill="CCEEFF"/>
          </w:tcPr>
          <w:p>
            <w:pPr>
              <w:spacing w:after="0"/>
              <w:rPr>
                <w:sz w:val="21"/>
                <w:szCs w:val="21"/>
                <w:color w:val="auto"/>
              </w:rPr>
            </w:pP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expenses</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2,758</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4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4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OPAL Fuels LLC equity</w:t>
            </w: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10,692</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equity</w:t>
            </w:r>
          </w:p>
        </w:tc>
        <w:tc>
          <w:tcPr>
            <w:tcW w:w="4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42,050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31,101</w:t>
            </w:r>
          </w:p>
        </w:tc>
        <w:tc>
          <w:tcPr>
            <w:tcW w:w="0" w:type="dxa"/>
            <w:vAlign w:val="bottom"/>
          </w:tcPr>
          <w:p>
            <w:pPr>
              <w:spacing w:after="0"/>
              <w:rPr>
                <w:sz w:val="1"/>
                <w:szCs w:val="1"/>
                <w:color w:val="auto"/>
              </w:rPr>
            </w:pPr>
          </w:p>
        </w:tc>
      </w:tr>
      <w:tr>
        <w:trPr>
          <w:trHeight w:val="21"/>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jc w:val="right"/>
              <w:ind w:right="3040"/>
              <w:spacing w:after="0"/>
              <w:rPr>
                <w:sz w:val="20"/>
                <w:szCs w:val="20"/>
                <w:color w:val="auto"/>
              </w:rPr>
            </w:pPr>
            <w:r>
              <w:rPr>
                <w:rFonts w:ascii="Times New Roman" w:cs="Times New Roman" w:eastAsia="Times New Roman" w:hAnsi="Times New Roman"/>
                <w:sz w:val="18"/>
                <w:szCs w:val="18"/>
                <w:color w:val="auto"/>
              </w:rPr>
              <w:t>F-72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13. Redeemable Preferred Units and Equity</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On November 29, 2021, as part of an exchange agreement (“</w:t>
      </w:r>
      <w:r>
        <w:rPr>
          <w:rFonts w:ascii="Times New Roman" w:cs="Times New Roman" w:eastAsia="Times New Roman" w:hAnsi="Times New Roman"/>
          <w:sz w:val="18"/>
          <w:szCs w:val="18"/>
          <w:b w:val="1"/>
          <w:bCs w:val="1"/>
          <w:i w:val="1"/>
          <w:iCs w:val="1"/>
          <w:color w:val="auto"/>
        </w:rPr>
        <w:t>Hillman exchange</w:t>
      </w:r>
      <w:r>
        <w:rPr>
          <w:rFonts w:ascii="Times New Roman" w:cs="Times New Roman" w:eastAsia="Times New Roman" w:hAnsi="Times New Roman"/>
          <w:sz w:val="18"/>
          <w:szCs w:val="18"/>
          <w:color w:val="auto"/>
        </w:rPr>
        <w:t>”), the Company issued the 14 newly authorized common units and 300,000 Series A-1 preferred units to Hillman in return for Hillman’s non-controlling interest in four RNG project subsidiaries.</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November 29, 2021, Mendocino Capital LLC (“</w:t>
      </w:r>
      <w:r>
        <w:rPr>
          <w:rFonts w:ascii="Times New Roman" w:cs="Times New Roman" w:eastAsia="Times New Roman" w:hAnsi="Times New Roman"/>
          <w:sz w:val="18"/>
          <w:szCs w:val="18"/>
          <w:b w:val="1"/>
          <w:bCs w:val="1"/>
          <w:i w:val="1"/>
          <w:iCs w:val="1"/>
          <w:color w:val="auto"/>
        </w:rPr>
        <w:t>NextEra</w:t>
      </w:r>
      <w:r>
        <w:rPr>
          <w:rFonts w:ascii="Times New Roman" w:cs="Times New Roman" w:eastAsia="Times New Roman" w:hAnsi="Times New Roman"/>
          <w:sz w:val="18"/>
          <w:szCs w:val="18"/>
          <w:color w:val="auto"/>
        </w:rPr>
        <w:t>”) subscribed for up to 1,000,000 Series A preferred units, which are issuable (in whole or in increments) at the Company’s discretion prior to June 30, 2022. As of June 30, 2022, the Company issued 1,000,000 units for total proceeds of $100,000. The Company incurred issuance costs of $267 in third-party legal fees in the fourth quarter of 2021, which was presented as Deferred financing costs in the condensed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June 30, 2022.</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December 31, 2021 to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Series A-1 Preferred Units</w:t>
            </w: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Series A Preferred Units</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A units 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kind dividends on issued and outstanding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June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loss per unit attributable to members of OPAL Fuels LLC for the six months ended June 30, 2022 and 2021 is computed by dividing the net loss attributable to OPAL Fuels LLC by the weighted-average number of common units outstanding during the period. Diluted net loss for the six months ended June 30, 2022 and 2021 does not include 1,000,000 Series A redeemable preferred units and 300,000 Series A-1 redeemable preferred units because the substantive contingency for conversion has not been met as of June 30, 2022.</w:t>
      </w:r>
    </w:p>
    <w:p>
      <w:pPr>
        <w:spacing w:after="0" w:line="17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net (loss) income per unit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18,636</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income per unit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 was required to maintain eight standby letters of credit totaling $9,348 and $9,023,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i w:val="1"/>
          <w:iCs w:val="1"/>
          <w:color w:val="auto"/>
        </w:rPr>
        <w:t>Richmond</w:t>
      </w:r>
      <w:r>
        <w:rPr>
          <w:rFonts w:ascii="Times New Roman" w:cs="Times New Roman" w:eastAsia="Times New Roman" w:hAnsi="Times New Roman"/>
          <w:sz w:val="18"/>
          <w:szCs w:val="18"/>
          <w:color w:val="auto"/>
        </w:rPr>
        <w:t>”) declared a Force Majeure event under its PPA with Old Dominion Electric Cooperative (“</w:t>
      </w:r>
      <w:r>
        <w:rPr>
          <w:rFonts w:ascii="Times New Roman" w:cs="Times New Roman" w:eastAsia="Times New Roman" w:hAnsi="Times New Roman"/>
          <w:sz w:val="18"/>
          <w:szCs w:val="18"/>
          <w:b w:val="1"/>
          <w:bCs w:val="1"/>
          <w:i w:val="1"/>
          <w:iCs w:val="1"/>
          <w:color w:val="auto"/>
        </w:rPr>
        <w:t>ODEC</w:t>
      </w:r>
      <w:r>
        <w:rPr>
          <w:rFonts w:ascii="Times New Roman" w:cs="Times New Roman" w:eastAsia="Times New Roman" w:hAnsi="Times New Roman"/>
          <w:sz w:val="18"/>
          <w:szCs w:val="18"/>
          <w:color w:val="auto"/>
        </w:rPr>
        <w:t>”), dated as of November 3, 2010. The Force Majeure declaration stated that inspections of its Old Dominion landfill gas-to-electric facility (the “</w:t>
      </w:r>
      <w:r>
        <w:rPr>
          <w:rFonts w:ascii="Times New Roman" w:cs="Times New Roman" w:eastAsia="Times New Roman" w:hAnsi="Times New Roman"/>
          <w:sz w:val="18"/>
          <w:szCs w:val="18"/>
          <w:b w:val="1"/>
          <w:bCs w:val="1"/>
          <w:i w:val="1"/>
          <w:i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i w:val="1"/>
          <w:iCs w:val="1"/>
          <w:color w:val="auto"/>
        </w:rPr>
        <w:t>Settlement Agreement</w:t>
      </w:r>
      <w:r>
        <w:rPr>
          <w:rFonts w:ascii="Times New Roman" w:cs="Times New Roman" w:eastAsia="Times New Roman" w:hAnsi="Times New Roman"/>
          <w:sz w:val="18"/>
          <w:szCs w:val="18"/>
          <w:color w:val="auto"/>
        </w:rPr>
        <w:t>”). On February 8, 2022, Richmond paid ODEC $467 pursuant to the Settlement Agreement; liquidated damages for calendar year 2022, if any, will be assessed by ODEC during the first quarter of 2023.</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As previously announced, ArcLight Clean Transition Corp. II (“</w:t>
      </w:r>
      <w:r>
        <w:rPr>
          <w:rFonts w:ascii="Times New Roman" w:cs="Times New Roman" w:eastAsia="Times New Roman" w:hAnsi="Times New Roman"/>
          <w:sz w:val="18"/>
          <w:szCs w:val="18"/>
          <w:b w:val="1"/>
          <w:bCs w:val="1"/>
          <w:i w:val="1"/>
          <w:iCs w:val="1"/>
          <w:color w:val="auto"/>
        </w:rPr>
        <w:t>ArcLight</w:t>
      </w:r>
      <w:r>
        <w:rPr>
          <w:rFonts w:ascii="Times New Roman" w:cs="Times New Roman" w:eastAsia="Times New Roman" w:hAnsi="Times New Roman"/>
          <w:sz w:val="18"/>
          <w:szCs w:val="18"/>
          <w:color w:val="auto"/>
        </w:rPr>
        <w:t>” and, after the Domestication as described below, (“</w:t>
      </w:r>
      <w:r>
        <w:rPr>
          <w:rFonts w:ascii="Times New Roman" w:cs="Times New Roman" w:eastAsia="Times New Roman" w:hAnsi="Times New Roman"/>
          <w:sz w:val="18"/>
          <w:szCs w:val="18"/>
          <w:b w:val="1"/>
          <w:bCs w:val="1"/>
          <w:i w:val="1"/>
          <w:iCs w:val="1"/>
          <w:color w:val="auto"/>
        </w:rPr>
        <w:t>OPAL</w:t>
      </w:r>
      <w:r>
        <w:rPr>
          <w:rFonts w:ascii="Times New Roman" w:cs="Times New Roman" w:eastAsia="Times New Roman" w:hAnsi="Times New Roman"/>
          <w:sz w:val="18"/>
          <w:szCs w:val="18"/>
          <w:color w:val="auto"/>
        </w:rPr>
        <w:t>”), a Cayman Islands exempted company, entered into that certain Business Combination Agreement, dated December 2, 2021 (the “Business Combination Agreement”), by and among ArcLight, Opal Holdco LLC (“</w:t>
      </w:r>
      <w:r>
        <w:rPr>
          <w:rFonts w:ascii="Times New Roman" w:cs="Times New Roman" w:eastAsia="Times New Roman" w:hAnsi="Times New Roman"/>
          <w:sz w:val="18"/>
          <w:szCs w:val="18"/>
          <w:b w:val="1"/>
          <w:bCs w:val="1"/>
          <w:i w:val="1"/>
          <w:iCs w:val="1"/>
          <w:color w:val="auto"/>
        </w:rPr>
        <w:t>OPAL Holdco</w:t>
      </w:r>
      <w:r>
        <w:rPr>
          <w:rFonts w:ascii="Times New Roman" w:cs="Times New Roman" w:eastAsia="Times New Roman" w:hAnsi="Times New Roman"/>
          <w:sz w:val="18"/>
          <w:szCs w:val="18"/>
          <w:color w:val="auto"/>
        </w:rPr>
        <w:t>”), and OPAL Fuels LLC, a Delaware limited liability company (“</w:t>
      </w:r>
      <w:r>
        <w:rPr>
          <w:rFonts w:ascii="Times New Roman" w:cs="Times New Roman" w:eastAsia="Times New Roman" w:hAnsi="Times New Roman"/>
          <w:sz w:val="18"/>
          <w:szCs w:val="18"/>
          <w:b w:val="1"/>
          <w:bCs w:val="1"/>
          <w:i w:val="1"/>
          <w:iCs w:val="1"/>
          <w:color w:val="auto"/>
        </w:rPr>
        <w:t>Opco</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Domestication Date</w:t>
      </w:r>
      <w:r>
        <w:rPr>
          <w:rFonts w:ascii="Times New Roman" w:cs="Times New Roman" w:eastAsia="Times New Roman" w:hAnsi="Times New Roman"/>
          <w:sz w:val="18"/>
          <w:szCs w:val="18"/>
          <w:color w:val="auto"/>
        </w:rPr>
        <w:t>”), Arclight completed the Business Combination as contemplated by the Business Combination Agreement. In connection therewith,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 Pursuant to the Domestication, (i) each outstanding Class B ordinary share,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of ArcLight was automatically converted, on a one-for-one basis, into a Class A ordinary share,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of ArcLight; (ii) each issued and outstanding Class A ordinary share (including Class A ordinary shares resulting from the conversion of Class B ordinary shares into Class A ordinary shares) was automatically converted, on a one-for-one basis, into a share of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(iii) each issued and outstanding whole warrant to purchase Class A ordinary shares of ArcLight automatically converted into a warrant to acquire one share of Class A common stock at an exercise price of $11.50 per share (each an “</w:t>
      </w:r>
      <w:r>
        <w:rPr>
          <w:rFonts w:ascii="Times New Roman" w:cs="Times New Roman" w:eastAsia="Times New Roman" w:hAnsi="Times New Roman"/>
          <w:sz w:val="18"/>
          <w:szCs w:val="18"/>
          <w:b w:val="1"/>
          <w:bCs w:val="1"/>
          <w:i w:val="1"/>
          <w:iCs w:val="1"/>
          <w:color w:val="auto"/>
        </w:rPr>
        <w:t>OPAL warrant</w:t>
      </w:r>
      <w:r>
        <w:rPr>
          <w:rFonts w:ascii="Times New Roman" w:cs="Times New Roman" w:eastAsia="Times New Roman" w:hAnsi="Times New Roman"/>
          <w:sz w:val="18"/>
          <w:szCs w:val="18"/>
          <w:color w:val="auto"/>
        </w:rPr>
        <w: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Class A common stock and one-fifth of one OPAL warrant.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7" w:name="page218"/>
    <w:bookmarkEnd w:id="217"/>
    <w:p>
      <w:pPr>
        <w:ind w:left="340"/>
        <w:spacing w:after="0"/>
        <w:rPr>
          <w:sz w:val="20"/>
          <w:szCs w:val="20"/>
          <w:color w:val="auto"/>
        </w:rPr>
      </w:pPr>
      <w:r>
        <w:rPr>
          <w:rFonts w:ascii="Times New Roman" w:cs="Times New Roman" w:eastAsia="Times New Roman" w:hAnsi="Times New Roman"/>
          <w:sz w:val="18"/>
          <w:szCs w:val="18"/>
          <w:color w:val="auto"/>
        </w:rPr>
        <w:t>On July 21, 2022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as contemplated by the Business Combination Agreement:</w:t>
      </w:r>
    </w:p>
    <w:p>
      <w:pPr>
        <w:spacing w:after="0" w:line="229" w:lineRule="exact"/>
        <w:rPr>
          <w:sz w:val="20"/>
          <w:szCs w:val="20"/>
          <w:color w:val="auto"/>
        </w:rPr>
      </w:pPr>
    </w:p>
    <w:p>
      <w:pPr>
        <w:jc w:val="both"/>
        <w:ind w:left="820" w:hanging="488"/>
        <w:spacing w:after="0" w:line="266" w:lineRule="auto"/>
        <w:tabs>
          <w:tab w:leader="none" w:pos="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and its existing members caused Opco’s existing limited liability company agreement to be amended and restated and in connection therewith, all of the common units of Opco issued and outstanding immediately prior to the closing were re-classified into 144,399,037 Class B common units of Opco (collectively, the “</w:t>
      </w:r>
      <w:r>
        <w:rPr>
          <w:rFonts w:ascii="Times New Roman" w:cs="Times New Roman" w:eastAsia="Times New Roman" w:hAnsi="Times New Roman"/>
          <w:sz w:val="18"/>
          <w:szCs w:val="18"/>
          <w:b w:val="1"/>
          <w:bCs w:val="1"/>
          <w:i w:val="1"/>
          <w:iCs w:val="1"/>
          <w:color w:val="auto"/>
        </w:rPr>
        <w:t>Opco Common Units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$123,363 (representing (x) the amount of cash in the trust account established by ArcLight with the proceeds from its initial public offering as of immediately prior to the Closing, after giving effect to the exercise of redemption rights by any ArcLight shareholders and the set aside of funds in escrow to support a forward purchase agreement (described further below), plus (y) the aggregate cash proceeds received in respect of the PIPE Investment (as defined below);</w:t>
      </w:r>
    </w:p>
    <w:p>
      <w:pPr>
        <w:spacing w:after="0" w:line="179" w:lineRule="exact"/>
        <w:rPr>
          <w:rFonts w:ascii="Times New Roman" w:cs="Times New Roman" w:eastAsia="Times New Roman" w:hAnsi="Times New Roman"/>
          <w:sz w:val="18"/>
          <w:szCs w:val="18"/>
          <w:color w:val="auto"/>
        </w:rPr>
      </w:pPr>
    </w:p>
    <w:p>
      <w:pPr>
        <w:jc w:val="both"/>
        <w:ind w:left="820" w:hanging="488"/>
        <w:spacing w:after="0" w:line="261" w:lineRule="auto"/>
        <w:tabs>
          <w:tab w:leader="none" w:pos="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contributed to Opco, and Opco in turn distributed to pre-closing members of Opco, 144,399,037 shares of Class D common stock, par value $0.0001 per share, of OPAL (the “</w:t>
      </w:r>
      <w:r>
        <w:rPr>
          <w:rFonts w:ascii="Times New Roman" w:cs="Times New Roman" w:eastAsia="Times New Roman" w:hAnsi="Times New Roman"/>
          <w:sz w:val="18"/>
          <w:szCs w:val="18"/>
          <w:b w:val="1"/>
          <w:bCs w:val="1"/>
          <w:i w:val="1"/>
          <w:iCs w:val="1"/>
          <w:color w:val="auto"/>
        </w:rPr>
        <w:t>Class D common stock</w:t>
      </w:r>
      <w:r>
        <w:rPr>
          <w:rFonts w:ascii="Times New Roman" w:cs="Times New Roman" w:eastAsia="Times New Roman" w:hAnsi="Times New Roman"/>
          <w:sz w:val="18"/>
          <w:szCs w:val="18"/>
          <w:color w:val="auto"/>
        </w:rPr>
        <w:t>”) (such shares of Class D common stock do not have any economic value but entitle the holder thereof to five votes per share) with the number of such shares of Class D common stock equal to the number of Opco Common Units held by each pre-closing member of Opco;</w:t>
      </w:r>
    </w:p>
    <w:p>
      <w:pPr>
        <w:spacing w:after="0" w:line="17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issued directly to ARCC Beacon LLC, a Delaware limited liability company (“</w:t>
      </w:r>
      <w:r>
        <w:rPr>
          <w:rFonts w:ascii="Times New Roman" w:cs="Times New Roman" w:eastAsia="Times New Roman" w:hAnsi="Times New Roman"/>
          <w:sz w:val="18"/>
          <w:szCs w:val="18"/>
          <w:b w:val="1"/>
          <w:bCs w:val="1"/>
          <w:i w:val="1"/>
          <w:iCs w:val="1"/>
          <w:color w:val="auto"/>
        </w:rPr>
        <w:t>Ares</w:t>
      </w:r>
      <w:r>
        <w:rPr>
          <w:rFonts w:ascii="Times New Roman" w:cs="Times New Roman" w:eastAsia="Times New Roman" w:hAnsi="Times New Roman"/>
          <w:sz w:val="18"/>
          <w:szCs w:val="18"/>
          <w:color w:val="auto"/>
        </w:rPr>
        <w:t>”), 3,059,533 shares of Class A common stock;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issued to OPAL 25,171,390 Class A Units of Opco (the foregoing transactions being referred to as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with certain investors (the “</w:t>
      </w:r>
      <w:r>
        <w:rPr>
          <w:rFonts w:ascii="Times New Roman" w:cs="Times New Roman" w:eastAsia="Times New Roman" w:hAnsi="Times New Roman"/>
          <w:sz w:val="18"/>
          <w:szCs w:val="18"/>
          <w:b w:val="1"/>
          <w:bCs w:val="1"/>
          <w:i w:val="1"/>
          <w:iCs w:val="1"/>
          <w:color w:val="auto"/>
        </w:rPr>
        <w:t>PIPE Investors</w:t>
      </w:r>
      <w:r>
        <w:rPr>
          <w:rFonts w:ascii="Times New Roman" w:cs="Times New Roman" w:eastAsia="Times New Roman" w:hAnsi="Times New Roman"/>
          <w:sz w:val="18"/>
          <w:szCs w:val="18"/>
          <w:color w:val="auto"/>
        </w:rPr>
        <w:t>”) in connection with the Business Combination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concurrently with the closing of the Business 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OPAL received $105,806 in proceeds from the PIPE Investors, in exchange for which it issued 10,580,600 shares of Class A common stock to the PIPE Investors. OPAL received the remaining $5,000 subscribed for pursuant to the PIPE Investment from one of the PIPE Investors subsequent to the Closing and issued 500,000 shares of Class A common stock.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27,364,124 Class A ordinary shares sold in ArcLight’s initial public offering (the “public shares”) properly exercised their right to have their public shares redeemed for a full pro rata portion of the trust account holding the proceeds from ArcLight’s initial public offering, calculated as of two business days prior to the Closing, which was approximately $10.00 per share, or $274,187 in the aggregate.</w:t>
      </w:r>
    </w:p>
    <w:p>
      <w:pPr>
        <w:spacing w:after="0" w:line="17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Pursuant to a forward share purchase agreement (the “</w:t>
      </w:r>
      <w:r>
        <w:rPr>
          <w:rFonts w:ascii="Times New Roman" w:cs="Times New Roman" w:eastAsia="Times New Roman" w:hAnsi="Times New Roman"/>
          <w:sz w:val="18"/>
          <w:szCs w:val="18"/>
          <w:b w:val="1"/>
          <w:bCs w:val="1"/>
          <w:i w:val="1"/>
          <w:iCs w:val="1"/>
          <w:color w:val="auto"/>
        </w:rPr>
        <w:t>Forward Purchase Agreement</w:t>
      </w:r>
      <w:r>
        <w:rPr>
          <w:rFonts w:ascii="Times New Roman" w:cs="Times New Roman" w:eastAsia="Times New Roman" w:hAnsi="Times New Roman"/>
          <w:sz w:val="18"/>
          <w:szCs w:val="18"/>
          <w:color w:val="auto"/>
        </w:rPr>
        <w:t>”) entered into between ArcLight and Meteora Capital Partners and its affiliates (collectively,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prior to the closing of the Business Combination Meteora purchased 2,000,000 Class A ordinary shares of ArcLight from shareholders which had previously tendered such shares for redemption but agreed to reverse their redemption and sell such shares to Meteora at the redemption price, resulting in Meteora holding a total of 2,000,000 Class A ordinary shares, which Meteora agreed not to redeem in connection with the Business Combination. Additionally, ArcLight placed $20,040 in escrow at the closing of the Business Combination to secure its purchase obligations to Meteora under the Forward Purchase Agreement.</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giving effect to the Business Combination, the redemption of public shares as described above, the consummation of the PIPE Investment, and the separation of the former ArcLight units, there are currently (i) 25,171,390 shares of Class A common stock issued and outstanding, (ii) 144,399,037 shares of Class D common stock issued and outstanding, (iii) no shares of Class B common stock, par value $0.0001 per share, of OPAL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issued and outstanding (shares of Class B common stock do not have any economic value but entitle the holder thereof to one vote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and (iv) no shares of Class C common stock, par value $0.0001 per share, of OPAL (“</w:t>
      </w: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issued and outstanding (shares of Class C common stock entitle the holder thereof to five votes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8" w:name="page219"/>
    <w:bookmarkEnd w:id="218"/>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Class A common stock and OPAL warrants commenced trading on Nasdaq under the symbols “OPAL” and “OPALW,” respectively, on July 22, 2022, subject to ongoing review of OPAL’s satisfaction of all listing criteria following the Business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an aggregate of $274,187 was paid from the trust account to holders that properly exercised their right to have their public shares redeemed, and the remaining balance immediately prior to the Closing of $37,597 remained in the trust account. The remaining amount in the trust account, together with the proceeds from the PIPE Investment, were contributed by OPAL to Opco after the set aside of funds in escrow to support the Forward Purchase Agreement.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19, 2022, Sunoma completed the conversion of the construction loan into a permanent loan and increased the commitment from $20,000 to $23,000.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15, 2022, the Company received a redemption notice from Biotown for the Note receivable and the Company subsequently received $11,555 including the prepayment penalty of $546 and accrued interest.</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4, 2022, OPAL Fuels Intermediate Holdco 2 LLC (“</w:t>
      </w:r>
      <w:r>
        <w:rPr>
          <w:rFonts w:ascii="Times New Roman" w:cs="Times New Roman" w:eastAsia="Times New Roman" w:hAnsi="Times New Roman"/>
          <w:sz w:val="18"/>
          <w:szCs w:val="18"/>
          <w:b w:val="1"/>
          <w:bCs w:val="1"/>
          <w:i w:val="1"/>
          <w:iCs w:val="1"/>
          <w:color w:val="auto"/>
        </w:rPr>
        <w:t>OPAL Intermediate Holdco 2</w:t>
      </w:r>
      <w:r>
        <w:rPr>
          <w:rFonts w:ascii="Times New Roman" w:cs="Times New Roman" w:eastAsia="Times New Roman" w:hAnsi="Times New Roman"/>
          <w:sz w:val="18"/>
          <w:szCs w:val="18"/>
          <w:color w:val="auto"/>
        </w:rPr>
        <w:t>”), a wholly-owned subsidiary of the Company, as borrower, together with its direct and indirect subsidiaries, as guarantors, entered into a new senior secured credit facility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with Bank of Montreal, as the administration agent, Wilmington Trust, as collateral and depositary agent, and the other lenders a party thereto. The Credit Agreement provides for an approximately two year delayed term loan facility (the “DDTL Facility”) of up to a maximum aggregate principal amount of $100.0 million and Debt Service Reserve facility (the “</w:t>
      </w:r>
      <w:r>
        <w:rPr>
          <w:rFonts w:ascii="Times New Roman" w:cs="Times New Roman" w:eastAsia="Times New Roman" w:hAnsi="Times New Roman"/>
          <w:sz w:val="18"/>
          <w:szCs w:val="18"/>
          <w:b w:val="1"/>
          <w:bCs w:val="1"/>
          <w:i w:val="1"/>
          <w:iCs w:val="1"/>
          <w:color w:val="auto"/>
        </w:rPr>
        <w:t>DSR Facility</w:t>
      </w:r>
      <w:r>
        <w:rPr>
          <w:rFonts w:ascii="Times New Roman" w:cs="Times New Roman" w:eastAsia="Times New Roman" w:hAnsi="Times New Roman"/>
          <w:sz w:val="18"/>
          <w:szCs w:val="18"/>
          <w:color w:val="auto"/>
        </w:rPr>
        <w:t>”)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outstanding borrowings under the Credit Agreement bear interest at the benchmark rate of adjusted Term SOFR plus (i) for the period from closing to the earlier of the date of conversion of the construction loan to a term loan (the “</w:t>
      </w:r>
      <w:r>
        <w:rPr>
          <w:rFonts w:ascii="Times New Roman" w:cs="Times New Roman" w:eastAsia="Times New Roman" w:hAnsi="Times New Roman"/>
          <w:sz w:val="18"/>
          <w:szCs w:val="18"/>
          <w:b w:val="1"/>
          <w:bCs w:val="1"/>
          <w:i w:val="1"/>
          <w:iCs w:val="1"/>
          <w:color w:val="auto"/>
        </w:rPr>
        <w:t>Conversion Date</w:t>
      </w:r>
      <w:r>
        <w:rPr>
          <w:rFonts w:ascii="Times New Roman" w:cs="Times New Roman" w:eastAsia="Times New Roman" w:hAnsi="Times New Roman"/>
          <w:sz w:val="18"/>
          <w:szCs w:val="18"/>
          <w:color w:val="auto"/>
        </w:rPr>
        <w:t>”)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Credit Agreement matures on August 4, 2027.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LLC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2020 and 2019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10 “Related Parties” to the consolidated financial statements, OPAL Fuels LLC and its subsidiaries have entered into significant transactions with Fortistar, LLC, which is a related party.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(includes $1,991 and $5,088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(includes $40 and $– at December 31, 2021 and December 31, 2020, respectively,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Prepaid expense and other current assets (includes $113 and $—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Property, plant, and equipment, net (includes $27,359 and $18,834 at December 31,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asset, non-current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Restricted cash (includes $1,163 and $2,199 at December 31, 2021 and December 31, 2020, respectively, related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Units, and Members’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(includes $544 and $864 at December 31, 2021 and December 31, 2020, respectively, related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 VIEs)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capital expenses (includes $1,722 $— and $3,300 at December 31, 2021 and December 31, 2020,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 liabilities (includes $— and $776 at December 31, 2021 and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 under power sales agreement,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7"/>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F-78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Sunoma loan, current portion (includes $756 and $— at December 31, 2021 and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Municipality loan,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142,116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term loan, net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72,256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Sunoma loan, net of debt issuance costs (includes $16,199 and $470 at December 31, 2021 and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financial liability, non-current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A-1 preferred units, subject to redemption, $100 par value, 600,000 and 0 units authorized, and 300,000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0 units issued and outstanding at December 31, 2021 and 2020,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preferred units, subject to redemption, $100 par value, 2,000,000 and 0 units authorized, and 0 and 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units issued and outstanding at December 31, 2021 and 2020, respectively, $100,000 subscription for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unissued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units, without par value, 1,000 and 986 units authorized, and 1,000 and 986 units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December 31, 2021 and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49,170</w:t>
            </w:r>
          </w:p>
        </w:tc>
        <w:tc>
          <w:tcPr>
            <w:tcW w:w="0" w:type="dxa"/>
            <w:vAlign w:val="bottom"/>
          </w:tcPr>
          <w:p>
            <w:pPr>
              <w:spacing w:after="0"/>
              <w:rPr>
                <w:sz w:val="1"/>
                <w:szCs w:val="1"/>
                <w:color w:val="auto"/>
              </w:rPr>
            </w:pPr>
          </w:p>
        </w:tc>
      </w:tr>
      <w:tr>
        <w:trPr>
          <w:trHeight w:val="162"/>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15,967</w:t>
            </w:r>
          </w:p>
        </w:tc>
        <w:tc>
          <w:tcPr>
            <w:tcW w:w="240" w:type="dxa"/>
            <w:vAlign w:val="bottom"/>
          </w:tcPr>
          <w:p>
            <w:pPr>
              <w:spacing w:after="0"/>
              <w:rPr>
                <w:sz w:val="14"/>
                <w:szCs w:val="14"/>
                <w:color w:val="auto"/>
              </w:rPr>
            </w:pPr>
          </w:p>
        </w:tc>
        <w:tc>
          <w:tcPr>
            <w:tcW w:w="9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(25,396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OPAL Fuels LLC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Non-controlling interest in subsidiaries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60"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45,324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station service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50,440</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revenues, net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166,124</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117,706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41,075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31,152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42,838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155,098</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135,542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114,747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Realized and unrealized gain (loss) on derivative financial instruments, net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32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40" w:type="dxa"/>
            <w:vAlign w:val="bottom"/>
          </w:tcPr>
          <w:p>
            <w:pPr>
              <w:spacing w:after="0"/>
              <w:rPr>
                <w:sz w:val="14"/>
                <w:szCs w:val="14"/>
                <w:color w:val="auto"/>
              </w:rPr>
            </w:pPr>
          </w:p>
        </w:tc>
        <w:tc>
          <w:tcPr>
            <w:tcW w:w="9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2,268</w:t>
            </w:r>
          </w:p>
        </w:tc>
        <w:tc>
          <w:tcPr>
            <w:tcW w:w="2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4"/>
                <w:szCs w:val="14"/>
                <w:color w:val="auto"/>
              </w:rPr>
            </w:pPr>
          </w:p>
        </w:tc>
        <w:tc>
          <w:tcPr>
            <w:tcW w:w="8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732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Paid-in-kind preferred dividends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32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(804</w:t>
            </w:r>
          </w:p>
        </w:tc>
        <w:tc>
          <w:tcPr>
            <w:tcW w:w="2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 unit amounts: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41,908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41,908</w:t>
            </w: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34"/>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50"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jc w:val="both"/>
        <w:ind w:left="340" w:hanging="332"/>
        <w:spacing w:after="0" w:line="255"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these consolidated financial statements, the Company amended its limited liability agreement on November 29, 2021 to convert its outstanding membership interests into 986 units. The Earnings per unit have been presented retrospectively for all periods presented.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120" w:type="dxa"/>
            <w:vAlign w:val="bottom"/>
            <w:tcBorders>
              <w:right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3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Preferred Units</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Members’</w:t>
            </w:r>
          </w:p>
        </w:tc>
        <w:tc>
          <w:tcPr>
            <w:tcW w:w="120" w:type="dxa"/>
            <w:vAlign w:val="bottom"/>
          </w:tcPr>
          <w:p>
            <w:pPr>
              <w:spacing w:after="0"/>
              <w:rPr>
                <w:sz w:val="22"/>
                <w:szCs w:val="22"/>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Non-</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3"/>
          </w:tcPr>
          <w:p>
            <w:pPr>
              <w:jc w:val="right"/>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Members’</w:t>
            </w:r>
          </w:p>
        </w:tc>
        <w:tc>
          <w:tcPr>
            <w:tcW w:w="12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7"/>
                <w:szCs w:val="17"/>
                <w:color w:val="auto"/>
              </w:rPr>
            </w:pPr>
          </w:p>
        </w:tc>
        <w:tc>
          <w:tcPr>
            <w:tcW w:w="10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7"/>
                <w:szCs w:val="17"/>
                <w:color w:val="auto"/>
              </w:rPr>
            </w:pPr>
          </w:p>
        </w:tc>
        <w:tc>
          <w:tcPr>
            <w:tcW w:w="860" w:type="dxa"/>
            <w:vAlign w:val="bottom"/>
            <w:gridSpan w:val="2"/>
          </w:tcPr>
          <w:p>
            <w:pPr>
              <w:jc w:val="right"/>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3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1100" w:type="dxa"/>
            <w:vAlign w:val="bottom"/>
            <w:gridSpan w:val="2"/>
          </w:tcPr>
          <w:p>
            <w:pPr>
              <w:jc w:val="right"/>
              <w:ind w:right="360"/>
              <w:spacing w:after="0" w:line="270" w:lineRule="exact"/>
              <w:rPr>
                <w:sz w:val="20"/>
                <w:szCs w:val="20"/>
                <w:color w:val="auto"/>
              </w:rPr>
            </w:pP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24"/>
                <w:szCs w:val="24"/>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previously reported</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77"/>
        </w:trPr>
        <w:tc>
          <w:tcPr>
            <w:tcW w:w="23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restated</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Net loss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22,550</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Net loss</w:t>
            </w:r>
            <w:r>
              <w:rPr>
                <w:rFonts w:ascii="Times New Roman" w:cs="Times New Roman" w:eastAsia="Times New Roman" w:hAnsi="Times New Roman"/>
                <w:sz w:val="25"/>
                <w:szCs w:val="25"/>
                <w:color w:val="auto"/>
                <w:vertAlign w:val="superscript"/>
              </w:rPr>
              <w:t>(2)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Initial non-controlling</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9"/>
                <w:szCs w:val="29"/>
                <w:color w:val="auto"/>
                <w:vertAlign w:val="superscript"/>
              </w:rPr>
              <w:t>(2)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23"/>
                <w:szCs w:val="23"/>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Assignment of related party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line of credit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49,170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non-controlling</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38,939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Contributions from non-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redeemable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units and</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units issued in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for non-</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30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controlling interests</w:t>
            </w:r>
            <w:r>
              <w:rPr>
                <w:rFonts w:ascii="Times New Roman" w:cs="Times New Roman" w:eastAsia="Times New Roman" w:hAnsi="Times New Roman"/>
                <w:sz w:val="29"/>
                <w:szCs w:val="29"/>
                <w:color w:val="auto"/>
                <w:vertAlign w:val="superscript"/>
              </w:rPr>
              <w:t>(4)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23"/>
                <w:szCs w:val="23"/>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(29,913)</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non-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Deconsolidation of entities</w:t>
            </w:r>
            <w:r>
              <w:rPr>
                <w:rFonts w:ascii="Times New Roman" w:cs="Times New Roman" w:eastAsia="Times New Roman" w:hAnsi="Times New Roman"/>
                <w:sz w:val="29"/>
                <w:szCs w:val="29"/>
                <w:color w:val="auto"/>
                <w:vertAlign w:val="superscript"/>
              </w:rPr>
              <w:t>(3)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(30,679)</w:t>
            </w:r>
          </w:p>
        </w:tc>
        <w:tc>
          <w:tcPr>
            <w:tcW w:w="1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(30,679)</w:t>
            </w: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Paid-in-kind preferred</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30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dividends</w:t>
            </w:r>
            <w:r>
              <w:rPr>
                <w:rFonts w:ascii="Times New Roman" w:cs="Times New Roman" w:eastAsia="Times New Roman" w:hAnsi="Times New Roman"/>
                <w:sz w:val="29"/>
                <w:szCs w:val="29"/>
                <w:color w:val="auto"/>
                <w:vertAlign w:val="superscript"/>
              </w:rPr>
              <w:t>(4)</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47,592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63,559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8308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3" w:lineRule="exact"/>
        <w:rPr>
          <w:sz w:val="20"/>
          <w:szCs w:val="20"/>
          <w:color w:val="auto"/>
        </w:rPr>
      </w:pPr>
    </w:p>
    <w:p>
      <w:pPr>
        <w:jc w:val="both"/>
        <w:ind w:left="340" w:hanging="332"/>
        <w:spacing w:after="0" w:line="258"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to these consolidated financial statements, the Company amended its limited liability agreement on November 29, 2021 to convert its outstanding membership interests into 986 units. The earnings (deficit) per unit have been presented retrospectively for all periods presented.</w:t>
      </w:r>
    </w:p>
    <w:p>
      <w:pPr>
        <w:ind w:left="340" w:hanging="332"/>
        <w:spacing w:after="0" w:line="250"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ind w:left="340" w:hanging="332"/>
        <w:spacing w:after="0" w:line="250"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2021, two of our RNG facilities, Pine Bend and Noble Road (defined below) were deconsolidated and accounted for under equity method as per ASC 323. Please refer to Note 6, Investment in </w:t>
      </w:r>
      <w:r>
        <w:rPr>
          <w:rFonts w:ascii="Times New Roman" w:cs="Times New Roman" w:eastAsia="Times New Roman" w:hAnsi="Times New Roman"/>
          <w:sz w:val="18"/>
          <w:szCs w:val="18"/>
          <w:i w:val="1"/>
          <w:iCs w:val="1"/>
          <w:color w:val="auto"/>
        </w:rPr>
        <w:t>Other Entities</w:t>
      </w:r>
      <w:r>
        <w:rPr>
          <w:rFonts w:ascii="Times New Roman" w:cs="Times New Roman" w:eastAsia="Times New Roman" w:hAnsi="Times New Roman"/>
          <w:sz w:val="18"/>
          <w:szCs w:val="18"/>
          <w:color w:val="auto"/>
        </w:rPr>
        <w:t xml:space="preserve"> and Note 17, Variable Interest Entities for additional information.</w:t>
      </w:r>
    </w:p>
    <w:p>
      <w:pPr>
        <w:ind w:left="340" w:hanging="332"/>
        <w:spacing w:after="0" w:line="260"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29, 2021, the Company issued 300,000 redeemable preferred units to Hillman RNG Investments LLC (“Hillman”) in exchange for its contributions as non-controlling interests in four RNG facilities. Please see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for additional information.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(Recovery) provision for bad debts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Write-off of capitalized development costs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sale/disposal of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transfer of equipment to construction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 current and non-current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capital spares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investment in other entity</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(27,791)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note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F-82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80"/>
              <w:spacing w:after="0" w:line="256" w:lineRule="exact"/>
              <w:rPr>
                <w:sz w:val="20"/>
                <w:szCs w:val="20"/>
                <w:color w:val="auto"/>
              </w:rPr>
            </w:pPr>
            <w:r>
              <w:rPr>
                <w:rFonts w:ascii="Times New Roman" w:cs="Times New Roman" w:eastAsia="Times New Roman" w:hAnsi="Times New Roman"/>
                <w:sz w:val="18"/>
                <w:szCs w:val="18"/>
                <w:b w:val="1"/>
                <w:bCs w:val="1"/>
                <w:color w:val="auto"/>
                <w:w w:val="98"/>
              </w:rPr>
              <w:t>(Restated)</w:t>
            </w:r>
            <w:r>
              <w:rPr>
                <w:rFonts w:ascii="Times New Roman" w:cs="Times New Roman" w:eastAsia="Times New Roman" w:hAnsi="Times New Roman"/>
                <w:sz w:val="29"/>
                <w:szCs w:val="29"/>
                <w:b w:val="1"/>
                <w:bCs w:val="1"/>
                <w:color w:val="auto"/>
                <w:w w:val="98"/>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 from business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VIEs, net of cash</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(21,208)</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termination of PPA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135"/>
        </w:trPr>
        <w:tc>
          <w:tcPr>
            <w:tcW w:w="7320" w:type="dxa"/>
            <w:vAlign w:val="bottom"/>
            <w:tcBorders>
              <w:top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jc w:val="right"/>
              <w:ind w:right="10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jc w:val="right"/>
              <w:ind w:right="8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75"/>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gridSpan w:val="2"/>
          </w:tcPr>
          <w:p>
            <w:pPr>
              <w:jc w:val="right"/>
              <w:ind w:right="167"/>
              <w:spacing w:after="0" w:line="68" w:lineRule="exact"/>
              <w:rPr>
                <w:sz w:val="20"/>
                <w:szCs w:val="20"/>
                <w:color w:val="auto"/>
              </w:rPr>
            </w:pPr>
            <w:r>
              <w:rPr>
                <w:rFonts w:ascii="Times New Roman" w:cs="Times New Roman" w:eastAsia="Times New Roman" w:hAnsi="Times New Roman"/>
                <w:sz w:val="7"/>
                <w:szCs w:val="7"/>
                <w:color w:val="auto"/>
              </w:rPr>
              <w:t>(117,204</w:t>
            </w:r>
          </w:p>
        </w:tc>
        <w:tc>
          <w:tcPr>
            <w:tcW w:w="240" w:type="dxa"/>
            <w:vAlign w:val="bottom"/>
          </w:tcPr>
          <w:p>
            <w:pPr>
              <w:spacing w:after="0"/>
              <w:rPr>
                <w:sz w:val="6"/>
                <w:szCs w:val="6"/>
                <w:color w:val="auto"/>
              </w:rPr>
            </w:pPr>
          </w:p>
        </w:tc>
        <w:tc>
          <w:tcPr>
            <w:tcW w:w="1080" w:type="dxa"/>
            <w:vAlign w:val="bottom"/>
            <w:gridSpan w:val="2"/>
          </w:tcPr>
          <w:p>
            <w:pPr>
              <w:jc w:val="right"/>
              <w:ind w:right="147"/>
              <w:spacing w:after="0" w:line="68" w:lineRule="exact"/>
              <w:rPr>
                <w:sz w:val="20"/>
                <w:szCs w:val="20"/>
                <w:color w:val="auto"/>
              </w:rPr>
            </w:pPr>
            <w:r>
              <w:rPr>
                <w:rFonts w:ascii="Times New Roman" w:cs="Times New Roman" w:eastAsia="Times New Roman" w:hAnsi="Times New Roman"/>
                <w:sz w:val="7"/>
                <w:szCs w:val="7"/>
                <w:color w:val="auto"/>
              </w:rPr>
              <w:t>(22,179</w:t>
            </w:r>
          </w:p>
        </w:tc>
        <w:tc>
          <w:tcPr>
            <w:tcW w:w="240" w:type="dxa"/>
            <w:vAlign w:val="bottom"/>
          </w:tcPr>
          <w:p>
            <w:pPr>
              <w:spacing w:after="0"/>
              <w:rPr>
                <w:sz w:val="6"/>
                <w:szCs w:val="6"/>
                <w:color w:val="auto"/>
              </w:rPr>
            </w:pPr>
          </w:p>
        </w:tc>
        <w:tc>
          <w:tcPr>
            <w:tcW w:w="980" w:type="dxa"/>
            <w:vAlign w:val="bottom"/>
            <w:gridSpan w:val="2"/>
          </w:tcPr>
          <w:p>
            <w:pPr>
              <w:jc w:val="right"/>
              <w:ind w:right="27"/>
              <w:spacing w:after="0" w:line="68" w:lineRule="exact"/>
              <w:rPr>
                <w:sz w:val="20"/>
                <w:szCs w:val="20"/>
                <w:color w:val="auto"/>
              </w:rPr>
            </w:pPr>
            <w:r>
              <w:rPr>
                <w:rFonts w:ascii="Times New Roman" w:cs="Times New Roman" w:eastAsia="Times New Roman" w:hAnsi="Times New Roman"/>
                <w:sz w:val="7"/>
                <w:szCs w:val="7"/>
                <w:color w:val="auto"/>
              </w:rPr>
              <w:t>(29,848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 – affiliate</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Sunoma loan</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15,679</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and long-term debt,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(3,607)</w:t>
            </w:r>
          </w:p>
        </w:tc>
        <w:tc>
          <w:tcPr>
            <w:tcW w:w="240" w:type="dxa"/>
            <w:vAlign w:val="bottom"/>
          </w:tcPr>
          <w:p>
            <w:pPr>
              <w:spacing w:after="0"/>
              <w:rPr>
                <w:sz w:val="18"/>
                <w:szCs w:val="18"/>
                <w:color w:val="auto"/>
              </w:rPr>
            </w:pPr>
          </w:p>
        </w:tc>
        <w:tc>
          <w:tcPr>
            <w:tcW w:w="108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Senior secured facility –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(4,901)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(8,106)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Senior secured facility – working capital facility</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(5,182)</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Trustar revolver facility</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21,579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8,532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7,804</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16,639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 related party</w:t>
            </w:r>
          </w:p>
        </w:tc>
        <w:tc>
          <w:tcPr>
            <w:tcW w:w="240" w:type="dxa"/>
            <w:vAlign w:val="bottom"/>
          </w:tcPr>
          <w:p>
            <w:pPr>
              <w:spacing w:after="0"/>
              <w:rPr>
                <w:sz w:val="18"/>
                <w:szCs w:val="18"/>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13,361</w:t>
            </w:r>
          </w:p>
        </w:tc>
        <w:tc>
          <w:tcPr>
            <w:tcW w:w="240" w:type="dxa"/>
            <w:vAlign w:val="bottom"/>
          </w:tcPr>
          <w:p>
            <w:pPr>
              <w:spacing w:after="0"/>
              <w:rPr>
                <w:sz w:val="18"/>
                <w:szCs w:val="18"/>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member</w:t>
            </w:r>
          </w:p>
        </w:tc>
        <w:tc>
          <w:tcPr>
            <w:tcW w:w="240" w:type="dxa"/>
            <w:vAlign w:val="bottom"/>
          </w:tcPr>
          <w:p>
            <w:pPr>
              <w:spacing w:after="0"/>
              <w:rPr>
                <w:sz w:val="20"/>
                <w:szCs w:val="20"/>
                <w:color w:val="auto"/>
              </w:rPr>
            </w:pP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7,531</w:t>
            </w:r>
          </w:p>
        </w:tc>
        <w:tc>
          <w:tcPr>
            <w:tcW w:w="240" w:type="dxa"/>
            <w:vAlign w:val="bottom"/>
          </w:tcPr>
          <w:p>
            <w:pPr>
              <w:spacing w:after="0"/>
              <w:rPr>
                <w:sz w:val="20"/>
                <w:szCs w:val="20"/>
                <w:color w:val="auto"/>
              </w:rPr>
            </w:pP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15,128</w:t>
            </w:r>
          </w:p>
        </w:tc>
        <w:tc>
          <w:tcPr>
            <w:tcW w:w="240" w:type="dxa"/>
            <w:vAlign w:val="bottom"/>
          </w:tcPr>
          <w:p>
            <w:pPr>
              <w:spacing w:after="0"/>
              <w:rPr>
                <w:sz w:val="20"/>
                <w:szCs w:val="20"/>
                <w:color w:val="auto"/>
              </w:rPr>
            </w:pP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30,057</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26,666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13,827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14,684</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net of $756 and $0 capitalized, respectively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4,339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6,243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notes payable related to business acquisition, excluding paid-in-kind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55,410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Accrual for purchase of Property, plant and equipment included in Accrued capital expenses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7"/>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of debt to Parent Company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OPAL Fuels LLC (including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 and in late-stage development. OPAL Fuels LLC also constructs, owns and services fueling stations that dispense RNG and compressed natural gas (</w:t>
      </w:r>
      <w:r>
        <w:rPr>
          <w:rFonts w:ascii="Times New Roman" w:cs="Times New Roman" w:eastAsia="Times New Roman" w:hAnsi="Times New Roman"/>
          <w:sz w:val="18"/>
          <w:szCs w:val="18"/>
          <w:b w:val="1"/>
          <w:bCs w:val="1"/>
          <w:color w:val="auto"/>
        </w:rPr>
        <w:t>“CNG”</w:t>
      </w:r>
      <w:r>
        <w:rPr>
          <w:rFonts w:ascii="Times New Roman" w:cs="Times New Roman" w:eastAsia="Times New Roman" w:hAnsi="Times New Roman"/>
          <w:sz w:val="18"/>
          <w:szCs w:val="18"/>
          <w:color w:val="auto"/>
        </w:rPr>
        <w:t xml:space="preserve">)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 a wholly owned subsidiary of OPAL HoldCo LLC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which, in turn, is an indirect subsidiary of Fortistar LLC (the </w:t>
      </w:r>
      <w:r>
        <w:rPr>
          <w:rFonts w:ascii="Times New Roman" w:cs="Times New Roman" w:eastAsia="Times New Roman" w:hAnsi="Times New Roman"/>
          <w:sz w:val="18"/>
          <w:szCs w:val="18"/>
          <w:b w:val="1"/>
          <w:bCs w:val="1"/>
          <w:color w:val="auto"/>
        </w:rPr>
        <w:t>“Ultimate Parent”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 2021, we completed the acquisition Beacon Acquisition of Beacon RNG LLC (“Beacon”). Beacon extracts and converts methane gas to 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 Acquisition, for more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29, 2021, the Company amended its limited liability agreement (“LLCA”) which converted the outstanding membership interests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986 common units. Therefore, the earnings per unit has been presented retrospectively for all periods presented in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additional information.</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29, 2021, we signed two agreements with NextEra Energy (“NextEra”). NextEra agreed to invest up to $100,000 in Series A preferred 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 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 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2021.</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appropriated funds for the Small Business Administration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 November 2020. As of December 31, 2021, no amounts were outstanding.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 these consolidated financial statements, the extent to which the COVID-19 pandemic may impact the Company’s financial condition, liquidity, or results of operations is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August 2014, the Financial Accounting Standards Board (“FASB”) issued ASU 2014-15, Presentation of Financial Statements-Going Concern (Subtopic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before the date that the financial statements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 as of December 31, 2021 was $42,054, out of which $2,740 is restricted.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$94,988 of our outstanding debt excluding interest repayment due on Sunoma loan coming due in 2022 which is reflected in our working capital deficit of $55,141.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our projected capital expenditures to fund our growth plans.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performing the second step of this assessment, we are required to evaluate whether our plans to mitigate the above conditions alleviate the substantial doubt about our ability to meet our obligations as they become due within one year after the date of financial statements are issued. We list below our plans to alleviate the substantial doubt:</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180" w:lineRule="exact"/>
        <w:rPr>
          <w:sz w:val="20"/>
          <w:szCs w:val="20"/>
          <w:color w:val="auto"/>
        </w:rPr>
      </w:pPr>
    </w:p>
    <w:p>
      <w:pPr>
        <w:jc w:val="both"/>
        <w:ind w:left="660" w:hanging="328"/>
        <w:spacing w:after="0" w:line="258"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183" w:lineRule="exact"/>
        <w:rPr>
          <w:sz w:val="20"/>
          <w:szCs w:val="20"/>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projected revenues for 2022 are already under existing fixed contract arrangements.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ability to postpone our uncommitted capital expenditures without significantly impacting our revenue generation capabilities for the upcoming 12 months from the date of the financial statements are issued.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would be able to pay the debt coming due in 2022 with the availability under the existing facilities together with the cash on hand and cash flows from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acknowledge that we face a challenging competitive environment and we continue to focus on our overall profitability and manage our extensive 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 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Restatements of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consolidated balance sheet as of December 31, 2020, consolidated statements of operations for the years ended December 31, 2020 and 2019, consolidated statements of changes in members’ equity (deficit) as of December 31, 2020, 2019 and 2018 and consolidated statements of cash flows for 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 subsequently remitted to the government.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commodity swap contracts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 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 a fixed contract price of $35.75 per MWh. The swap was expected to be net settled in cash on a monthly basis. Please see Note 12 Derivative Financial Instruments for additional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that these two contracts were economic hedges against market price volatility and are considered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required the Company to record mark to market unrealized gain (loss) in its consolidated statements of operations and a corresponding asset or liability for the remaining contract period on the consolidated balance sheets as of and for the years ended December 31, 2020, 2019 and 2018.</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 swap arrangements in its financial statements for the years ended December 31, 2020 and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taxes collected on behalf of customers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 2019. This adjustment did not have any impact on net loss reported for both the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recording of invoices in the wrong period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 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 the following tables shows the effect of the restatement on each affected financial statement line item: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4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4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2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50,395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51,205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76,192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79,492</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(25,396)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164,629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169,458</w:t>
            </w:r>
          </w:p>
        </w:tc>
      </w:tr>
      <w:tr>
        <w:trPr>
          <w:trHeight w:val="637"/>
        </w:trPr>
        <w:tc>
          <w:tcPr>
            <w:tcW w:w="4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F-88</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168,418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22,512</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165,713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168,418</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2020</w:t>
            </w: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51,250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117,706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136,714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135,542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(17,836)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(24,195)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(25,371)</w:t>
            </w:r>
          </w:p>
        </w:tc>
      </w:tr>
      <w:tr>
        <w:trPr>
          <w:trHeight w:val="432"/>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2019</w:t>
            </w: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55,682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119,702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RNG fuel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115,207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114,747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432"/>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tc>
      </w:tr>
      <w:tr>
        <w:trPr>
          <w:trHeight w:val="452"/>
        </w:trPr>
        <w:tc>
          <w:tcPr>
            <w:tcW w:w="4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6,685</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30,459</w:t>
            </w:r>
          </w:p>
        </w:tc>
      </w:tr>
      <w:tr>
        <w:trPr>
          <w:trHeight w:val="655"/>
        </w:trPr>
        <w:tc>
          <w:tcPr>
            <w:tcW w:w="47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F-89</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MEMBERS’ EQUITY (DEFICIT)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3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29"/>
                <w:szCs w:val="29"/>
                <w:b w:val="1"/>
                <w:bCs w:val="1"/>
                <w:color w:val="auto"/>
                <w:vertAlign w:val="superscript"/>
              </w:rPr>
              <w:t>(1)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3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19,807</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2,705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216"/>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(1) Includes $3,078 adjustment to opening retained earnings as of December 31, 2018.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60" w:type="dxa"/>
            <w:vAlign w:val="bottom"/>
          </w:tcPr>
          <w:p>
            <w:pPr>
              <w:spacing w:after="0"/>
              <w:rPr>
                <w:sz w:val="24"/>
                <w:szCs w:val="24"/>
                <w:color w:val="auto"/>
              </w:rPr>
            </w:pPr>
          </w:p>
        </w:tc>
        <w:tc>
          <w:tcPr>
            <w:tcW w:w="3660" w:type="dxa"/>
            <w:vAlign w:val="bottom"/>
            <w:gridSpan w:val="7"/>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Fiscal Year Ended December 31, 2020</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Restated</w:t>
            </w:r>
            <w:r>
              <w:rPr>
                <w:rFonts w:ascii="Times New Roman" w:cs="Times New Roman" w:eastAsia="Times New Roman" w:hAnsi="Times New Roman"/>
                <w:sz w:val="29"/>
                <w:szCs w:val="29"/>
                <w:b w:val="1"/>
                <w:bCs w:val="1"/>
                <w:color w:val="auto"/>
                <w:w w:val="93"/>
                <w:vertAlign w:val="superscript"/>
              </w:rPr>
              <w:t>(1)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8"/>
        </w:trPr>
        <w:tc>
          <w:tcPr>
            <w:tcW w:w="732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____________</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58"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also includes $3,300 included in the Supplementary cash flow information as accrued expenses for purchase of Plant, property and equipment.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2019</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 DISCLOSURE ON THE BALANCE SHEET (in parenthesis)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F-90</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 (“FM3”),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 the Company have been adjusted to combine the previously separate entities to reflect the transaction as if it had occurred as of the earliest period presented under common control.</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 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LLC members’ equity in the consolidated balance sheets and as a non-controlling interest in the consolidated statements changes in members’ equity. The Company’s consolidated financial statements reflect the activities of the Company, its subsidiaries, and its equity method investments for the years ended December 31, 2021 and December 31, 2020.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 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 RNG LLC (“Pine Bend”) both of which were consolidated by the Company. As of December 31, 2019, the Company did not hold interest in a VIE.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 and so long as the company has not “opt-out” of the private company option. As a qualified EGC, the Company has elected to adopt financial accounting standards on a private company requirement timeframe.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2020-06, </w:t>
      </w:r>
      <w:r>
        <w:rPr>
          <w:rFonts w:ascii="Times New Roman" w:cs="Times New Roman" w:eastAsia="Times New Roman" w:hAnsi="Times New Roman"/>
          <w:sz w:val="18"/>
          <w:szCs w:val="18"/>
          <w:i w:val="1"/>
          <w:iCs w:val="1"/>
          <w:color w:val="auto"/>
        </w:rPr>
        <w:t>Debt with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Options and Derivatives and Hedging — Contracts in Entity’s Own Equity </w:t>
      </w:r>
      <w:r>
        <w:rPr>
          <w:rFonts w:ascii="Times New Roman" w:cs="Times New Roman" w:eastAsia="Times New Roman" w:hAnsi="Times New Roman"/>
          <w:sz w:val="18"/>
          <w:szCs w:val="18"/>
          <w:color w:val="auto"/>
        </w:rPr>
        <w:t>which simplified the accounting for convertible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2020-06 was effective January 1, 2020 for public 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modified the disclosure requirements on fair value measurements. In January 2017, the FASB issued ASU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which simplified the test for goodwill impairment. Neither of these standards have a significant impact on the Company.</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which simplifies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subject to certain exceptions. ASU 2018-07 expands the scope of ASC Topic 718, Compensation-Stock 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include share-based payment transactions for acquiring goods and services from non-employees. This amendment was effective beginning January 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requiring lessees to record the assets and liabilities for operating leases on the balance sheet. This standard is effective for fiscal years beginning after December 15, 2020, with early adoption permitted. In April 2020, the FASB voted to defer the effective date for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private companies and certain not-for-profit entities for one year. For companies filing under emerging growth company status and private not-for-profits, the leasing standard will be effective for fiscal years beginning after December 15, 2021. The Company is currently evaluating the impact on its financial statements of adopting this standard.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 experienced any loss in such accounts, and it manages this risk by maintaining cash and other highly liquid investments in high quality financial institutions.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held as collateral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Tax Credit Receivable/Payable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 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$58 as of December 31, 2021 and 2020, respectively. Cost is determined using the average cost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 – 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plant and equipment are retired or otherwise disposed of, the related cost and accumulated depreciation or amortization is removed, and a gain or loss is recognized in the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EPC contracts. Costs incurred prior to this time are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Awards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Ultimate Parent granted equity-based awards to employees in 2020 and 2019 in the form of residual equity interests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Profits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its ownership in various Company subsidiaries. Compensation costs relating to the Profits Interests are recognized in the consolidated statements of operations 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 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 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 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Profits Interests were restructured in December 2020, at which time the residual equity interests are now based on a portion of the Ultimate 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 Company estimated the fair value of the awards on the modification date using an option pricing model. There were no changes to the service vesting period or other terms of the awards as a result of this modification.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new awards granted during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Maintenance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8"/>
          <w:szCs w:val="18"/>
          <w:i w:val="1"/>
          <w:iCs w:val="1"/>
          <w:color w:val="auto"/>
        </w:rPr>
        <w:t>Intangibles — Goodwill and Other (Topic 350): Testing Goodwill for Impairment.</w:t>
      </w:r>
      <w:r>
        <w:rPr>
          <w:rFonts w:ascii="Times New Roman" w:cs="Times New Roman" w:eastAsia="Times New Roman" w:hAnsi="Times New Roman"/>
          <w:sz w:val="18"/>
          <w:szCs w:val="18"/>
          <w:color w:val="auto"/>
        </w:rPr>
        <w:t xml:space="preserve"> Under this guidance, the Company performed qualitative test for goodwill on Beacon and Trustar for the year ended December 31, 2021. The Company performed quantitative test for Trustar for the year ended December 31, 2020. As a result of these tests, the Company determined that the fair value of its reporting unit exceeded its carrying value and, thus, the Company determined that goodwill was not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Identifiable intangible liabilities consist of an RNG gas sales agreement and two PPAs. The RNG gas sales agreement intangible liability was 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 BCA, which is presented a non-current Deferred financing costs within its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Shipping and handling costs are expensed as incurred. Shipping and handling costs are included in cost of sales and were $1,431, $1,001, and $1,005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are accounted for in selling, general and administrative expense and were $455, $528, and $281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 electricity forward sales agreements were recorded under the normal purchases and normal sales exception and, therefore, fair value adjustments were not required in 2021 and 2020.</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and Note 12, Derivative Financial Instruments for additional information.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 rate swaps which were recorded as realized and unrealized gain (loss) on derivative financial instruments, net in its consolidated statements of operations for the years ended December 31, 2021, 2020, and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Units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classifies the redeemable preferred units outside of permanent equity because the units contain a redemption feature which is contingent upon the occurrence of (i) the Company’s actual dissolution, (ii) a change in control, or (iii) 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 end of each reporting period. The Company will accrue dividends each quarter as cash or paid-in-kind at the option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asset retirement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fair value of 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 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changes in the asset retirement obligations were as follows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asset retirement obligation</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5,738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adoption of this ASU did not have a significant impact on the Company’s financial statements. Most of 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 invoices from the respective revenue streams are representative of services or goods provided to date to the customer.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 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 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MMBtu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MWhs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produced at that site. This revenue is recognized when LFG is collected, and electricity is delivered.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 its experience allows it to create materially reliable estimates. Costs capitalized to fulfill certain contracts were not material in any of the years presented.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provided certain assurance warranties to customers under its various construction contracts for up to one year. A warranty reserve is 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 in time that the customer takes control of the fuel.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from time-to-time enters into commodity swap agreements as a means to hedge against the market volatility of prices of Renewable 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 operations for the years ended December 31, 2021, 2020, and 2019.</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 $3,561,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product line and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line="256" w:lineRule="exact"/>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line="256" w:lineRule="exact"/>
              <w:rPr>
                <w:sz w:val="20"/>
                <w:szCs w:val="20"/>
                <w:color w:val="auto"/>
              </w:rPr>
            </w:pPr>
            <w:r>
              <w:rPr>
                <w:rFonts w:ascii="Times New Roman" w:cs="Times New Roman" w:eastAsia="Times New Roman" w:hAnsi="Times New Roman"/>
                <w:sz w:val="18"/>
                <w:szCs w:val="18"/>
                <w:b w:val="1"/>
                <w:bCs w:val="1"/>
                <w:color w:val="auto"/>
              </w:rPr>
              <w:t>2019</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(Restated)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(Restated)</w:t>
            </w: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Electricity sales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40,259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46,380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Third Party Construction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Brown Gas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Credits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Parts Sales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Agreements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Lease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bottom w:val="single" w:sz="8" w:color="CCEEFF"/>
            </w:tcBorders>
          </w:tcPr>
          <w:p>
            <w:pPr>
              <w:spacing w:after="0"/>
              <w:rPr>
                <w:sz w:val="18"/>
                <w:szCs w:val="18"/>
                <w:color w:val="auto"/>
              </w:rPr>
            </w:pPr>
          </w:p>
        </w:tc>
      </w:tr>
      <w:tr>
        <w:trPr>
          <w:trHeight w:val="290"/>
        </w:trPr>
        <w:tc>
          <w:tcPr>
            <w:tcW w:w="73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29"/>
                <w:szCs w:val="29"/>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166,124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117,706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119,702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approximately 28.9%, 42.5% and 43.6%, respectively, of revenue was recognized over time, and the remainder was for products and services transferred at a point in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receivables, contract assets and contract liabilities from contracts with customers: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Fiscal Years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retainage,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Billings in excess of cost and estimated earnings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40"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25,391</w:t>
        <w:tab/>
        <w:t>$</w:t>
      </w:r>
      <w:r>
        <w:rPr>
          <w:sz w:val="20"/>
          <w:szCs w:val="20"/>
          <w:color w:val="auto"/>
        </w:rPr>
        <w:tab/>
      </w:r>
      <w:r>
        <w:rPr>
          <w:rFonts w:ascii="Times New Roman" w:cs="Times New Roman" w:eastAsia="Times New Roman" w:hAnsi="Times New Roman"/>
          <w:sz w:val="18"/>
          <w:szCs w:val="18"/>
          <w:color w:val="auto"/>
        </w:rPr>
        <w:t>22,002</w:t>
      </w:r>
    </w:p>
    <w:p>
      <w:pPr>
        <w:spacing w:after="0" w:line="252"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5,989</w:t>
      </w:r>
      <w:r>
        <w:rPr>
          <w:sz w:val="20"/>
          <w:szCs w:val="20"/>
          <w:color w:val="auto"/>
        </w:rPr>
        <w:tab/>
      </w:r>
      <w:r>
        <w:rPr>
          <w:rFonts w:ascii="Times New Roman" w:cs="Times New Roman" w:eastAsia="Times New Roman" w:hAnsi="Times New Roman"/>
          <w:sz w:val="18"/>
          <w:szCs w:val="18"/>
          <w:color w:val="auto"/>
        </w:rPr>
        <w:t>2,903</w:t>
      </w:r>
    </w:p>
    <w:p>
      <w:pPr>
        <w:spacing w:after="0" w:line="27"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2,495</w:t>
      </w:r>
      <w:r>
        <w:rPr>
          <w:sz w:val="20"/>
          <w:szCs w:val="20"/>
          <w:color w:val="auto"/>
        </w:rPr>
        <w:tab/>
      </w:r>
      <w:r>
        <w:rPr>
          <w:rFonts w:ascii="Times New Roman" w:cs="Times New Roman" w:eastAsia="Times New Roman" w:hAnsi="Times New Roman"/>
          <w:sz w:val="18"/>
          <w:szCs w:val="18"/>
          <w:color w:val="auto"/>
        </w:rPr>
        <w:t>2,621</w:t>
      </w:r>
    </w:p>
    <w:p>
      <w:pPr>
        <w:spacing w:after="0" w:line="31" w:lineRule="exact"/>
        <w:rPr>
          <w:sz w:val="20"/>
          <w:szCs w:val="20"/>
          <w:color w:val="auto"/>
        </w:rPr>
      </w:pP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8,484</w:t>
      </w:r>
      <w:r>
        <w:rPr>
          <w:sz w:val="20"/>
          <w:szCs w:val="20"/>
          <w:color w:val="auto"/>
        </w:rPr>
        <w:tab/>
      </w:r>
      <w:r>
        <w:rPr>
          <w:rFonts w:ascii="Times New Roman" w:cs="Times New Roman" w:eastAsia="Times New Roman" w:hAnsi="Times New Roman"/>
          <w:sz w:val="18"/>
          <w:szCs w:val="18"/>
          <w:color w:val="auto"/>
        </w:rPr>
        <w:t>5,524</w:t>
      </w:r>
    </w:p>
    <w:p>
      <w:pPr>
        <w:spacing w:after="0" w:line="293"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9,785</w:t>
        <w:tab/>
        <w:t>$</w:t>
      </w:r>
      <w:r>
        <w:rPr>
          <w:sz w:val="20"/>
          <w:szCs w:val="20"/>
          <w:color w:val="auto"/>
        </w:rPr>
        <w:tab/>
      </w:r>
      <w:r>
        <w:rPr>
          <w:rFonts w:ascii="Times New Roman" w:cs="Times New Roman" w:eastAsia="Times New Roman" w:hAnsi="Times New Roman"/>
          <w:sz w:val="18"/>
          <w:szCs w:val="18"/>
          <w:color w:val="auto"/>
        </w:rPr>
        <w:t>4,678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 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color w:val="auto"/>
        </w:rPr>
        <w:t>“backlog”</w:t>
      </w:r>
      <w:r>
        <w:rPr>
          <w:rFonts w:ascii="Times New Roman" w:cs="Times New Roman" w:eastAsia="Times New Roman" w:hAnsi="Times New Roman"/>
          <w:sz w:val="18"/>
          <w:szCs w:val="18"/>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 of its backlog anticipated to be recognized as revenue in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intersegment sales and transfers as if these sales and transfers were to third parties at current market prices.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Income (Loss) Per Unit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29, 2021, the Company amended and restated the LLCA to provide for the creation and issuance of multiple classes and series of units 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 issued. See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is computed by dividing the net income (loss) attributable to OPAL Fuels LLC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 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 are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Suppliers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2021, one supplier of the Company accounted for 17% or more of total Company purchases. In 2020 and 2019, one supplier accounted for 9% and 16%, respectively of total Company purchases. At December 31, 2021 and 2020, two suppliers accounted for 61% and 37%, respectively, of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 revenues up to a maximum of $4,500. The Company accounted for the amounts to be received under the fee letter as 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 consolidated balance of Note receivable and Note receivable — variable fee component, respectively, sheet as of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follows ASC 820 regarding fair value measurements which establishes a three-tier fair value hierarchy and prioritizes the inputs used in valuation techniques that measure fair value. These tiers include: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liabilities.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 are 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December 31, 2021 or December 31, 2020.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set forth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7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992</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58,710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Commodity swap contracts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382</w:t>
            </w:r>
          </w:p>
        </w:tc>
        <w:tc>
          <w:tcPr>
            <w:tcW w:w="2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637"/>
        </w:trPr>
        <w:tc>
          <w:tcPr>
            <w:tcW w:w="5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F-104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Fair value as of December 31, 2020 (Restated)</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0"/>
                <w:szCs w:val="20"/>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8"/>
                <w:szCs w:val="18"/>
                <w:color w:val="auto"/>
              </w:rPr>
            </w:pPr>
          </w:p>
        </w:tc>
        <w:tc>
          <w:tcPr>
            <w:tcW w:w="13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2,785</w:t>
            </w: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Commodity swap contracts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right="20" w:hanging="332"/>
        <w:spacing w:after="0" w:line="266"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9040" w:firstLine="8"/>
        <w:spacing w:after="0" w:line="530" w:lineRule="auto"/>
        <w:tabs>
          <w:tab w:leader="none" w:pos="18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Operations Power Purchase Agreements</w:t>
      </w:r>
    </w:p>
    <w:p>
      <w:pPr>
        <w:spacing w:after="0" w:line="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The Company has PPAs with utilities to sell electricity and receive capacity and energy payments. The PPAs expire from 2022 to 2036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per megawatt hour (“MWh”) varies for each contract. For the years ended December 31, 2021, 2020, and 2019, power sales revenues under long-term 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 prices.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Renewable Energy Credits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Purchase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 $3,741, and $3,794, respectively, and are included in cost of sales — renewable power in the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Company Operations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 2020, and 2019, royalty expense totaled $15,241, $6,159, and $6,403, respectively, and is included in cost of sales — Renewable Power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Maintenance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operating and maintenance agreement (“O&amp;M Agreement”) pursuant to which the Company operates and maintains the site’s gas 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2021, we acquired the remaining 55.7% ownership interest in Beacon to increase our ownership interest from 44.3% to 100%. Beacon extracts and converts methane gas to RNG from two landfills located in western Pennsylvania and sells the extracted gas to public utilities and separately monetizes environmental attributes through sales to third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 issuance of the convertible note, were insignificant and expensed as incurred.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closing on May 1, 2021, our 44.3% equity investment in Beacon was recorded at $24,270. Upon acquisition of the remaining 55.7% ownership 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of 17.0% to 19.1% based on the weighted average cost of capital, and a terminal value based on a range of terminal earnings before interest, taxes, depreciation, and amortization.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 settlement gain or loss recognized for the extinguishment of the preexisting relationship. Goodwill will not be amortized, but rather reviewed annually for impairment or more frequently if indicators of impairment exist.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Acquisition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55,410</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previously held equity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44,069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net identifiable assets acquired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inventory</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50,726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(4,196)</w:t>
            </w:r>
          </w:p>
        </w:tc>
      </w:tr>
      <w:tr>
        <w:trPr>
          <w:trHeight w:val="210"/>
        </w:trPr>
        <w:tc>
          <w:tcPr>
            <w:tcW w:w="100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identifiable net assets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99,479</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note as of December 31, 2021 is $58,710. Refer to Note 10, Borrowings, for additional information.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paid over the estimated fair values of the identifiable assets acquired and liabilities assumed totaled $51,155 and is 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45"/>
        </w:trPr>
        <w:tc>
          <w:tcPr>
            <w:tcW w:w="8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5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63"/>
        </w:trPr>
        <w:tc>
          <w:tcPr>
            <w:tcW w:w="85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line="256" w:lineRule="exact"/>
              <w:rPr>
                <w:sz w:val="20"/>
                <w:szCs w:val="20"/>
                <w:color w:val="auto"/>
              </w:rPr>
            </w:pPr>
            <w:r>
              <w:rPr>
                <w:rFonts w:ascii="Times New Roman" w:cs="Times New Roman" w:eastAsia="Times New Roman" w:hAnsi="Times New Roman"/>
                <w:sz w:val="18"/>
                <w:szCs w:val="18"/>
                <w:color w:val="auto"/>
                <w:w w:val="96"/>
              </w:rPr>
              <w:t>Restated</w:t>
            </w:r>
            <w:r>
              <w:rPr>
                <w:rFonts w:ascii="Times New Roman" w:cs="Times New Roman" w:eastAsia="Times New Roman" w:hAnsi="Times New Roman"/>
                <w:sz w:val="29"/>
                <w:szCs w:val="29"/>
                <w:color w:val="auto"/>
                <w:w w:val="96"/>
                <w:vertAlign w:val="superscript"/>
              </w:rPr>
              <w:t>(1)</w:t>
            </w:r>
          </w:p>
        </w:tc>
        <w:tc>
          <w:tcPr>
            <w:tcW w:w="100" w:type="dxa"/>
            <w:vAlign w:val="bottom"/>
            <w:tcBorders>
              <w:bottom w:val="single" w:sz="8" w:color="CCEEFF"/>
            </w:tcBorders>
          </w:tcPr>
          <w:p>
            <w:pPr>
              <w:spacing w:after="0"/>
              <w:rPr>
                <w:sz w:val="22"/>
                <w:szCs w:val="2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132,745</w:t>
            </w:r>
          </w:p>
        </w:tc>
        <w:tc>
          <w:tcPr>
            <w:tcW w:w="100" w:type="dxa"/>
            <w:vAlign w:val="bottom"/>
            <w:shd w:val="clear" w:color="auto" w:fill="CCEEFF"/>
          </w:tcPr>
          <w:p>
            <w:pPr>
              <w:spacing w:after="0"/>
              <w:rPr>
                <w:sz w:val="18"/>
                <w:szCs w:val="18"/>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right="20" w:hanging="332"/>
        <w:spacing w:after="0" w:line="282"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Other Entities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method investments as of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40" w:type="dxa"/>
            <w:vAlign w:val="bottom"/>
          </w:tcPr>
          <w:p>
            <w:pPr>
              <w:spacing w:after="0"/>
              <w:rPr>
                <w:sz w:val="21"/>
                <w:szCs w:val="21"/>
                <w:color w:val="auto"/>
              </w:rPr>
            </w:pPr>
          </w:p>
        </w:tc>
        <w:tc>
          <w:tcPr>
            <w:tcW w:w="23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Pine Bend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GREP</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in other entities</w:t>
            </w: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Income on equity method investments, net reported in the Company’s consolidated statements of operations consisted of the following for the years ended December 31, 2021, 2020 and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jc w:val="right"/>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 net, before amortization of basis difference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on equity method investments,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Beacon Step Acquisition</w:t>
      </w:r>
    </w:p>
    <w:p>
      <w:pPr>
        <w:spacing w:after="0" w:line="22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 xml:space="preserve">As detailed in Note 5,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 31, 2021. Upon the step acquisition the Company consolidated Beacon and no longer accounts for its interest in Beacon as an equity method investment.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Deconsolidation of Pine Bend and Noble Road</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2021, the Company re-assessed its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both entities.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the Company remeasured the fair value of the retained investment and recognized a gain of $3,145 on Pine Bend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$11,880 on Noble Road in its consolidated statement of operations for the year ended December 31, 2021 and a corresponding increase in its basis in </w:t>
      </w:r>
      <w:r>
        <w:rPr>
          <w:rFonts w:ascii="Times New Roman" w:cs="Times New Roman" w:eastAsia="Times New Roman" w:hAnsi="Times New Roman"/>
          <w:sz w:val="18"/>
          <w:szCs w:val="18"/>
          <w:i w:val="1"/>
          <w:iCs w:val="1"/>
          <w:color w:val="auto"/>
        </w:rPr>
        <w:t xml:space="preserve">Investment in other entities </w:t>
      </w:r>
      <w:r>
        <w:rPr>
          <w:rFonts w:ascii="Times New Roman" w:cs="Times New Roman" w:eastAsia="Times New Roman" w:hAnsi="Times New Roman"/>
          <w:sz w:val="18"/>
          <w:szCs w:val="18"/>
          <w:color w:val="auto"/>
        </w:rPr>
        <w:t>on its consolidated balance sheet as of December 31, 2021. The fair value of the retained investment was measured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discounted cash flows model in which the future net cash flows from the two RNG facilities were discounted to their present value using a discount factor of 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1" w:name="page252"/>
    <w:bookmarkEnd w:id="251"/>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carrying value of assets and liabilities of the two entities at the time of their deconsolidation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deconsolidated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Reynold RNG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620" w:hanging="615"/>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21,208</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44,250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(4,235)</w:t>
      </w:r>
    </w:p>
    <w:p>
      <w:pPr>
        <w:spacing w:after="0" w:line="58" w:lineRule="exact"/>
        <w:rPr>
          <w:sz w:val="20"/>
          <w:szCs w:val="20"/>
          <w:color w:val="auto"/>
        </w:rPr>
      </w:pPr>
    </w:p>
    <w:p>
      <w:pPr>
        <w:ind w:left="620" w:hanging="615"/>
        <w:spacing w:after="0"/>
        <w:tabs>
          <w:tab w:leader="none" w:pos="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 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 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note receivable of $9,200 and Note receivable — variable fee component of $1,656 have been recorded as a long term assets on its consolidated balance sheet as of December 31,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financial information of the unconsolidated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50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58,232</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57,781</w:t>
            </w:r>
          </w:p>
        </w:tc>
      </w:tr>
      <w:tr>
        <w:trPr>
          <w:trHeight w:val="655"/>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F-109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type w:val="continuous"/>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income (loss) attributable to the Company from the unconsolidated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Plant and equipment</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161,387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w:t>
            </w:r>
          </w:p>
        </w:tc>
        <w:tc>
          <w:tcPr>
            <w:tcW w:w="80" w:type="dxa"/>
            <w:vAlign w:val="bottom"/>
            <w:shd w:val="clear" w:color="auto" w:fill="CCEEFF"/>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CNG/RNG Fueling stations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27,892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259,480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150,559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169,770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8"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 expected to be operational within the next year.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on property, plant, and equipment in 2021, 2020 and 2019 was $9,501, $7,595 and $7,241, respectively. Property, plant, and equipment was reduced by $4,234, and $8,246 at December 31, 2021 and 2020, respectively, due to U.S. Treasury grants received in prior years for the construction of renewable energy power plants.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3"/>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0" w:type="dxa"/>
            <w:vAlign w:val="bottom"/>
            <w:tcBorders>
              <w:bottom w:val="single" w:sz="8" w:color="auto"/>
            </w:tcBorders>
          </w:tcPr>
          <w:p>
            <w:pPr>
              <w:spacing w:after="0"/>
              <w:rPr>
                <w:sz w:val="24"/>
                <w:szCs w:val="24"/>
                <w:color w:val="auto"/>
              </w:rPr>
            </w:pPr>
          </w:p>
        </w:tc>
      </w:tr>
      <w:tr>
        <w:trPr>
          <w:trHeight w:val="19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58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(Months)</w:t>
            </w:r>
          </w:p>
        </w:tc>
      </w:tr>
      <w:tr>
        <w:trPr>
          <w:trHeight w:val="243"/>
        </w:trPr>
        <w:tc>
          <w:tcPr>
            <w:tcW w:w="5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Power purchase agreements</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8,999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(6,986)</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57"/>
        </w:trPr>
        <w:tc>
          <w:tcPr>
            <w:tcW w:w="5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Transmission/distribution interconnection</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22"/>
                <w:szCs w:val="22"/>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 of accelerated amortization of the power purchase agreement associated with the renewable power generating facility to be abandoned in June 2023.</w:t>
      </w:r>
    </w:p>
    <w:p>
      <w:pPr>
        <w:ind w:left="340" w:right="20" w:hanging="332"/>
        <w:spacing w:after="0" w:line="260"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400" w:type="dxa"/>
            <w:vAlign w:val="bottom"/>
            <w:tcBorders>
              <w:bottom w:val="single" w:sz="8" w:color="auto"/>
            </w:tcBorders>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 (Months)</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CNG sales contract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2021, 2020 and 2019 was $577, $555, and $613, respectively. At December 31, 2021, estimated future amortization expense for intangible assets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tcPr>
          <w:p>
            <w:pPr>
              <w:spacing w:after="0"/>
              <w:rPr>
                <w:sz w:val="20"/>
                <w:szCs w:val="20"/>
                <w:color w:val="auto"/>
              </w:rPr>
            </w:pPr>
          </w:p>
        </w:tc>
      </w:tr>
      <w:tr>
        <w:trPr>
          <w:trHeight w:val="250"/>
        </w:trPr>
        <w:tc>
          <w:tcPr>
            <w:tcW w:w="9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by reporting segment from the beginning of the period to the end of the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Net additions during the year</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51,155</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5420" w:right="3560" w:hanging="5412"/>
        <w:spacing w:after="0" w:line="783" w:lineRule="auto"/>
        <w:tabs>
          <w:tab w:leader="none" w:pos="3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relates to the step acquisition of Beacon. See Note 5, Acquisition, for additional information. 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18"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December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(73,145)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Senior secured credit facility, term loan, net of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72,256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Sunoma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Sunoma loan, net of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OPAL term loan, net of debt discount and debt issuance costs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borrowings total</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134,083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90,504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OPAL term</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Municipality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40" w:type="dxa"/>
            <w:vAlign w:val="bottom"/>
          </w:tcPr>
          <w:p>
            <w:pPr>
              <w:spacing w:after="0"/>
              <w:rPr>
                <w:sz w:val="21"/>
                <w:szCs w:val="21"/>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tcBorders>
              <w:top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2022</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2"/>
              </w:rPr>
              <w:t>13,425</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2023</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16,110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16,194</w:t>
            </w:r>
          </w:p>
        </w:tc>
      </w:tr>
      <w:tr>
        <w:trPr>
          <w:trHeight w:val="216"/>
        </w:trPr>
        <w:tc>
          <w:tcPr>
            <w:tcW w:w="462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16,110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16,110</w:t>
            </w:r>
          </w:p>
        </w:tc>
      </w:tr>
      <w:tr>
        <w:trPr>
          <w:trHeight w:val="230"/>
        </w:trPr>
        <w:tc>
          <w:tcPr>
            <w:tcW w:w="462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w w:val="94"/>
              </w:rPr>
              <w:t>2025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29,355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88,065</w:t>
            </w:r>
          </w:p>
        </w:tc>
      </w:tr>
      <w:tr>
        <w:trPr>
          <w:trHeight w:val="27"/>
        </w:trPr>
        <w:tc>
          <w:tcPr>
            <w:tcW w:w="46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81,369</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75,000</w:t>
            </w: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58,710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215,357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 and a (ii) working capital letter of credit facility (“Working Capital Facility”) of up to $19,000 and a (iii) Debt service reserve and liquidity facility ( Debt Reserve and Liquidity Facility”) of up to $6,000. The Company paid $14,300 to the lenders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 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 Working Capital Facility was $7,500. Additionally, the Company pays commitment fee of 0.75% on unused portion of the facility.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 2020, FM3 was in compliance with all debt covenants.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 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this credit facility had an interest rate of 1.0% plus one month LIBOR.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27, 2020, Sunoma Renewable Biofuel LLC (“Sunoma”), a wholly-owned subsidiary of the Company entered into a debt agreement with Live Oak Banking Company ( “Lender”) for an aggregate principal amount of $20,000. Sunoma paid $600 as fees to the Lender. The loan matures on April 27, 2022 and bears interest at the greater of Prime plus 3.50%, or 7.75%.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agreement are secured by the assets of Sunoma.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 5 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 financial covenants.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maturity, the loan outstanding under the Sunoma loan agreement is convertible to a permanent loan guaranteed by the United States Department of 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significant assets of Sunoma are parenthesized in the consolidated balance sheets as December 31, 2021 and December 31, 2020. Refer to Note 16 Variable Interest Entities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 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 facility and the remainder will be used for general corporate purposes, including investments in RNG projects being developed by the Company.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 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 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Affiliate and Line of Credit from Affiliate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 December 31, 2020, the outstanding loan balance of $5,000 was assigned to the Ultimate Parent and the assignment of this loan to the related party was accounted for as a capital contribution to the Company.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 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interest rate on TruStar Revolver Credit Facility including a margin plus LIBOR was 1.52%.</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paid-in-kind interest rate on Convertible note payable was 8%. The change in fair value of the Note recorded as interest expense between May 1, 2021 and December 31, 2021 was $3,300.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 end December 31, 2021, the interest rate on OPAL term loan was 4% and commitment fees of 0.5% on the undrawn portion of the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effective interest rate including the amortization of debt issuance costs for this period was 4.9%.</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effective interest rate on the Sunoma Credit Facility was 7.75%.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interest rate on Municipality Loan was 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 was 3.25%.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interest rate on TruStar Revolver Credit Facility including a margin plus LIBOR was 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effective interest rate on the Sunoma Credit Facility was 7.75%.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Municipality Loan was 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Borrowings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2020, the weighted average interest rate on Line of Credit and Loan from Affiliate was 10%.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interest rate on TruStar Revolver Credit Facility including a margin plus LIBOR was 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Municipality Loan was 3.0%.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Line of Credit and Loan from Affiliate was 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and financing expense, net for</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facility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Municipality loan</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term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credit/Loan from Affiliate</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on Senior secured facility is presented net of patronage dividends received of $628, $136 and $131 for the years ended December 31, 2021,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 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36"/>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20"/>
                <w:szCs w:val="20"/>
                <w:color w:val="auto"/>
              </w:rPr>
            </w:pPr>
          </w:p>
        </w:tc>
      </w:tr>
      <w:tr>
        <w:trPr>
          <w:trHeight w:val="250"/>
        </w:trPr>
        <w:tc>
          <w:tcPr>
            <w:tcW w:w="9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$1,098, $1,242 and $1,464, in 2021,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right="8360" w:hanging="332"/>
        <w:spacing w:after="0" w:line="503" w:lineRule="auto"/>
        <w:tabs>
          <w:tab w:leader="none" w:pos="3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i w:val="1"/>
          <w:iCs w:val="1"/>
          <w:color w:val="auto"/>
        </w:rPr>
        <w:t>Interest rate swaps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 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balance sheet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0" w:type="dxa"/>
            <w:vAlign w:val="bottom"/>
          </w:tcPr>
          <w:p>
            <w:pPr>
              <w:spacing w:after="0"/>
              <w:rPr>
                <w:sz w:val="1"/>
                <w:szCs w:val="1"/>
                <w:color w:val="auto"/>
              </w:rPr>
            </w:pPr>
          </w:p>
        </w:tc>
      </w:tr>
      <w:tr>
        <w:trPr>
          <w:trHeight w:val="232"/>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Recognized</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Balance Sheet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interest rate swaps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(1,689)</w:t>
            </w: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net of current portion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(1,096)  Derivative financial liability, non-current portion</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vMerge w:val="continue"/>
            <w:shd w:val="clear" w:color="auto" w:fill="CCEEFF"/>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interest rate swaps on our consolidated statement of operations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(Loss) Gain Recognized in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0" w:type="dxa"/>
            <w:vAlign w:val="bottom"/>
          </w:tcPr>
          <w:p>
            <w:pPr>
              <w:spacing w:after="0"/>
              <w:rPr>
                <w:sz w:val="1"/>
                <w:szCs w:val="1"/>
                <w:color w:val="auto"/>
              </w:rPr>
            </w:pPr>
          </w:p>
        </w:tc>
      </w:tr>
      <w:tr>
        <w:trPr>
          <w:trHeight w:val="272"/>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20" w:type="dxa"/>
            <w:vAlign w:val="bottom"/>
            <w:gridSpan w:val="9"/>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Operations from interest rate swaps</w:t>
            </w:r>
          </w:p>
        </w:tc>
        <w:tc>
          <w:tcPr>
            <w:tcW w:w="80" w:type="dxa"/>
            <w:vAlign w:val="bottom"/>
          </w:tcPr>
          <w:p>
            <w:pPr>
              <w:spacing w:after="0"/>
              <w:rPr>
                <w:sz w:val="23"/>
                <w:szCs w:val="2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Gain Recognized in Operations</w:t>
            </w: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Derivatives</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3"/>
              </w:rPr>
              <w:t>(1,050)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derivative financial instruments</w:t>
            </w: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settlements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(1,694)</w:t>
            </w:r>
          </w:p>
        </w:tc>
        <w:tc>
          <w:tcPr>
            <w:tcW w:w="24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185</w:t>
            </w: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Change in value of derivative financial instruments</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4"/>
              </w:rPr>
              <w:t>(2,197</w:t>
            </w:r>
          </w:p>
        </w:tc>
        <w:tc>
          <w:tcPr>
            <w:tcW w:w="14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 following tables summarize the fair value of derivative instruments on the Company’s consolidated balance sheets and the effect of netting arrangements and collateral on its financial 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Net Amounts</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8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Offset in the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Presented in the</w:t>
            </w:r>
          </w:p>
        </w:tc>
      </w:tr>
      <w:tr>
        <w:trPr>
          <w:trHeight w:val="216"/>
        </w:trPr>
        <w:tc>
          <w:tcPr>
            <w:tcW w:w="4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8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44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8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 market price is higher the contract price causing loss of higher revenues.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 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commodity swaps in place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 year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45"/>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Period to</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(“Mwh”)</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Mwh)</w:t>
            </w: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 2019</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30,2022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34,554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22, 2019</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1, 2020</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2021</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43,860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28, 2021</w:t>
            </w:r>
          </w:p>
        </w:tc>
        <w:tc>
          <w:tcPr>
            <w:tcW w:w="1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November 1, 2021</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30,660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2021</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January 1, 2022</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 2022</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26,280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commodity swaps on the consolidated statements of operations for the years ended December 31, 2021,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Fiscal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Location of (loss) gain recognized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9"/>
                <w:szCs w:val="29"/>
                <w:color w:val="auto"/>
                <w:w w:val="95"/>
                <w:vertAlign w:val="superscript"/>
              </w:rPr>
              <w:t>(1)</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color w:val="auto"/>
                <w:w w:val="93"/>
              </w:rPr>
              <w:t>(Restated)</w:t>
            </w:r>
            <w:r>
              <w:rPr>
                <w:rFonts w:ascii="Times New Roman" w:cs="Times New Roman" w:eastAsia="Times New Roman" w:hAnsi="Times New Roman"/>
                <w:sz w:val="29"/>
                <w:szCs w:val="29"/>
                <w:color w:val="auto"/>
                <w:w w:val="93"/>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swaps – realized (loss) gain</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4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and unrealized(loss) gain</w:t>
            </w:r>
          </w:p>
        </w:tc>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Revenues</w:t>
            </w: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2"/>
            <w:vMerge w:val="continue"/>
            <w:shd w:val="clear" w:color="auto" w:fill="CCEEFF"/>
          </w:tcPr>
          <w:p>
            <w:pPr>
              <w:spacing w:after="0"/>
              <w:rPr>
                <w:sz w:val="21"/>
                <w:szCs w:val="21"/>
                <w:color w:val="auto"/>
              </w:rPr>
            </w:pPr>
          </w:p>
        </w:tc>
        <w:tc>
          <w:tcPr>
            <w:tcW w:w="258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line="282"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for the years ended December 31, 2020 and 2019 were restated to record unrealized loss of $1,176 and $373, respectively. Please see Note 2 Restatement of financial statements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derivative assets and liabilities related to commodity swaps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r>
      <w:tr>
        <w:trPr>
          <w:trHeight w:val="259"/>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Recognized</w:t>
            </w: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Balance Sheet</w:t>
            </w: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4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r>
      <w:tr>
        <w:trPr>
          <w:trHeight w:val="237"/>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on commodity swaps, net of current portion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20"/>
                <w:szCs w:val="20"/>
                <w:color w:val="auto"/>
              </w:rPr>
            </w:pPr>
          </w:p>
        </w:tc>
        <w:tc>
          <w:tcPr>
            <w:tcW w:w="4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Derivative financial asset – non-current</w:t>
            </w: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received contributions from its Ultimate Parent of $7,531, $15,128 and $30,057, respectively. Additionally, the Company made distributions to its Ultimate Parent of $3,695, $852 and $404 for the years ended December 31, 2021, 2020 and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2021, the Company sold non-controlling interests in four RNG projects to Hillman for total proceeds of $30,000. On November 29, 2021, as part of an exchange agreement (“Hillman exchange”), the Company issued 14 newly authorized common units and 300,000 Series A-1 preferred units to Hillman in return for Hillman’s non-controlling interest in four RNG project subsidiaries. Please see Note 18,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 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distributed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under the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yet</w:t>
            </w:r>
          </w:p>
        </w:tc>
      </w:tr>
      <w:tr>
        <w:trPr>
          <w:trHeight w:val="245"/>
        </w:trPr>
        <w:tc>
          <w:tcPr>
            <w:tcW w:w="43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Letters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letters</w:t>
            </w: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be fulfilled</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Noble Road RNG</w:t>
            </w:r>
          </w:p>
        </w:tc>
        <w:tc>
          <w:tcPr>
            <w:tcW w:w="308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Pine Bend RNG</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21,504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River RNG</w:t>
            </w:r>
          </w:p>
        </w:tc>
        <w:tc>
          <w:tcPr>
            <w:tcW w:w="2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shd w:val="clear" w:color="auto" w:fill="CCEEFF"/>
          </w:tcPr>
          <w:p>
            <w:pPr>
              <w:spacing w:after="0"/>
              <w:rPr>
                <w:sz w:val="19"/>
                <w:szCs w:val="19"/>
                <w:color w:val="auto"/>
              </w:rPr>
            </w:pPr>
          </w:p>
        </w:tc>
      </w:tr>
      <w:tr>
        <w:trPr>
          <w:trHeight w:val="27"/>
        </w:trPr>
        <w:tc>
          <w:tcPr>
            <w:tcW w:w="43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360" w:type="dxa"/>
            <w:vAlign w:val="bottom"/>
          </w:tcPr>
          <w:p>
            <w:pPr>
              <w:spacing w:after="0"/>
              <w:rPr>
                <w:sz w:val="21"/>
                <w:szCs w:val="21"/>
                <w:color w:val="auto"/>
              </w:rPr>
            </w:pPr>
          </w:p>
        </w:tc>
        <w:tc>
          <w:tcPr>
            <w:tcW w:w="308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 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 consolidated statements of operations. For the period between January 1 and April 30, 2021, the company earned environmental processing fees of $632, net of intersegment elimination.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2020, the Company terminated the above two agreements and signed a new management, operations, and maintenance services 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 a fixed annual payment of $580,000 per year adjusted annually for inflation.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(“Costar”), an affiliate of the Ultimate Parent. 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terminated by the Company’s secured lenders in certain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our Selling, general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Managements services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Guaranty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processing fees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220" w:type="dxa"/>
            <w:vAlign w:val="bottom"/>
            <w:gridSpan w:val="2"/>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Benefit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 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into six operating segments based on the characteristics of its Renewable Power generation and dispensing portfolio and the nature of other products and services:</w:t>
      </w:r>
    </w:p>
    <w:p>
      <w:pPr>
        <w:spacing w:after="0" w:line="158" w:lineRule="exact"/>
        <w:rPr>
          <w:sz w:val="20"/>
          <w:szCs w:val="20"/>
          <w:color w:val="auto"/>
        </w:rPr>
      </w:pPr>
    </w:p>
    <w:p>
      <w:pPr>
        <w:ind w:left="660" w:hanging="328"/>
        <w:spacing w:after="0" w:line="28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3 Portfolio. </w:t>
      </w:r>
      <w:r>
        <w:rPr>
          <w:rFonts w:ascii="Times New Roman" w:cs="Times New Roman" w:eastAsia="Times New Roman" w:hAnsi="Times New Roman"/>
          <w:sz w:val="18"/>
          <w:szCs w:val="18"/>
          <w:color w:val="auto"/>
        </w:rPr>
        <w:t>The Renewable Power 3 (“RP3”)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primarily located in Southern California. RP3 sells renewable electricity to public utilities throughout the United States.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4 Portfolio. </w:t>
      </w:r>
      <w:r>
        <w:rPr>
          <w:rFonts w:ascii="Times New Roman" w:cs="Times New Roman" w:eastAsia="Times New Roman" w:hAnsi="Times New Roman"/>
          <w:sz w:val="18"/>
          <w:szCs w:val="18"/>
          <w:color w:val="auto"/>
        </w:rPr>
        <w:t>The Renewable Power 4 (“RP4”)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RP4 sells renewable electricity to public utilities throughout the United States.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Supply. </w:t>
      </w:r>
      <w:r>
        <w:rPr>
          <w:rFonts w:ascii="Times New Roman" w:cs="Times New Roman" w:eastAsia="Times New Roman" w:hAnsi="Times New Roman"/>
          <w:sz w:val="18"/>
          <w:szCs w:val="18"/>
          <w:color w:val="auto"/>
        </w:rPr>
        <w:t>The RNG Fuel portfolio consists of the Company’s interests in Beacon, Noble Road, Sunoma, GREP and other RNG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projects under 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Reportable Segments and Geographic Information </w:t>
      </w:r>
      <w:r>
        <w:rPr>
          <w:rFonts w:ascii="Times New Roman" w:cs="Times New Roman" w:eastAsia="Times New Roman" w:hAnsi="Times New Roman"/>
          <w:sz w:val="18"/>
          <w:szCs w:val="18"/>
          <w:color w:val="auto"/>
        </w:rPr>
        <w:t>(cont.)</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RNG Fuel Dispensing. </w:t>
      </w:r>
      <w:r>
        <w:rPr>
          <w:rFonts w:ascii="Times New Roman" w:cs="Times New Roman" w:eastAsia="Times New Roman" w:hAnsi="Times New Roman"/>
          <w:sz w:val="18"/>
          <w:szCs w:val="18"/>
          <w:color w:val="auto"/>
        </w:rPr>
        <w:t>The Company owns and operates CNG fueling stations that are strategically located to supply fuel to third-party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fleets throughout the United States. CNG Fueling Operations also supplies CNG vehicle fuel to stations owned by third parties.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Construction Services.  </w:t>
      </w:r>
      <w:r>
        <w:rPr>
          <w:rFonts w:ascii="Times New Roman" w:cs="Times New Roman" w:eastAsia="Times New Roman" w:hAnsi="Times New Roman"/>
          <w:sz w:val="18"/>
          <w:szCs w:val="18"/>
          <w:color w:val="auto"/>
        </w:rPr>
        <w:t>The Company also provides design and construction services to third parties for vehicle fueling stations.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Co-Chief Executive Officers serve as the Company’s chief operating decision maker (“CODM”) and jointly manage the six operating segments 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 summarized in the “Other” category below. These include corporate investment income, interest income and interest expense, income tax expense and other non-allocated costs.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(Restated)</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43,857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60,097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40,567</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18,637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(14,181)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(12,366)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117,706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 Renewable Power 3 and RNG Fuel Dispensing segments have been restated. Please see Note 2 Restatement of financial statements for additional information.</w:t>
      </w:r>
    </w:p>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revenues of Fortistar Contracting LLC.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Financing Expense,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CEEFF"/>
          </w:tcPr>
          <w:p>
            <w:pPr>
              <w:spacing w:after="0"/>
              <w:rPr>
                <w:sz w:val="23"/>
                <w:szCs w:val="23"/>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3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22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8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interest expense associated with RNG Fuel Dispensing, Fuel Construction Services, and Fuel Station Services, as the Company does not maintain segment-level records for these balances.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5,630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19"/>
                <w:szCs w:val="19"/>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8,031</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includes amortization of intangible assets and depreciation expense not allocated to any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(Restated)</w:t>
            </w:r>
            <w:r>
              <w:rPr>
                <w:rFonts w:ascii="Times New Roman" w:cs="Times New Roman" w:eastAsia="Times New Roman" w:hAnsi="Times New Roman"/>
                <w:sz w:val="29"/>
                <w:szCs w:val="29"/>
                <w:b w:val="1"/>
                <w:bCs w:val="1"/>
                <w:color w:val="auto"/>
                <w:w w:val="96"/>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73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55,402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(23,103)</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261"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Renewable Power 3 segment has been restated to record unrealized losses on commodity swap contracts. Please see Note 2 Restatement of financial statements for additional information.</w:t>
      </w:r>
    </w:p>
    <w:p>
      <w:pPr>
        <w:ind w:left="340" w:hanging="332"/>
        <w:spacing w:after="0" w:line="260"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26,238</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98,502</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59,671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25,573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for additional information.</w:t>
      </w:r>
    </w:p>
    <w:p>
      <w:pPr>
        <w:ind w:left="340" w:hanging="332"/>
        <w:spacing w:after="0" w:line="260"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total assets associated with Fortistar Contracting LLC, RNG Fuel Dispensing, Fuel Construction Services, and Fuel Station Services, as the Company does not maintain segment-level records for these balances.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Purchases of Property, Plant and Equipment: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Power 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Renewable Power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 Fuel Supply</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RNG Fuel Dispensing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24,940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tabs>
          <w:tab w:leader="none" w:pos="2280" w:val="left"/>
        </w:tabs>
        <w:rPr>
          <w:sz w:val="20"/>
          <w:szCs w:val="20"/>
          <w:color w:val="auto"/>
        </w:rPr>
      </w:pPr>
      <w:r>
        <w:rPr>
          <w:rFonts w:ascii="Times New Roman" w:cs="Times New Roman" w:eastAsia="Times New Roman" w:hAnsi="Times New Roman"/>
          <w:sz w:val="18"/>
          <w:szCs w:val="18"/>
          <w:color w:val="auto"/>
        </w:rPr>
        <w:t>Geographic Information:</w:t>
      </w:r>
      <w:r>
        <w:rPr>
          <w:sz w:val="20"/>
          <w:szCs w:val="20"/>
          <w:color w:val="auto"/>
        </w:rPr>
        <w:tab/>
      </w:r>
      <w:r>
        <w:rPr>
          <w:rFonts w:ascii="Times New Roman" w:cs="Times New Roman" w:eastAsia="Times New Roman" w:hAnsi="Times New Roman"/>
          <w:sz w:val="17"/>
          <w:szCs w:val="17"/>
          <w:color w:val="auto"/>
        </w:rPr>
        <w:t>The Company’s assets and revenue generating activities are domiciled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2020 and 2019, the Ultimate Parent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 Parent’s ownership interest in Company subsidiaries. There were no new residual equity interest grants during the year ended December 31,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the years ended December 31, 2020 and 2019, the percentage of Profit Interests issued in the investment entities that were established to grant 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Profits Interests are valued at their fair value when issued and such fair value is expensed over the service vesting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Stock-Based Compensation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 was recorded as a component of Selling, General and Administrative expenses within the consolidated statements of operations.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46% of the Profit Interests issued vested and there were 54% of Profit Interests unvested. There were no forfeitures during the year ended December 31,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25% of the Profit Interests issued vested and there were 75% of Profit Interests unvested. There were 0 forfeitures during the year ended December 31, 2020.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future compensation to be recognized for the above grants as of December 31, 2021 is $1,731 and will be recognized the remaining vesting period which ranges from one to four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 conducts the operations under specific operations and maintenance contracts with third parties and other affiliates of the Company. The Company is deemed as a primary beneficiary based on two conditions:</w:t>
      </w:r>
    </w:p>
    <w:p>
      <w:pPr>
        <w:spacing w:after="0" w:line="183" w:lineRule="exact"/>
        <w:rPr>
          <w:sz w:val="20"/>
          <w:szCs w:val="20"/>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(cont.)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2021, there was no activity in Emerald and Sapphire.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 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8"/>
          <w:szCs w:val="18"/>
          <w:i w:val="1"/>
          <w:iCs w:val="1"/>
          <w:color w:val="auto"/>
        </w:rPr>
        <w:t>, Investments Equity Method and Joint Ventures. See Note 6, Investment in Other Entities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third and fourth quarters of 2021, Hillman, a related party, invested $30,000 in the four VIEs mentioned above which represented non-controlling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 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 $5,000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 entity model guidance under ASC 810, </w:t>
      </w:r>
      <w:r>
        <w:rPr>
          <w:rFonts w:ascii="Times New Roman" w:cs="Times New Roman" w:eastAsia="Times New Roman" w:hAnsi="Times New Roman"/>
          <w:sz w:val="18"/>
          <w:szCs w:val="18"/>
          <w:i w:val="1"/>
          <w:iCs w:val="1"/>
          <w:color w:val="auto"/>
        </w:rPr>
        <w:t>Consolidation.</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 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 such as:</w:t>
      </w:r>
    </w:p>
    <w:p>
      <w:pPr>
        <w:spacing w:after="0" w:line="176" w:lineRule="exact"/>
        <w:rPr>
          <w:sz w:val="20"/>
          <w:szCs w:val="20"/>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under construction except Sunoma and they are reported under RNG fuel supply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6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5,088</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Sunoma loan, net of debt issuance costs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OPAL Fuels LLC – equity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10,692</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 controlling interest in subsidiaries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right="20" w:hanging="332"/>
        <w:spacing w:after="0" w:line="284" w:lineRule="auto"/>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Redeemable Preferred Units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of membership interests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on November 29, 2021, the Company 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Authorization and Issuance of Common Units and Preferred Units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the December 31, 2020 to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45"/>
        </w:trPr>
        <w:tc>
          <w:tcPr>
            <w:tcW w:w="862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preferred units</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units</w:t>
            </w:r>
          </w:p>
        </w:tc>
      </w:tr>
      <w:tr>
        <w:trPr>
          <w:trHeight w:val="216"/>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Hillman exchange – 300,000 Series A-1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Paid-in-kind dividends on issued and outstanding units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60"/>
        <w:spacing w:after="0"/>
        <w:tabs>
          <w:tab w:leader="none" w:pos="2320" w:val="left"/>
        </w:tabs>
        <w:rPr>
          <w:sz w:val="20"/>
          <w:szCs w:val="20"/>
          <w:color w:val="auto"/>
        </w:rPr>
      </w:pPr>
      <w:r>
        <w:rPr>
          <w:rFonts w:ascii="Times New Roman" w:cs="Times New Roman" w:eastAsia="Times New Roman" w:hAnsi="Times New Roman"/>
          <w:sz w:val="18"/>
          <w:szCs w:val="18"/>
          <w:color w:val="auto"/>
        </w:rPr>
        <w:t>30,000</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left="880"/>
        <w:spacing w:after="0"/>
        <w:tabs>
          <w:tab w:leader="none" w:pos="23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tabs>
          <w:tab w:leader="none" w:pos="640" w:val="left"/>
          <w:tab w:leader="none" w:pos="1340" w:val="left"/>
          <w:tab w:leader="none" w:pos="2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30,210</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159448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620"/>
          </w:cols>
          <w:pgMar w:left="320" w:top="873"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Redeemable Preferred Units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and Series A-1 preferred units (together the “Preferred Units”) have substantially the same terms and features which are listed below:</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Series A-1 preferred units to Hillman do not have any voting rights. The Series A preferred units issued to NextEra have limited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Preferred Units are entitled to receive dividends at the rate of 8% per annum. Dividends begin accruing for each unit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 maximum of 20%.</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liquidation of the Company, each holder of a unit of Series A and Series A-1 is entitled to be paid on pro-rata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 original issue 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At any time after issuance, the Company may redeem the Redeemable preferred units for a price equal to original issue price of $100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Holder’s may elect to convert Preferred Units into common units in the limited chance that the Company fails to redeem the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year, and a 30% discount thereafter:</w:t>
      </w:r>
    </w:p>
    <w:p>
      <w:pPr>
        <w:spacing w:after="0" w:line="59"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volume-weighted average price (“VWAP”) if common units are publicly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VWAP of public company common shares if the common units are exchangeable into public company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estimated proceeds to be received by the holder of a common unit if the net assets of the Company were sold at fair market value and distributed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units received by any holder upon conversion will be “paired” with an equivalent number of non-economic voting shares of the Company’s public registrant,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effects of changes in the Company’s ownership interest in its subsidiaries on the Members’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56"/>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from the non-controlling interest: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OPAL Fuels LLC Member’s Equity for sale of non-controlling interest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OPAL Fuels LLC Member’s Equity for contributions from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Decrease in OPAL Fuels LLC Member’s Equity for purchase of non-controlling interest</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(9,211)</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transfers (to) from non-controlling interest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(6,053</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184"/>
        </w:trPr>
        <w:tc>
          <w:tcPr>
            <w:tcW w:w="7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Change from net income attributable to OPAL Fuels LLC Member’s and transfers (to) from non-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8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controlling interest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35,310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line="275" w:lineRule="exact"/>
              <w:rPr>
                <w:sz w:val="20"/>
                <w:szCs w:val="20"/>
                <w:color w:val="auto"/>
              </w:rPr>
            </w:pPr>
            <w:r>
              <w:rPr>
                <w:rFonts w:ascii="Times New Roman" w:cs="Times New Roman" w:eastAsia="Times New Roman" w:hAnsi="Times New Roman"/>
                <w:sz w:val="17"/>
                <w:szCs w:val="17"/>
                <w:color w:val="auto"/>
              </w:rPr>
              <w:t>(23,524</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275" w:lineRule="exact"/>
              <w:rPr>
                <w:sz w:val="20"/>
                <w:szCs w:val="20"/>
                <w:color w:val="auto"/>
              </w:rPr>
            </w:pPr>
            <w:r>
              <w:rPr>
                <w:rFonts w:ascii="Times New Roman" w:cs="Times New Roman" w:eastAsia="Times New Roman" w:hAnsi="Times New Roman"/>
                <w:sz w:val="17"/>
                <w:szCs w:val="17"/>
                <w:color w:val="auto"/>
              </w:rPr>
              <w:t>(5,249</w:t>
            </w:r>
            <w:r>
              <w:rPr>
                <w:rFonts w:ascii="Times New Roman" w:cs="Times New Roman" w:eastAsia="Times New Roman" w:hAnsi="Times New Roman"/>
                <w:sz w:val="31"/>
                <w:szCs w:val="31"/>
                <w:color w:val="auto"/>
                <w:vertAlign w:val="superscript"/>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line="262"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ind w:left="340" w:hanging="332"/>
        <w:spacing w:after="0" w:line="260"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 decrease in Members’ equity relating to the Hillman exchange and $9,124 relating to redemption of non-controlling interest in one RNG project.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Net Income (Loss) Per Unit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29, 2021, the Company amended and restated the limited liability agreement (“A&amp;R LLCA”) to provide for the creation and issuance 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 Upon the conversion of membership interests into units, the Company presented the net income (loss) per unit on a retrospective basis for all periods presented in the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Basic income (loss) per unit attributable to members of OPAL Fuels LLC for the years ended December 31, 2021,2020 and 2019 is computed by dividing the net income (loss) attributable to OPAL Fuels LLC by the weighted-average number of common units outstanding during the period. Diluted net income for the year ended December 31, 2021 does not include 300,000 Series A preferred units because the substantive contingency for conversion has not been met as of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Fiscal Years Ended</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3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1"/>
                <w:szCs w:val="21"/>
                <w:color w:val="auto"/>
              </w:rPr>
            </w:pPr>
          </w:p>
        </w:tc>
      </w:tr>
      <w:tr>
        <w:trPr>
          <w:trHeight w:val="257"/>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220" w:type="dxa"/>
            <w:vAlign w:val="bottom"/>
          </w:tcPr>
          <w:p>
            <w:pPr>
              <w:spacing w:after="0"/>
              <w:rPr>
                <w:sz w:val="22"/>
                <w:szCs w:val="22"/>
                <w:color w:val="auto"/>
              </w:rPr>
            </w:pPr>
          </w:p>
        </w:tc>
        <w:tc>
          <w:tcPr>
            <w:tcW w:w="1120" w:type="dxa"/>
            <w:vAlign w:val="bottom"/>
            <w:gridSpan w:val="2"/>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4"/>
              </w:rPr>
              <w:t>(Restated)</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Pr>
          <w:p>
            <w:pPr>
              <w:spacing w:after="0"/>
              <w:rPr>
                <w:sz w:val="22"/>
                <w:szCs w:val="2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OPAL Fuels LLC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41,363</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unit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41,908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unit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41,908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OPAL FUELS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color w:val="auto"/>
        </w:rPr>
        <w:t>Richmond</w:t>
      </w:r>
      <w:r>
        <w:rPr>
          <w:rFonts w:ascii="Times New Roman" w:cs="Times New Roman" w:eastAsia="Times New Roman" w:hAnsi="Times New Roman"/>
          <w:sz w:val="18"/>
          <w:szCs w:val="18"/>
          <w:color w:val="auto"/>
        </w:rPr>
        <w:t>”) declared a Force Majeure event under its Power Purchase Agreement with Old Dominion Electric Cooperative (“</w:t>
      </w:r>
      <w:r>
        <w:rPr>
          <w:rFonts w:ascii="Times New Roman" w:cs="Times New Roman" w:eastAsia="Times New Roman" w:hAnsi="Times New Roman"/>
          <w:sz w:val="18"/>
          <w:szCs w:val="18"/>
          <w:b w:val="1"/>
          <w:bCs w:val="1"/>
          <w:color w:val="auto"/>
        </w:rPr>
        <w:t>ODEC</w:t>
      </w:r>
      <w:r>
        <w:rPr>
          <w:rFonts w:ascii="Times New Roman" w:cs="Times New Roman" w:eastAsia="Times New Roman" w:hAnsi="Times New Roman"/>
          <w:sz w:val="18"/>
          <w:szCs w:val="18"/>
          <w:color w:val="auto"/>
        </w:rPr>
        <w:t>”), dated as of November 3, 2010 (the “</w:t>
      </w:r>
      <w:r>
        <w:rPr>
          <w:rFonts w:ascii="Times New Roman" w:cs="Times New Roman" w:eastAsia="Times New Roman" w:hAnsi="Times New Roman"/>
          <w:sz w:val="18"/>
          <w:szCs w:val="18"/>
          <w:b w:val="1"/>
          <w:bCs w:val="1"/>
          <w:color w:val="auto"/>
        </w:rPr>
        <w:t>PPA</w:t>
      </w:r>
      <w:r>
        <w:rPr>
          <w:rFonts w:ascii="Times New Roman" w:cs="Times New Roman" w:eastAsia="Times New Roman" w:hAnsi="Times New Roman"/>
          <w:sz w:val="18"/>
          <w:szCs w:val="18"/>
          <w:color w:val="auto"/>
        </w:rPr>
        <w:t>”). The Force Majeure declaration stated that inspections of its Old Dominion landfill gas-to-electric facility (the “</w:t>
      </w:r>
      <w:r>
        <w:rPr>
          <w:rFonts w:ascii="Times New Roman" w:cs="Times New Roman" w:eastAsia="Times New Roman" w:hAnsi="Times New Roman"/>
          <w:sz w:val="18"/>
          <w:szCs w:val="18"/>
          <w:b w:val="1"/>
          <w:b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 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On February 8, 2022, Richmond paid ODEC $467,320.74 pursuant to the Settlement Agreement; liquidated damages for calendar year 2022, if any, will be assessed by ODEC during the first quarter of 2023.</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 claim for one-half of the proceeds, plus interest. While it is not possible to determine the outcome at this time, the Company could be liable for an amount ranging from $0 to $1,500 in this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environmental laws and regulations. In March 2020, the Company received an enforcement letter from a 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 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Members of Beacon RNG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Beacon RNG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financial statements of Beacon RNG LLC and its subsidiaries (the Company), which comprise the consolidated balance sheets as of April 30, 2021, December 31, 2020 and December 31, 2019, and the related consolidated statement of operations, changes in members’ equity, and cash flows for the four-month period ended April 30, 2021 and for the year ended December 31, 2020 and for the period from March 11, 2019 (Inception) through December 31, 2019, and the related notes to the consolidated financial statements.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April 30, 2021 and as of December 31, 2020 and December 31, 2019 and the results of its operations and its cash flows for the four-month period ended April 30, 2021 and for the year ended December 31, 2020 and for the period from March 11, 2019 (Inception) through December 31, 2019 in accordance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 — Related Parties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discussed in Note 7 “Ownership and Related Parties” to the consolidated financial statements, the Company has entered into significant transactions with Fortistar Beacon LLC, its managing member. Our opinion is not modified with respect to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980" w:hanging="324"/>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6" w:name="page277"/>
    <w:bookmarkEnd w:id="276"/>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Capital spares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equity: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Members’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695"/>
        <w:spacing w:after="0"/>
        <w:tabs>
          <w:tab w:leader="none" w:pos="7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1,874</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2,502</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56,119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166</w:t>
      </w:r>
    </w:p>
    <w:p>
      <w:pPr>
        <w:spacing w:after="0" w:line="58" w:lineRule="exact"/>
        <w:rPr>
          <w:sz w:val="20"/>
          <w:szCs w:val="20"/>
          <w:color w:val="auto"/>
        </w:rPr>
      </w:pPr>
    </w:p>
    <w:p>
      <w:pPr>
        <w:ind w:left="620" w:hanging="615"/>
        <w:spacing w:after="0"/>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00" w:hanging="695"/>
        <w:spacing w:after="0"/>
        <w:tabs>
          <w:tab w:leader="none" w:pos="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1,805</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4,196</w:t>
      </w:r>
    </w:p>
    <w:p>
      <w:pPr>
        <w:spacing w:after="0" w:line="3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6,001</w:t>
      </w:r>
    </w:p>
    <w:p>
      <w:pPr>
        <w:spacing w:after="0" w:line="36"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279</w:t>
      </w:r>
    </w:p>
    <w:p>
      <w:pPr>
        <w:spacing w:after="0" w:line="36"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6,280</w:t>
      </w:r>
    </w:p>
    <w:p>
      <w:pPr>
        <w:spacing w:after="0" w:line="200" w:lineRule="exact"/>
        <w:rPr>
          <w:sz w:val="20"/>
          <w:szCs w:val="20"/>
          <w:color w:val="auto"/>
        </w:rPr>
      </w:pPr>
    </w:p>
    <w:p>
      <w:pPr>
        <w:spacing w:after="0" w:line="26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50,487</w:t>
      </w:r>
    </w:p>
    <w:p>
      <w:pPr>
        <w:spacing w:after="0" w:line="45" w:lineRule="exact"/>
        <w:rPr>
          <w:sz w:val="20"/>
          <w:szCs w:val="20"/>
          <w:color w:val="auto"/>
        </w:rPr>
      </w:pPr>
    </w:p>
    <w:p>
      <w:pPr>
        <w:sectPr>
          <w:pgSz w:w="11900" w:h="16838" w:orient="portrait"/>
          <w:cols w:equalWidth="0" w:num="2">
            <w:col w:w="9300" w:space="720"/>
            <w:col w:w="122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w:t>
            </w:r>
          </w:p>
        </w:tc>
      </w:tr>
      <w:tr>
        <w:trPr>
          <w:trHeight w:val="210"/>
        </w:trPr>
        <w:tc>
          <w:tcPr>
            <w:tcW w:w="100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members’ equity</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53,715</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59,995</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Four Months</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30,</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Renewable gas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RIN sales</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12,101</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 sales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13,312</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credit processing services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36"/>
        </w:trPr>
        <w:tc>
          <w:tcPr>
            <w:tcW w:w="10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Other income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ARCC</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Fortistar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April 30, 2021</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Four Months</w:t>
      </w:r>
    </w:p>
    <w:p>
      <w:pPr>
        <w:spacing w:after="0" w:line="3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9"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Depreciation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royalties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700" w:hanging="695"/>
        <w:spacing w:after="0"/>
        <w:tabs>
          <w:tab w:leader="none" w:pos="7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5,399</w:t>
      </w:r>
    </w:p>
    <w:p>
      <w:pPr>
        <w:spacing w:after="0" w:line="225"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676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2,929</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10,009</w:t>
      </w:r>
    </w:p>
    <w:p>
      <w:pPr>
        <w:spacing w:after="0" w:line="269"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(9,465)</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3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Along with the two facilities, the Company acquired landfill gas rights, a gas sales agreement, and other agreements. The Company’s managing member is Fortistar Beacon LLC (“Managing Member”).</w:t>
      </w:r>
    </w:p>
    <w:p>
      <w:pPr>
        <w:spacing w:after="0" w:line="176" w:lineRule="exact"/>
        <w:rPr>
          <w:sz w:val="20"/>
          <w:szCs w:val="20"/>
          <w:color w:val="auto"/>
        </w:rPr>
      </w:pPr>
    </w:p>
    <w:p>
      <w:pPr>
        <w:ind w:right="7520" w:firstLine="8"/>
        <w:spacing w:after="0" w:line="503" w:lineRule="auto"/>
        <w:tabs>
          <w:tab w:leader="none" w:pos="32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 and Presentation</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for the four months ended April 30, 2021.</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as of April 30, 2021 was $1.2 million. This certificate of deposit serves as collateral for a letter of credit issued by a financial institution on behalf of the Company. The letter of credit provides credit support for the Company relating to a gas transportation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1" w:name="page282"/>
    <w:bookmarkEnd w:id="281"/>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April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April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period ended April 30,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April 30, 2021, the Company estimated the value of its total asset retirement obligations to be $279 based on a projected future liability of $2,095.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asset retirement obligations were as follows for the periods ended April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45"/>
        </w:trPr>
        <w:tc>
          <w:tcPr>
            <w:tcW w:w="10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3" w:name="page284"/>
    <w:bookmarkEnd w:id="2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one customer accounted for 92% of revenue. There were no individual customers which accounted for more than 10% of total Account Receivable as of April 30, 2021.</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four months ended April 30, 2021, no vendors accounted for more than 10% of overall purchases. Six vendors accounted for 84% of the accounts payable and accrued expenses balance as of April 30, 2021.</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April 30, 2021.</w:t>
      </w:r>
    </w:p>
    <w:p>
      <w:pPr>
        <w:spacing w:after="0" w:line="158" w:lineRule="exact"/>
        <w:rPr>
          <w:sz w:val="20"/>
          <w:szCs w:val="20"/>
          <w:color w:val="auto"/>
        </w:rPr>
      </w:pPr>
    </w:p>
    <w:p>
      <w:pPr>
        <w:ind w:right="8800" w:firstLine="8"/>
        <w:spacing w:after="0" w:line="503" w:lineRule="auto"/>
        <w:tabs>
          <w:tab w:leader="none" w:pos="32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 RNG and RIN Sales Agreement</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 gas marketer to sell only RNG. Under this arrangement, RNG is sold at the pipeline index price, less a fixed per MMBtu fee. In June 2020, the Company contracted with (“TruStar”), a related party, to generate and market RINs from RNG produced by Company starting with September 2020 operations. During April 2021, RNG and the share received from the gas marketer’s RIN sales under the new agreements were $1,137 for RNG sales and $12,101 for RIN sales.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 months ended April 30, 2021, the Company recorded $1,134 of environmental credit processing services to operating expenses and an offsetting gain on non-monetary RINs transferred to TruStar in payment for these services to other income within the statements of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four months ending April 30, 2021 was $74.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Please see legal matters below for more information.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accrued $4,196 for these royalties as of April 30, 2021 which are included in the consolidated balance sheet. The Company has expensed $3,500 for these royalties as of April 30, 2021 which are included in the consolidated statements of operations under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ending April 30, 2021, the Company had seven agreements with the gas pipeline to transport RNG and blending gas at regulated tariff rates. Most of these contracts were year-to-year with 6 – to – 12-month termination notice provisions. Of the seven contracts remaining, three contracts were terminated in Q3 2021, two were extended until 2024 but with a reduction in contracted volumes starting in 2021, one contract’s term ends in 2032, and one contract’s term is indefinite.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These agreements were terminated July 2021 and work was moved in house. For the four months ended April 30, 2021, costs related to these contracts were $601 and are recorded in the consolidated statements of operations under “Operations”.</w:t>
      </w:r>
    </w:p>
    <w:p>
      <w:pPr>
        <w:sectPr>
          <w:pgSz w:w="11900" w:h="16838" w:orient="portrait"/>
          <w:cols w:equalWidth="0" w:num="1">
            <w:col w:w="11240"/>
          </w:cols>
          <w:pgMar w:left="320" w:top="873" w:right="339" w:bottom="1440" w:gutter="0" w:footer="0" w:header="0"/>
        </w:sectPr>
      </w:pPr>
    </w:p>
    <w:p>
      <w:pPr>
        <w:spacing w:after="0" w:line="172" w:lineRule="exact"/>
        <w:rPr>
          <w:sz w:val="20"/>
          <w:szCs w:val="20"/>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H2S removal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Wellfield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Greentree membranes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Asset retirement cost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Plant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Construction-in-progress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April</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18" w:lineRule="exact"/>
        <w:rPr>
          <w:sz w:val="20"/>
          <w:szCs w:val="20"/>
          <w:color w:val="auto"/>
        </w:rPr>
      </w:pPr>
    </w:p>
    <w:p>
      <w:pPr>
        <w:ind w:left="620" w:hanging="615"/>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52,048</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5,117</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1,921</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62,271</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(6,530)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378</w:t>
      </w:r>
    </w:p>
    <w:p>
      <w:pPr>
        <w:spacing w:after="0" w:line="58" w:lineRule="exact"/>
        <w:rPr>
          <w:sz w:val="20"/>
          <w:szCs w:val="20"/>
          <w:color w:val="auto"/>
        </w:rPr>
      </w:pPr>
    </w:p>
    <w:p>
      <w:pPr>
        <w:ind w:left="620" w:hanging="615"/>
        <w:spacing w:after="0"/>
        <w:tabs>
          <w:tab w:leader="none" w:pos="6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Plant and Equipment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April 30, 2021, construction in progress consisted of costs related to the thermal oxidizer. The project was completed in December of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plant and equipment for the period ending April 30, 2021 was $1,049.</w:t>
      </w:r>
    </w:p>
    <w:p>
      <w:pPr>
        <w:spacing w:after="0" w:line="203" w:lineRule="exact"/>
        <w:rPr>
          <w:sz w:val="20"/>
          <w:szCs w:val="20"/>
          <w:color w:val="auto"/>
        </w:rPr>
      </w:pPr>
    </w:p>
    <w:p>
      <w:pPr>
        <w:ind w:left="340" w:hanging="332"/>
        <w:spacing w:after="0"/>
        <w:tabs>
          <w:tab w:leader="none" w:pos="34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 On May 1 2021, the managing member purchased all the interest in the company. Please see subsequent events for more information.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For the period ended April 30, 2021, the Company incurred $262 of Management Costs of which $218 was expensed in operations and $44 was capitalized in plant and equipment.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5" w:lineRule="exact"/>
        <w:rPr>
          <w:sz w:val="20"/>
          <w:szCs w:val="20"/>
          <w:color w:val="auto"/>
        </w:rPr>
      </w:pPr>
    </w:p>
    <w:p>
      <w:pPr>
        <w:ind w:right="8420" w:firstLine="8"/>
        <w:spacing w:after="0" w:line="503" w:lineRule="auto"/>
        <w:tabs>
          <w:tab w:leader="none" w:pos="32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 Legal Matters</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58"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events were considered through April 15, 2022, the date on which the Company’s consolidated financial statements were available to be issued, for events requiring recording or disclosure in the consolidated financial statements for the four months ended April 30,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 agreements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members’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Renewable gas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RIN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Transportation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revenue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ind w:left="180"/>
        <w:spacing w:after="0" w:line="255" w:lineRule="auto"/>
        <w:rPr>
          <w:sz w:val="20"/>
          <w:szCs w:val="20"/>
          <w:color w:val="auto"/>
        </w:rPr>
      </w:pPr>
      <w:r>
        <w:rPr>
          <w:rFonts w:ascii="Times New Roman" w:cs="Times New Roman" w:eastAsia="Times New Roman" w:hAnsi="Times New Roman"/>
          <w:sz w:val="18"/>
          <w:szCs w:val="18"/>
          <w:color w:val="auto"/>
        </w:rPr>
        <w:t>Repairs and maintenance Environmental credit processing services General and administrative Depreciation</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Asset retirement obligation accretion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costs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1"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516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6"/>
              </w:rPr>
              <w:t>March 11,</w:t>
            </w:r>
          </w:p>
        </w:tc>
      </w:tr>
      <w:tr>
        <w:trPr>
          <w:trHeight w:val="216"/>
        </w:trPr>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8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60" w:type="dxa"/>
            <w:vAlign w:val="bottom"/>
          </w:tcPr>
          <w:p>
            <w:pPr>
              <w:spacing w:after="0"/>
              <w:rPr>
                <w:sz w:val="21"/>
                <w:szCs w:val="21"/>
                <w:color w:val="auto"/>
              </w:rPr>
            </w:pPr>
          </w:p>
        </w:tc>
      </w:tr>
      <w:tr>
        <w:trPr>
          <w:trHeight w:val="414"/>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3,450</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60" w:type="dxa"/>
            <w:vAlign w:val="bottom"/>
          </w:tcPr>
          <w:p>
            <w:pPr>
              <w:spacing w:after="0"/>
              <w:rPr>
                <w:sz w:val="20"/>
                <w:szCs w:val="20"/>
                <w:color w:val="auto"/>
              </w:rPr>
            </w:pP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60" w:type="dxa"/>
            <w:vAlign w:val="bottom"/>
          </w:tcPr>
          <w:p>
            <w:pPr>
              <w:spacing w:after="0"/>
              <w:rPr>
                <w:sz w:val="19"/>
                <w:szCs w:val="19"/>
                <w:color w:val="auto"/>
              </w:rPr>
            </w:pPr>
          </w:p>
        </w:tc>
      </w:tr>
      <w:tr>
        <w:trPr>
          <w:trHeight w:val="414"/>
        </w:trPr>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9,729</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0"/>
                <w:szCs w:val="20"/>
                <w:color w:val="auto"/>
              </w:rPr>
            </w:pPr>
          </w:p>
        </w:tc>
      </w:tr>
      <w:tr>
        <w:trPr>
          <w:trHeight w:val="223"/>
        </w:trPr>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60" w:type="dxa"/>
            <w:vAlign w:val="bottom"/>
          </w:tcPr>
          <w:p>
            <w:pPr>
              <w:spacing w:after="0"/>
              <w:rPr>
                <w:sz w:val="19"/>
                <w:szCs w:val="19"/>
                <w:color w:val="auto"/>
              </w:rPr>
            </w:pPr>
          </w:p>
        </w:tc>
      </w:tr>
      <w:tr>
        <w:trPr>
          <w:trHeight w:val="427"/>
        </w:trPr>
        <w:tc>
          <w:tcPr>
            <w:tcW w:w="80" w:type="dxa"/>
            <w:vAlign w:val="bottom"/>
          </w:tcPr>
          <w:p>
            <w:pPr>
              <w:spacing w:after="0"/>
              <w:rPr>
                <w:sz w:val="24"/>
                <w:szCs w:val="24"/>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-2776855</wp:posOffset>
            </wp:positionV>
            <wp:extent cx="713232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-2502535</wp:posOffset>
            </wp:positionV>
            <wp:extent cx="713232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-2211070</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-1910715</wp:posOffset>
            </wp:positionV>
            <wp:extent cx="71323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-1637030</wp:posOffset>
            </wp:positionV>
            <wp:extent cx="71323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-1362075</wp:posOffset>
            </wp:positionV>
            <wp:extent cx="713232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-1088390</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-796290</wp:posOffset>
            </wp:positionV>
            <wp:extent cx="7132320"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-496570</wp:posOffset>
            </wp:positionV>
            <wp:extent cx="71323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-205105</wp:posOffset>
            </wp:positionV>
            <wp:extent cx="7132320" cy="1803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60" w:space="360"/>
            <w:col w:w="7680"/>
          </w:cols>
          <w:pgMar w:left="320" w:top="873"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type w:val="continuous"/>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ARCC</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Fortistar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Beacon LLC</w:t>
            </w:r>
          </w:p>
        </w:tc>
        <w:tc>
          <w:tcPr>
            <w:tcW w:w="220" w:type="dxa"/>
            <w:vAlign w:val="bottom"/>
          </w:tcPr>
          <w:p>
            <w:pPr>
              <w:spacing w:after="0"/>
              <w:rPr>
                <w:sz w:val="21"/>
                <w:szCs w:val="21"/>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11, 2019 (inception)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27,791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Distributions</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March 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 liability reduction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accrued revenues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Beacon Landfill Gas Holdings LLC acquisition, net of cash and restricted cash acquired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capital spares inventory</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62,791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members</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4,314</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Beacon RNG LLC (the “Company”) was formed in January 2019 as a Delaware limited liability company. The Company owns two facilities in Pennsylvania that convert methane gas extracted from landfills to renewable natural gas (“RNG”) and then sells the RNG. The Company acquired the two facilities on March 11, 2019 (see Note 3). Along with the two facilities, the Company acquired landfill gas rights, a gas sales agreement, and other agreements. Prior to August 31, 2020, substantially all the Company’s revenues were generated from one customer contract (see Note 4). The Company’s managing member is Fortistar Beacon LLC (“Managing Member”).</w:t>
      </w:r>
    </w:p>
    <w:p>
      <w:pPr>
        <w:spacing w:after="0" w:line="166" w:lineRule="exact"/>
        <w:rPr>
          <w:sz w:val="20"/>
          <w:szCs w:val="20"/>
          <w:color w:val="auto"/>
        </w:rPr>
      </w:pPr>
    </w:p>
    <w:p>
      <w:pPr>
        <w:ind w:right="7520" w:firstLine="8"/>
        <w:spacing w:after="0" w:line="487" w:lineRule="auto"/>
        <w:tabs>
          <w:tab w:leader="none" w:pos="32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 and Presentation</w:t>
      </w:r>
    </w:p>
    <w:p>
      <w:pPr>
        <w:spacing w:after="0" w:line="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accounting principles generally accepted in the United States (U.S. GAAP) and include the accounts of the Company and all other entities in which the Company has a controlling financial interest: Beacon RNG Acquisition LLC, Beacon Landfill Gas Holdings, LLC (“BLGH”), Greentree Landfill Gas Company, LLC (“Greentree”), and Imperial Landfill Gas Company, LLC (“Imperial”). Each RNG facility is owned by a separate limited liability company that is an indirect, wholly owned subsidiary of the Company. The Company’s consolidated financial statements include the assets and liabilities of these subsidiaries. All material intercompany transactions and balances have been eliminated in consolidation. In accordance with Accounting Standards Codification (“ASC”) 805, the Company’s consolidated financial statements reflect the activities of the Company and its subsidiaries for the year ended December 31, 2020 and the period from March 11, 2019 (inception) to December 31,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classified the Coronavirus Disease 2019 (“COVID-19”) a pandemic, and the President declared the COVID-19 outbreak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results of operations as of, and for the year ended, December 31, 2020.</w:t>
      </w:r>
    </w:p>
    <w:p>
      <w:pPr>
        <w:spacing w:after="0" w:line="17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upon a number of factors, including, but no limited to, the duration and severity of the pandemic and its impact on the Company’s customers, all of which are uncertain and cannot be predicted. As of the date of the issuance of these financial statements, the extent to which the COVID-19 pandemic may impact the Company’s financial condition, liquidity, or results of operations is uncertain.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periodically maintains cash in bank accounts more than the established limits insured by the Federal Deposit Insurance 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restricted cash includes a $1.2 million certificate of deposit which serves as collateral for a letter of credit issued by a financial institution on behalf of the Company. The letter of credit provides credit support for the Company relating to a gas transportation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represent unconditional amounts due from the sale of RNG, gas transportation, and renewable identification numbers (“RINs”) and are recorded at the invoiced amount. The Company performs ongoing credit evaluations of its customers’ financial condition. The Company’s allowance for doubtful accounts was zero at December 31, 2020 and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spares consist primarily of replacement parts and components for the RNG facilities. These parts, which are vital to the continued operation of the facilities, are maintained on hand for emergency replacement. Capital spares are recorded at cost and expensed when placed into service as part of a routine maintenance project or capitalized when part of a plant improvement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Plant and equipment are recorded at cost, except for the portion related to the acquisition and the asset retirement obligations, which are recorded at estimated fair value at the time of the acquisition. Direct costs incurred related to the construction of assets and renewals and betterments that materially extend the life of the assets are capitalized. Equipment overhauls and maintenance and repairs are expensed when incurred. Depreciation of property and equipment is computed using the straight-line method over the expected useful life of the asset. The estimated service lives of property and equipment is ten and twenty years. When plant and equipment are retired or otherwise disposed of, the related cost and accumulated depreciation or amortization is removed, and a gain or loss is recognized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are costs related to the Company, which are due to vendors, for goods or services received or incurred as of December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Under Gas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liability under gas sales agreement is related to a gas sales agreement, obtained at acquisition of the RNG facilities, pursuant to which the Company sells RNG. This intangible liability was amortized using the straight-line method over an 18-month contract period and was fully amortized as of December 31, 2020. Amortization related to this intangible liability is included in gas sales agreement liability reduction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to be disposed of are reported at the lower of the carrying amount or fair value less selling costs. There was no impairment for the year ended December 31, 2020 and for the period from March 11, 2019 (inception) to December 31,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asset retirement obligations (“ARO”) in accordance with ASC 410, “Asset Retirement and Environmental Obligations,” that requires entities to record the fair value of a liability for an asset retirement obligation in the period in which it is incurred and when a reasonable estimate of fair value can be made. The fair value of the estimated ARO is recorded as a long-term liability, with a corresponding increase in the carrying amount of the related asset. The capitalized amount is depreciated over the estimated life of the RNG facility. The liability amount is increased each reporting period due to the passage of time and the amount of accretion is charged to operations in the period. Revisions, if any, to the estimated timing of cash flows or to the original estimated undiscounted cost, if any, also result in an increase or decrease to the ARO and the related asset. Actual costs incurred upon settlement of the ARO will be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2020 and 2019, the Company estimated the value of its total asset retirement obligations to be $268 and $239, respectively, based on a projected future liability of $2,095. Changes in the asset retirement obligations were as follows for the year ended December 31, 2020 and the period from March 11, 2019 (inception) to December 31,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adopted ASU 2014-19,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of the beginning of the 2019 period. During the period March 11, 2019 (inception) through August 31, 2020, RNG and environmental renewable identification numbers (“RIN”) sales were contracted with a third-party gas marketer. The two performance obligations of this contract were: (1) the Company delivered RNG produced from Greentree and Imperial to the gas marketer at certain specified locations, and (2) the gas marketer generated RINs from RNG produced from Greentree. The gas marketer accepted the RNG and was obligated to pay a certain fixed contract amount per unit of RNG delivered. RNG sales revenue was recorded by the Company at the point in time of delivery of RNG, which was simultaneous with the RNG production. In addition, the gas marketer paid the Company a portion of proceeds from the sale of RINs. Such RIN sales typically occurred several months after the RNG delivery and, so, the market value of such RIN sales varied. Accordingly, the Company recognized the RIN sales portion of revenue at the point in time when the gas marketer sold the RINs and advised the Company of the RINs sale price.</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contracted with TruStar Energy LLC (“TruStar”), a related party, to generate and market RINs from RNG produced by Company. The contract term is September 1, 2020 through October 31, 2030. Upon generation of environmental credits, the Company pays TruStar for environmental credit processing services in the form of non-cash RINs. 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expenses the costs of services provided by TruStar to environmental credit processing services in the consolidated statements of operations and, in addition, records an offsetting gain on the transfer of these RINs to other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RIN credits to third parties that utilize these credits in order to comply with federal and state requirements. In accordance with ASC 606, revenue is recognized on these credits when there is an agreement in place to monetize the credits at the point in time when the credits are transferred to the third party.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upon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Unites States requires management to make estimates and assumptions that affect the reported amount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ASC 805 requires business combinations to be accounted for using the acquisition method of accounting and includes specific criteria for recording intangible assets separate from goodwill. Results of operations of acquired businesses are included in the Company’s consolidated financial statements from the effective date of acquisition. Net assets of the acquired company are recorded at their fair value at the date of acquisition. Fair value adjustments after the acquisition date, that are not measurement period adjustments, are recognized in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cash, accounts receivable, and accounts payable for which the carrying value approximates fair value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disregarded entities for federal income tax purposes and for certain states. As such, income taxes have not been provided for in the accompanying financial statements because income taxes are the responsibility of the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two customers accounted for 95% of revenue. For the period from March 11, 2019 (inception) to December 31, 2019, one customer accounted for 97% of revenue. As of December 31, 2020, one customer accounted for 89% of the accounts receivable balance. As of December 31, 2019, three customers accounted for 96% of the accounts receivable balance.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deposits its cash in high credit quality financial institutions located in the United States of America. Deposits with one financial institution exceeded federally insured limits as of December 31, 2020 and 2019,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current year presentation.</w:t>
      </w:r>
    </w:p>
    <w:p>
      <w:pPr>
        <w:spacing w:after="0" w:line="221"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11, 2019, the Company acquired BLGH, owner of the Greentree and Imperial facilities. Pursuant to a purchase and sale agreement, the Company purchased 100% of the equity interests in BLGH, for a $53,111 net cash payment. This included an initial cash payment of $53,948 on March 11, 2019 less a $837 working capital true-up payment from the seller on June 20,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purchase price allocation was performed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acquired and the liabilities assumed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assets acquired:</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56,853</w:t>
            </w: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Estimated fair value of liabilities assumed or incurred:</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sales agreement</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 assumed or incurred</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53,111</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allocations of purchase price to the assets acquired and liabilities assumed or incurred in connection with the acquisition are based upon estimates of fair values as of the acquisition date. The Company incurred $1,013 of acquisition — related costs consisting of legal, accounting, due diligence, and other consulting and advisory services. These costs were expensed as incurred.</w:t>
      </w:r>
    </w:p>
    <w:p>
      <w:pPr>
        <w:spacing w:after="0" w:line="172" w:lineRule="exact"/>
        <w:rPr>
          <w:sz w:val="20"/>
          <w:szCs w:val="20"/>
          <w:color w:val="auto"/>
        </w:rPr>
      </w:pPr>
    </w:p>
    <w:p>
      <w:pPr>
        <w:ind w:right="8800" w:firstLine="8"/>
        <w:spacing w:after="0" w:line="503" w:lineRule="auto"/>
        <w:tabs>
          <w:tab w:leader="none" w:pos="32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Operations RNG and RIN Sales Agreement</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an agreement with a gas marketer to sell all RNG produced by the Company. Under this agreement, which expired on August 31, 2020, RNG was sold at a fixed price per million British Thermal Units (“MMBtu”) and the gas marketer’s associated RINs were sold at average monthly spot market prices. During 2020, RNG and the share received from the gas marketer’s RIN sales under this agreement was $9,910 compared to $9,778 for the period from March 11, 2019 (inception) to December 31, 2019.</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2020, the Company commenced an arrangement with another gas marketer to sell only RNG. Under this arrangement, RNG is sold at the pipeline index price, less a fixed per MMBtu fee.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2020, the Company recorded $773 of environmental credit processing services to operating expenses and an offsetting gain on non-monetary RINs transferred to TruStar in payment for these services to other income within the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Sales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agreements to transport counter-parties’ gas using the Company’s RNG gathering system and interconnection with an interstate pipeline for fixed fees per MMBtu. The agreements expire in 2020 and 2024 and have automatic extensions, month-to-month, unless terminated by either party. The Company uses some of this gas to support its operations. Transportation sales under these agreements for the year ended December 31, 2020 and the period from March 11, 2019 to December 31, 2019 were $238 and $302,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5" w:name="page296"/>
    <w:bookmarkEnd w:id="295"/>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 Operations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Gas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agreements with landfill owners whereby the Company obtains rights to the landfill gas in exchange for an amount per MMBtu of gas delivered at Imperial and a royalty based on the percentage of net RNG revenue at Greentree. In addition, royalties related to RINs at Greentree are deferred until the Company first receives a certain level of distributions from the two facilities. As a result, Greentree RIN royalties are projected to begin being paid in 2026.</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accrued $1,268 and $259 for these royalties as of December 31, 2020 and 2019 which are included in operations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Transportation Fee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 March 11, 2019 (inception) through December 31, 2019, the Company had eight agreements with the gas pipeline to transport RNG and blending gas at regulated tariff rates. Most of these contracts were year-to-year with 6 - to –12-month termination notice provisions. One contract was terminated effective August 31, 2020, and three others were terminated on various dates in 2021. Of the four contracts remaining, two were extended until 2024 but with a reduction in contracted volumes starting in 2021, one contract’s term ends in 2032, and one contract’s term is indefinite.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two operations and maintenance agreements with third-party providers who provide operating services at the two facilities. The agreements expire in 2027 and have an option for early termination. In 2020 and for the period March 11, 2019 (inception) to December 31, 2019, the costs related to these contracts were $2.1 million and $1.5 million, respectively, and are recorded in operations and repairs and maintenance in the consolidated statements of operations.</w:t>
      </w:r>
    </w:p>
    <w:p>
      <w:pPr>
        <w:spacing w:after="0" w:line="176"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Plant and equipment consisted of the following at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H2S removal system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Wellfield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Pipeline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Greentree membranes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cost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Plant and equipment, gross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2019, construction in progress consisted of costs related to a hydrogen sulfide removal system. Additional costs totaling $756 were incurred at the beginning of 2020 for the hydrogen sulfide removal system and the Company placed this asset, which had a total cost of $5.1 million, into service in February 2020. Depreciation expense on plant and equipment for 2020 and the period from March 11, 2019 (inception) to December 31, 2019 was $3,112 and $2,369,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Under Gas Sales Agreement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under gas sales agreement consisted of the following at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Gas Sales Agreement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under gas sales agreement,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income for 2020 and the period from March 11, 2019 (inception) to December 31, 2019 was $1,829 and $2,286, respectively.</w:t>
      </w:r>
    </w:p>
    <w:p>
      <w:pPr>
        <w:spacing w:after="0" w:line="221" w:lineRule="exact"/>
        <w:rPr>
          <w:sz w:val="20"/>
          <w:szCs w:val="20"/>
          <w:color w:val="auto"/>
        </w:rPr>
      </w:pPr>
    </w:p>
    <w:p>
      <w:pPr>
        <w:ind w:left="340" w:hanging="332"/>
        <w:spacing w:after="0"/>
        <w:tabs>
          <w:tab w:leader="none" w:pos="34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and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owned 55.74% by ARCC Beacon LLC and 44.26% by the managing member Fortistar Beacon LLC. Distributions to the owners are made pro rata until such time as the owners have received both a threshold internal rate of return and a multiple of invested capital, after which time the Managing Member receives a priority distribution of 25% of distributable cash.</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compensates and reimburses the Managing Member for all expenses actually and reasonably incurred by the Managing Member in connection with the management of the Company or its subsidiaries, with certain limits on management time charges (“Management Costs”). In 2020, the Company incurred $629 of Management Costs of which $612 was expensed in operations and $17 was capitalized in plant and equipment. In 2019, the Company incurred $1,364 of Management Costs of which $561 was expensed in operations, $450 was expensed for costs associated with the acquisition of the RNG facilities, and $353 was capitalized in plant and equipment. Of these amounts, zero and $25 were unpaid as of December 31, 2020 and 2019, respectively, and are included in accounts payable — affiliate on the balance sheet.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2020, the Company contracted with TruStar, a related party, to generate and market RINs from RNG produced by Company. The contract term is September 1, 2020 through October 31, 2030.</w:t>
      </w:r>
    </w:p>
    <w:p>
      <w:pPr>
        <w:spacing w:after="0" w:line="158" w:lineRule="exact"/>
        <w:rPr>
          <w:sz w:val="20"/>
          <w:szCs w:val="20"/>
          <w:color w:val="auto"/>
        </w:rPr>
      </w:pPr>
    </w:p>
    <w:p>
      <w:pPr>
        <w:ind w:right="8420" w:firstLine="8"/>
        <w:spacing w:after="0" w:line="503" w:lineRule="auto"/>
        <w:tabs>
          <w:tab w:leader="none" w:pos="32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 Legal Matters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landfill owner of one of the Company’s RNG projects has disputed the Company’s interpretation of contracts governing the timing of payment of RIN royalties. The Company records a royalty expense accrual at the time RINs are sold and maintains that payment of these royalties is subordinated to the Company receiving a series of payments due the Company as part of its March 2019 acquisition of the Greentree and Imperial RNG projects. On April 9, 2021, the landfill owner filed an arbitration demand against the Company to adjudicate this matter. While the outcome is not yet determinable, an unfavorable outcome may require the Company to pay royalties at a date earlier than 2026.</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acquisition, BLGH, along with numerous other parties, was named in a civil action in the alleged wrongful death of an employee of one of the landfills. The Company has been fully indemnified by EDF Renewables LFG Holdings, the prior owner, for this matter.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from time-to-time party to disputes and claims arising in the normal course of its business. Management does not believe that the resolution of such claims and disputes will have a material adverse effect on the Company’s financial position, results of operations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7" w:name="page298"/>
    <w:bookmarkEnd w:id="297"/>
    <w:p>
      <w:pPr>
        <w:jc w:val="center"/>
        <w:spacing w:after="0"/>
        <w:rPr>
          <w:sz w:val="20"/>
          <w:szCs w:val="20"/>
          <w:color w:val="auto"/>
        </w:rPr>
      </w:pPr>
      <w:r>
        <w:rPr>
          <w:rFonts w:ascii="Times New Roman" w:cs="Times New Roman" w:eastAsia="Times New Roman" w:hAnsi="Times New Roman"/>
          <w:sz w:val="18"/>
          <w:szCs w:val="18"/>
          <w:b w:val="1"/>
          <w:bCs w:val="1"/>
          <w:color w:val="auto"/>
        </w:rPr>
        <w:t>BEACON RNG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3" w:lineRule="exact"/>
        <w:rPr>
          <w:sz w:val="20"/>
          <w:szCs w:val="20"/>
          <w:color w:val="auto"/>
        </w:rPr>
      </w:pPr>
    </w:p>
    <w:p>
      <w:pPr>
        <w:ind w:left="340" w:hanging="332"/>
        <w:spacing w:after="0"/>
        <w:tabs>
          <w:tab w:leader="none" w:pos="34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May 1, 2021, the Managing Member purchased all the interests in the Company that it did not already own for $50,000, which was paid with a note that matures in five years but is convertible to equity in an indirect parent of the Managing Member under certain circumstances.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Subsequent events were considered through October 11, 2021, the date on which the Company’s consolidated financial statements were available to be issued, for events requiring recording or disclosure in the consolidated financial statements for the year ended December 31,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OPAL FUELS INC.</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181,764,740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us in connection with the issuance and distribution of the shares of common stock being registered hereby. All amounts shown are estimates except for the SEC registration fee.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Selling Holders, however, will bear all underwriting commissions and discounts, if any, attributable to their respective sales sale of the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171,831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171,831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OPAL is governed by the DGCL, as the same exists or may hereafter be amended. Section 145 of the DGCL (“</w:t>
      </w:r>
      <w:r>
        <w:rPr>
          <w:rFonts w:ascii="Times New Roman" w:cs="Times New Roman" w:eastAsia="Times New Roman" w:hAnsi="Times New Roman"/>
          <w:sz w:val="18"/>
          <w:szCs w:val="18"/>
          <w:b w:val="1"/>
          <w:bCs w:val="1"/>
          <w:i w:val="1"/>
          <w:iCs w:val="1"/>
          <w:color w:val="auto"/>
        </w:rPr>
        <w:t>Section 145</w:t>
      </w:r>
      <w:r>
        <w:rPr>
          <w:rFonts w:ascii="Times New Roman" w:cs="Times New Roman" w:eastAsia="Times New Roman" w:hAnsi="Times New Roman"/>
          <w:sz w:val="18"/>
          <w:szCs w:val="18"/>
          <w:color w:val="auto"/>
        </w:rPr>
        <w:t>”)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certain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0" w:name="page301"/>
    <w:bookmarkEnd w:id="30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years preceding the filing of this registration statement, the Registrant has granted or issued the following securities of the Registrant which were not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of OPAL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20, 2021, the Sponsor paid $25,000, or approximately $0.003 per share, to cover certain expenses on our behalf in consideration of 7,187,500 Class B ordinary shares, par value $0.0001. The per share price of the founder shares was determined by dividing the amount contributed to the company by the number of founder shares issued.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February 2, 2021, the Sponsor transferred 35,000 founder shares to each of Arno Harris, Ja-Chin Audrey Lee, Brian Goncher and Steven Berkenfeld, our independent director nominees.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Sponsor was an accredited investor for purposes of Rule 501 of Regulation D. Each of the equity holders in the Sponsor was an accredited investor under Rule 501 of Regulation D. The sole business of the Sponsor was to act as OPAL’s sponsor in connection with its initial public offering.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Sponsor purchased an aggregate of 9,223,261 private placement warrants, each exercisable to purchase one ordinary share at $11.50 per share, subject to adjustment, at a price of $1.00 per warrant in connection with OPAL’s initial public offering. Such issuance was made pursuant to the exemption from registration contained in Section 4(a)(2) of the Securities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issued 25,171,390 shares of Class A common stock, zero shares of Class B common stock, no shares of Class C common stock and 144,399,037 shares of Class D common stock to Ares and the Opco Common Equityholders pursuant to Section 4(a)(2) and/or Regulation D promulgated under the Securities Act. No underwriting discounts or commissions were paid with respect to such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ArcLight entered into subscription agreements, each dated as of December 2, 2021, with the PIPE Investors, pursuant to which, among other things, the PIPE Investors party thereto agreed to purchase an aggregate of 10,580,600 shares of Class A common stock immediately prior to the Closing at a cash purchase price of $10.00 per share, resulting in aggregate gross proceeds of $105,806,000 in the Private Placement. The shares issued to the PIPE Investors in the Private Placement were issued pursuant to and in accordance with the exemption from registration under the Securities Act pursuant to Section 4(a)(2) and/or Regulation D promulgated under the Securities Act. All of the PIPE Investors were accredited investors. No underwriting discounts or commissions were paid with respect to such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Forward Purchase Agreement entered into between ArcLight and Meteora, prior to the closing of the Business Combination, Meteora purchased 2,000,000 Class A ordinary shares of ArcLight from shareholders that had previously tendered such shares for redemption but agreed to reverse their redemption and sell such shares to Meteora at the redemption price, which Meteora agreed not to redeem in connection with the Business Combination. Additionally, ArcLight placed $20,040,000 in escrow at the closing of the Business Combination to secure its purchase obligations to Meteora under the Forward Purchase Agreement. The terms of the Forward Purchase Agreement were previously announced by ArcLight in its Current Report dated July 18,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being followed herewith:</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20" w:type="dxa"/>
            <w:vAlign w:val="bottom"/>
            <w:gridSpan w:val="27"/>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14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rPr>
            </w:pPr>
            <w:hyperlink r:id="rId397">
              <w:r>
                <w:rPr>
                  <w:rFonts w:ascii="Times New Roman" w:cs="Times New Roman" w:eastAsia="Times New Roman" w:hAnsi="Times New Roman"/>
                  <w:sz w:val="18"/>
                  <w:szCs w:val="18"/>
                  <w:color w:val="0000EE"/>
                </w:rPr>
                <w:t>Business Combination Agreement, dated as of December 2, 2021, by and among ArcLight, OPAL Fuels and OPAL Holdco (incorporated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EE"/>
            </w:tcBorders>
            <w:gridSpan w:val="21"/>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397">
              <w:r>
                <w:rPr>
                  <w:rFonts w:ascii="Times New Roman" w:cs="Times New Roman" w:eastAsia="Times New Roman" w:hAnsi="Times New Roman"/>
                  <w:sz w:val="18"/>
                  <w:szCs w:val="18"/>
                  <w:color w:val="0000EE"/>
                  <w:w w:val="99"/>
                </w:rPr>
                <w:t>by reference to Exhibit 2.1 of the Company’s Current Report on Form 8-K, filed with the SEC on December 3, 2021).</w:t>
              </w:r>
            </w:hyperlink>
          </w:p>
        </w:tc>
        <w:tc>
          <w:tcPr>
            <w:tcW w:w="15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0000" w:type="dxa"/>
            <w:vAlign w:val="bottom"/>
            <w:gridSpan w:val="26"/>
          </w:tcPr>
          <w:p>
            <w:pPr>
              <w:ind w:left="20"/>
              <w:spacing w:after="0" w:line="176" w:lineRule="exact"/>
              <w:rPr>
                <w:rFonts w:ascii="Times New Roman" w:cs="Times New Roman" w:eastAsia="Times New Roman" w:hAnsi="Times New Roman"/>
                <w:sz w:val="18"/>
                <w:szCs w:val="18"/>
                <w:color w:val="0000EE"/>
              </w:rPr>
            </w:pPr>
            <w:hyperlink r:id="rId398">
              <w:r>
                <w:rPr>
                  <w:rFonts w:ascii="Times New Roman" w:cs="Times New Roman" w:eastAsia="Times New Roman" w:hAnsi="Times New Roman"/>
                  <w:sz w:val="18"/>
                  <w:szCs w:val="18"/>
                  <w:color w:val="0000EE"/>
                </w:rPr>
                <w:t>Restated Certificate of Incorporation of OPAL Fuels Inc.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399">
              <w:r>
                <w:rPr>
                  <w:rFonts w:ascii="Times New Roman" w:cs="Times New Roman" w:eastAsia="Times New Roman" w:hAnsi="Times New Roman"/>
                  <w:sz w:val="18"/>
                  <w:szCs w:val="18"/>
                  <w:color w:val="0000EE"/>
                  <w:w w:val="99"/>
                </w:rPr>
                <w:t>Bylaws of OPAL Fuels Inc. (incorporated by reference to Exhibit 3.2 to the Current Report on Form 8-K filed by the Company on July 27,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20"/>
              <w:spacing w:after="0" w:line="196" w:lineRule="exact"/>
              <w:rPr>
                <w:rFonts w:ascii="Times New Roman" w:cs="Times New Roman" w:eastAsia="Times New Roman" w:hAnsi="Times New Roman"/>
                <w:sz w:val="18"/>
                <w:szCs w:val="18"/>
                <w:color w:val="0000EE"/>
              </w:rPr>
            </w:pPr>
            <w:hyperlink r:id="rId399">
              <w:r>
                <w:rPr>
                  <w:rFonts w:ascii="Times New Roman" w:cs="Times New Roman" w:eastAsia="Times New Roman" w:hAnsi="Times New Roman"/>
                  <w:sz w:val="18"/>
                  <w:szCs w:val="18"/>
                  <w:color w:val="0000EE"/>
                </w:rPr>
                <w:t>2022)</w:t>
              </w:r>
            </w:hyperlink>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Specimen Warrant Certificate (incorporated by reference to Exhibit 4.3 to the Registration Statement on Form S-1 (File No. 333-252730)</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00">
              <w:r>
                <w:rPr>
                  <w:rFonts w:ascii="Times New Roman" w:cs="Times New Roman" w:eastAsia="Times New Roman" w:hAnsi="Times New Roman"/>
                  <w:sz w:val="18"/>
                  <w:szCs w:val="18"/>
                  <w:color w:val="0000EE"/>
                </w:rPr>
                <w:t>filed by the Registrant on March 8,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1">
              <w:r>
                <w:rPr>
                  <w:rFonts w:ascii="Times New Roman" w:cs="Times New Roman" w:eastAsia="Times New Roman" w:hAnsi="Times New Roman"/>
                  <w:sz w:val="18"/>
                  <w:szCs w:val="18"/>
                  <w:color w:val="0000EE"/>
                  <w:w w:val="99"/>
                </w:rPr>
                <w:t>Warrant Agreement between Continental Stock Transfer &amp; Trust Company and ArcLight Clean Transition Corp. II, dated March 22, 2021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40" w:type="dxa"/>
            <w:vAlign w:val="bottom"/>
            <w:tcBorders>
              <w:bottom w:val="single" w:sz="8" w:color="0000EE"/>
            </w:tcBorders>
            <w:gridSpan w:val="22"/>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01">
              <w:r>
                <w:rPr>
                  <w:rFonts w:ascii="Times New Roman" w:cs="Times New Roman" w:eastAsia="Times New Roman" w:hAnsi="Times New Roman"/>
                  <w:sz w:val="18"/>
                  <w:szCs w:val="18"/>
                  <w:color w:val="0000EE"/>
                  <w:w w:val="99"/>
                </w:rPr>
                <w:t>(incorporated by reference to Exhibit 4.1 to the Current Report on Form 8-K filed by the Company on March 26, 2021).</w:t>
              </w:r>
            </w:hyperlink>
          </w:p>
        </w:tc>
        <w:tc>
          <w:tcPr>
            <w:tcW w:w="136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10000" w:type="dxa"/>
            <w:vAlign w:val="bottom"/>
            <w:gridSpan w:val="26"/>
          </w:tcPr>
          <w:p>
            <w:pPr>
              <w:ind w:left="20"/>
              <w:spacing w:after="0" w:line="176" w:lineRule="exact"/>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color w:val="0000EE"/>
                </w:rPr>
                <w:t>Opinion of Sheppard, Mullin, Richter &amp; Hampton LLP</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3">
              <w:r>
                <w:rPr>
                  <w:rFonts w:ascii="Times New Roman" w:cs="Times New Roman" w:eastAsia="Times New Roman" w:hAnsi="Times New Roman"/>
                  <w:sz w:val="18"/>
                  <w:szCs w:val="18"/>
                  <w:color w:val="0000EE"/>
                  <w:w w:val="99"/>
                </w:rPr>
                <w:t>Form of OPAL Indemnification Agreement (incorporated by reference to Exhibit 10.1 to the Registration Statement on Form S-4 (File No.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03">
              <w:r>
                <w:rPr>
                  <w:rFonts w:ascii="Times New Roman" w:cs="Times New Roman" w:eastAsia="Times New Roman" w:hAnsi="Times New Roman"/>
                  <w:sz w:val="18"/>
                  <w:szCs w:val="18"/>
                  <w:color w:val="0000EE"/>
                </w:rPr>
                <w:t>333-262583), filed on May 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2022 Omnibus Equity Incentive Plan (incorporated by reference to Exhibit 10.2 to the Current Report on Form 8-K filed by the Company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on July 27, 2022).</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Letter Agreement, dated as of March 25, 2021, by and among ArcLight CTC Holdings II, L.P., ArcLight Clean Transition Corp. II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certain other parties thereto (incorporated by referenced to Exhibit 10.4 to the Company’s Current Report on Form 8-K filed by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Registrant on March 26,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Sponsor Letter Agreement, dated as of December 2, 2021, by and among OPAL Fuels LLC, ArcLight Clean Transition Corp. II and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certain other parties thereto (incorporated by reference to incorporated by referenced to Exhibit 10.2 to the Company’s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6"/>
          </w:tcPr>
          <w:p>
            <w:pPr>
              <w:ind w:left="20"/>
              <w:spacing w:after="0" w:line="19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Form 8-K filed by the Registrant on December 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07">
              <w:r>
                <w:rPr>
                  <w:rFonts w:ascii="Times New Roman" w:cs="Times New Roman" w:eastAsia="Times New Roman" w:hAnsi="Times New Roman"/>
                  <w:sz w:val="18"/>
                  <w:szCs w:val="18"/>
                  <w:color w:val="0000EE"/>
                  <w:w w:val="99"/>
                </w:rPr>
                <w:t>Form of Subscription Agreement (incorporated by reference to Exhibit 10.1 of the Company’s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SEC on December 3, 2021)</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10000" w:type="dxa"/>
            <w:vAlign w:val="bottom"/>
            <w:gridSpan w:val="26"/>
          </w:tcPr>
          <w:p>
            <w:pPr>
              <w:ind w:left="20"/>
              <w:spacing w:after="0" w:line="176" w:lineRule="exact"/>
              <w:rPr>
                <w:rFonts w:ascii="Times New Roman" w:cs="Times New Roman" w:eastAsia="Times New Roman" w:hAnsi="Times New Roman"/>
                <w:sz w:val="18"/>
                <w:szCs w:val="18"/>
                <w:color w:val="0000EE"/>
                <w:w w:val="99"/>
              </w:rPr>
            </w:pPr>
            <w:hyperlink r:id="rId408">
              <w:r>
                <w:rPr>
                  <w:rFonts w:ascii="Times New Roman" w:cs="Times New Roman" w:eastAsia="Times New Roman" w:hAnsi="Times New Roman"/>
                  <w:sz w:val="18"/>
                  <w:szCs w:val="18"/>
                  <w:color w:val="0000EE"/>
                  <w:w w:val="99"/>
                </w:rPr>
                <w:t>Form of Amendment No. 1 to the Subscription Agreement (incorporated by reference to Exhibit 10.1 of the Company’s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6"/>
          </w:tcPr>
          <w:p>
            <w:pPr>
              <w:ind w:left="20"/>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Form 8-K, filed with the SEC on May 12,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Tax Receivable Agreement, dated July 21, 2022, by and among OPAL Fuels Inc. and the persons named therein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reference to Exhibit 10.6 to the Current Report on Form 8-K filed by the Company on July 27,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Investor Rights Agreement, dated July 21, 2022, by and among OPAL Fuels Inc., ArcLight CTC Holdings II, L.P., and the other persons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named therein (incorporated by reference to Exhibit 10.7 to the Current Report on Form 8-K filed by the Company on July 27,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11">
              <w:r>
                <w:rPr>
                  <w:rFonts w:ascii="Times New Roman" w:cs="Times New Roman" w:eastAsia="Times New Roman" w:hAnsi="Times New Roman"/>
                  <w:sz w:val="18"/>
                  <w:szCs w:val="18"/>
                  <w:color w:val="0000EE"/>
                  <w:w w:val="99"/>
                </w:rPr>
                <w:t>Second A&amp;R LLC Agreement of OPAL Fuels, including any Certificates of Designations (incorporated by reference to Exhibit 10.8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EE"/>
            </w:tcBorders>
            <w:gridSpan w:val="13"/>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r:id="rId411">
              <w:r>
                <w:rPr>
                  <w:rFonts w:ascii="Times New Roman" w:cs="Times New Roman" w:eastAsia="Times New Roman" w:hAnsi="Times New Roman"/>
                  <w:sz w:val="18"/>
                  <w:szCs w:val="18"/>
                  <w:color w:val="0000EE"/>
                  <w:w w:val="99"/>
                </w:rPr>
                <w:t>Current Report on Form 8-K filed by the Company on July 27, 2022).</w:t>
              </w:r>
            </w:hyperlink>
          </w:p>
        </w:tc>
        <w:tc>
          <w:tcPr>
            <w:tcW w:w="4960" w:type="dxa"/>
            <w:vAlign w:val="bottom"/>
            <w:tcBorders>
              <w:bottom w:val="single" w:sz="8" w:color="CCEEFF"/>
              <w:right w:val="single" w:sz="8" w:color="CCEEFF"/>
            </w:tcBorders>
            <w:gridSpan w:val="1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Delayed Draw Term Loan and Guaranty Agreement, dated October 22, 2021, by and among OPAL Fuels Intermediate Holdco LLC, the</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Guarantors named on the signature pages thereto, and the Lenders (as defined therein), and Bank of America, N.A., as Administrative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Agent for the Lenders (incorporated by reference to Exhibit 10.8 to the Registration Statement on Form S-4 (File No. 333-262583), filed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Amendment No. 1 to Delayed Draw Term Loan and Guaranty Agreement and Waiver, dated February 1, 2022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to Exhibit 10.9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Environmental Attributes Purchase and Sale Agreement, dated November 29, 2021, by and between, on the one hand, NextEra Energy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26"/>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Marketing, LLC and, on the other hand, TruStar Energy LLC and OPAL Fuels LLC (incorporated by reference to Exhibit 10.10 to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Administrative Services Agreement, dated December 31, 2021, by and between OPAL Fuels and Fortistar Services 2 LLC (incorporated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by reference to Exhibit 10.11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5"/>
                <w:szCs w:val="15"/>
                <w:color w:val="auto"/>
              </w:rPr>
            </w:pPr>
          </w:p>
        </w:tc>
        <w:tc>
          <w:tcPr>
            <w:tcW w:w="10000" w:type="dxa"/>
            <w:vAlign w:val="bottom"/>
            <w:tcBorders>
              <w:bottom w:val="single" w:sz="8" w:color="0000EE"/>
            </w:tcBorders>
            <w:gridSpan w:val="26"/>
          </w:tcPr>
          <w:p>
            <w:pPr>
              <w:ind w:left="20"/>
              <w:spacing w:after="0" w:line="17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Indemnification and Hold Harmless Agreement, dated December 31, 2020, by and between OPAL Fuels LLC and Fortistar LLC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(incorporated by reference to Exhibit 10.12 to the Registration Statement on Form S-4 (File No. 333-262583), filed on March 25,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right w:val="single" w:sz="8" w:color="CCEEFF"/>
            </w:tcBorders>
            <w:gridSpan w:val="26"/>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417">
              <w:r>
                <w:rPr>
                  <w:rFonts w:ascii="Times New Roman" w:cs="Times New Roman" w:eastAsia="Times New Roman" w:hAnsi="Times New Roman"/>
                  <w:sz w:val="18"/>
                  <w:szCs w:val="18"/>
                  <w:color w:val="0000EE"/>
                  <w:w w:val="99"/>
                </w:rPr>
                <w:t>Flue Gas Offtake and Preferred Partner Agreement, dated November 29, 2021, by and between CarbonFree Chemicals Holdings, LLC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OPAL Fuels LLC (incorporated by reference to Exhibit 10.13 to the Registration Statement on Form S-4 (File No. 333-262583),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0" w:type="dxa"/>
            <w:vAlign w:val="bottom"/>
            <w:tcBorders>
              <w:top w:val="single" w:sz="8" w:color="0000EE"/>
              <w:right w:val="single" w:sz="8" w:color="CCEEFF"/>
            </w:tcBorders>
            <w:gridSpan w:val="26"/>
            <w:shd w:val="clear" w:color="auto" w:fill="CCEEFF"/>
          </w:tcPr>
          <w:p>
            <w:pPr>
              <w:ind w:left="20"/>
              <w:spacing w:after="0" w:line="19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March 25, 2022)</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10000" w:type="dxa"/>
            <w:vAlign w:val="bottom"/>
            <w:gridSpan w:val="26"/>
          </w:tcPr>
          <w:p>
            <w:pPr>
              <w:ind w:left="20"/>
              <w:spacing w:after="0" w:line="176" w:lineRule="exact"/>
              <w:rPr>
                <w:rFonts w:ascii="Times New Roman" w:cs="Times New Roman" w:eastAsia="Times New Roman" w:hAnsi="Times New Roman"/>
                <w:sz w:val="18"/>
                <w:szCs w:val="18"/>
                <w:color w:val="0000EE"/>
                <w:w w:val="99"/>
              </w:rPr>
            </w:pPr>
            <w:hyperlink r:id="rId418">
              <w:r>
                <w:rPr>
                  <w:rFonts w:ascii="Times New Roman" w:cs="Times New Roman" w:eastAsia="Times New Roman" w:hAnsi="Times New Roman"/>
                  <w:sz w:val="18"/>
                  <w:szCs w:val="18"/>
                  <w:color w:val="0000EE"/>
                  <w:w w:val="99"/>
                </w:rPr>
                <w:t>List of subsidiaries (incorporated by reference to Exhibit 21.1 to the Current Report on Form 8-K filed by the Company on July 27, 2022).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7"/>
                <w:szCs w:val="17"/>
                <w:color w:val="auto"/>
              </w:rPr>
            </w:pPr>
          </w:p>
        </w:tc>
        <w:tc>
          <w:tcPr>
            <w:tcW w:w="10000" w:type="dxa"/>
            <w:vAlign w:val="bottom"/>
            <w:tcBorders>
              <w:right w:val="single" w:sz="8" w:color="CCEEFF"/>
            </w:tcBorders>
            <w:gridSpan w:val="2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BDO USA, LLP, independent registered accounting firm for OPAL Fuels LLC.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tcPr>
          <w:p>
            <w:pPr>
              <w:spacing w:after="0"/>
              <w:rPr>
                <w:sz w:val="15"/>
                <w:szCs w:val="15"/>
                <w:color w:val="auto"/>
              </w:rPr>
            </w:pPr>
          </w:p>
        </w:tc>
        <w:tc>
          <w:tcPr>
            <w:tcW w:w="6540" w:type="dxa"/>
            <w:vAlign w:val="bottom"/>
            <w:tcBorders>
              <w:top w:val="single" w:sz="8" w:color="0000EE"/>
            </w:tcBorders>
            <w:gridSpan w:val="18"/>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BDO USA, LLP, independent auditor for Beacon RNG LLC.</w:t>
            </w:r>
          </w:p>
        </w:tc>
        <w:tc>
          <w:tcPr>
            <w:tcW w:w="3460" w:type="dxa"/>
            <w:vAlign w:val="bottom"/>
            <w:tcBorders>
              <w:top w:val="single" w:sz="8" w:color="CCEE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Consent of Marcum LLP, independent registered accounting firm for ArcLight.</w:t>
            </w:r>
          </w:p>
        </w:tc>
        <w:tc>
          <w:tcPr>
            <w:tcW w:w="4280" w:type="dxa"/>
            <w:vAlign w:val="bottom"/>
            <w:tcBorders>
              <w:bottom w:val="single" w:sz="8" w:color="CCEEFF"/>
              <w:right w:val="single" w:sz="8" w:color="CCEEFF"/>
            </w:tcBorders>
            <w:gridSpan w:val="11"/>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23.4*</w:t>
            </w:r>
          </w:p>
        </w:tc>
        <w:tc>
          <w:tcPr>
            <w:tcW w:w="100" w:type="dxa"/>
            <w:vAlign w:val="bottom"/>
          </w:tcPr>
          <w:p>
            <w:pPr>
              <w:spacing w:after="0"/>
              <w:rPr>
                <w:sz w:val="15"/>
                <w:szCs w:val="15"/>
                <w:color w:val="auto"/>
              </w:rPr>
            </w:pPr>
          </w:p>
        </w:tc>
        <w:tc>
          <w:tcPr>
            <w:tcW w:w="6380" w:type="dxa"/>
            <w:vAlign w:val="bottom"/>
            <w:tcBorders>
              <w:bottom w:val="single" w:sz="8" w:color="0000EE"/>
            </w:tcBorders>
            <w:gridSpan w:val="17"/>
          </w:tcPr>
          <w:p>
            <w:pPr>
              <w:ind w:left="20"/>
              <w:spacing w:after="0" w:line="176" w:lineRule="exact"/>
              <w:rPr>
                <w:rFonts w:ascii="Times New Roman" w:cs="Times New Roman" w:eastAsia="Times New Roman" w:hAnsi="Times New Roman"/>
                <w:sz w:val="18"/>
                <w:szCs w:val="18"/>
                <w:color w:val="0000EE"/>
                <w:w w:val="99"/>
              </w:rPr>
            </w:pPr>
            <w:hyperlink r:id="rId402">
              <w:r>
                <w:rPr>
                  <w:rFonts w:ascii="Times New Roman" w:cs="Times New Roman" w:eastAsia="Times New Roman" w:hAnsi="Times New Roman"/>
                  <w:sz w:val="18"/>
                  <w:szCs w:val="18"/>
                  <w:color w:val="0000EE"/>
                  <w:w w:val="99"/>
                </w:rPr>
                <w:t>Consent of Sheppard, Mullin, Richter &amp; Hampton LLP (included as part of Exhibit 5.1).</w:t>
              </w:r>
            </w:hyperlink>
          </w:p>
        </w:tc>
        <w:tc>
          <w:tcPr>
            <w:tcW w:w="362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60" w:hanging="820"/>
        <w:spacing w:after="0"/>
        <w:tabs>
          <w:tab w:leader="none" w:pos="126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 w:lineRule="exact"/>
        <w:rPr>
          <w:rFonts w:ascii="Times New Roman" w:cs="Times New Roman" w:eastAsia="Times New Roman" w:hAnsi="Times New Roman"/>
          <w:sz w:val="18"/>
          <w:szCs w:val="18"/>
          <w:color w:val="auto"/>
        </w:rPr>
      </w:pPr>
    </w:p>
    <w:p>
      <w:pPr>
        <w:ind w:right="8820" w:firstLine="342"/>
        <w:spacing w:after="0" w:line="3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0000EE"/>
        </w:rPr>
        <w:t>Filing Fee Table</w:t>
      </w:r>
      <w:r>
        <w:rPr>
          <w:rFonts w:ascii="Times New Roman" w:cs="Times New Roman" w:eastAsia="Times New Roman" w:hAnsi="Times New Roman"/>
          <w:sz w:val="18"/>
          <w:szCs w:val="18"/>
          <w:color w:val="auto"/>
        </w:rPr>
        <w:t xml:space="preserve"> * Previously filed.</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713232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right="20" w:hanging="332"/>
        <w:spacing w:after="0" w:line="250"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 supplementally a copy of any omitted schedule or exhibit to the SEC upon request.</w:t>
      </w:r>
    </w:p>
    <w:p>
      <w:pPr>
        <w:spacing w:after="0" w:line="1" w:lineRule="exact"/>
        <w:rPr>
          <w:sz w:val="20"/>
          <w:szCs w:val="20"/>
          <w:color w:val="auto"/>
        </w:rPr>
      </w:pPr>
    </w:p>
    <w:p>
      <w:pPr>
        <w:ind w:left="340" w:hanging="332"/>
        <w:spacing w:after="0" w:line="260"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98" w:lineRule="exact"/>
        <w:rPr>
          <w:rFonts w:ascii="Times New Roman" w:cs="Times New Roman" w:eastAsia="Times New Roman" w:hAnsi="Times New Roman"/>
          <w:sz w:val="18"/>
          <w:szCs w:val="18"/>
          <w:color w:val="auto"/>
        </w:rPr>
      </w:pPr>
    </w:p>
    <w:p>
      <w:pPr>
        <w:ind w:left="440" w:right="320" w:firstLine="332"/>
        <w:spacing w:after="0" w:line="284" w:lineRule="auto"/>
        <w:tabs>
          <w:tab w:leader="none" w:pos="1019"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filed as part of this registration statement are listed in the index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preceding such financial statements, which index to the financial statements is incorporated herein by reference.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312"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undersigned registrant hereby undertakes:</w:t>
      </w:r>
    </w:p>
    <w:p>
      <w:pPr>
        <w:spacing w:after="0" w:line="200" w:lineRule="exact"/>
        <w:rPr>
          <w:sz w:val="20"/>
          <w:szCs w:val="20"/>
          <w:color w:val="auto"/>
        </w:rPr>
      </w:pPr>
    </w:p>
    <w:p>
      <w:pPr>
        <w:spacing w:after="0" w:line="24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873" w:right="1440" w:bottom="1440" w:gutter="0" w:footer="0" w:header="0"/>
        </w:sectPr>
      </w:pPr>
    </w:p>
    <w:bookmarkStart w:id="303" w:name="page304"/>
    <w:bookmarkEnd w:id="303"/>
    <w:p>
      <w:pPr>
        <w:jc w:val="both"/>
        <w:ind w:left="340" w:hanging="332"/>
        <w:spacing w:after="0" w:line="254"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w:t>
      </w:r>
    </w:p>
    <w:p>
      <w:pPr>
        <w:spacing w:after="0" w:line="18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prospectus relating to the offering prepared by or on behalf of the undersigned registrant or used or referred to by the undersigned registrant;</w:t>
      </w:r>
    </w:p>
    <w:p>
      <w:pPr>
        <w:spacing w:after="0" w:line="27" w:lineRule="exact"/>
        <w:rPr>
          <w:rFonts w:ascii="Times New Roman" w:cs="Times New Roman" w:eastAsia="Times New Roman" w:hAnsi="Times New Roman"/>
          <w:sz w:val="18"/>
          <w:szCs w:val="18"/>
          <w:color w:val="auto"/>
        </w:rPr>
      </w:pPr>
    </w:p>
    <w:p>
      <w:pPr>
        <w:jc w:val="both"/>
        <w:ind w:left="340" w:hanging="8"/>
        <w:spacing w:after="0" w:line="255" w:lineRule="auto"/>
        <w:tabs>
          <w:tab w:leader="none" w:pos="67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 Section 10(a)</w:t>
      </w:r>
    </w:p>
    <w:p>
      <w:pPr>
        <w:spacing w:after="0" w:line="27" w:lineRule="exact"/>
        <w:rPr>
          <w:rFonts w:ascii="Times New Roman" w:cs="Times New Roman" w:eastAsia="Times New Roman" w:hAnsi="Times New Roman"/>
          <w:sz w:val="18"/>
          <w:szCs w:val="18"/>
          <w:color w:val="auto"/>
        </w:rPr>
      </w:pPr>
    </w:p>
    <w:p>
      <w:pPr>
        <w:jc w:val="both"/>
        <w:ind w:lef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of the Securities Act and is used in connection with an offering of securities subject to Rule 415, will be filed as a part of an amendment to the registration statement and will not be used until such amendment has become effective, and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White Plains, State of New York, on September 20, 2022.</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OPAL FUELS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85432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Maurer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Comora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Anthony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Comora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Nadeem Nisar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F. Gatti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Fogarty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Betsy L. Battle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Dols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Ashok Vemuri</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36"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41"/>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20"/>
                <w:szCs w:val="20"/>
                <w:color w:val="auto"/>
              </w:rPr>
            </w:pPr>
          </w:p>
        </w:tc>
      </w:tr>
      <w:tr>
        <w:trPr>
          <w:trHeight w:val="4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2020" w:type="dxa"/>
            <w:vAlign w:val="bottom"/>
          </w:tcPr>
          <w:p>
            <w:pPr>
              <w:spacing w:after="0"/>
              <w:rPr>
                <w:sz w:val="18"/>
                <w:szCs w:val="18"/>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20" w:type="dxa"/>
            <w:vAlign w:val="bottom"/>
          </w:tcPr>
          <w:p>
            <w:pPr>
              <w:spacing w:after="0"/>
              <w:rPr>
                <w:sz w:val="20"/>
                <w:szCs w:val="20"/>
                <w:color w:val="auto"/>
              </w:rPr>
            </w:pPr>
          </w:p>
        </w:tc>
      </w:tr>
      <w:tr>
        <w:trPr>
          <w:trHeight w:val="44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r>
        <w:trPr>
          <w:trHeight w:val="675"/>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20, 2022</w:t>
            </w:r>
          </w:p>
        </w:tc>
      </w:tr>
    </w:tbl>
    <w:p>
      <w:pPr>
        <w:spacing w:after="0" w:line="1311" w:lineRule="exact"/>
        <w:rPr>
          <w:sz w:val="20"/>
          <w:szCs w:val="20"/>
          <w:color w:val="auto"/>
        </w:rPr>
      </w:pPr>
    </w:p>
    <w:p>
      <w:pPr>
        <w:sectPr>
          <w:pgSz w:w="11900" w:h="16838" w:orient="portrait"/>
          <w:cols w:equalWidth="0" w:num="2">
            <w:col w:w="3900" w:space="720"/>
            <w:col w:w="6620"/>
          </w:cols>
          <w:pgMar w:left="320" w:top="873"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20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15, 2022, relating to the consolidated financial statements of Opal Fuels LLC,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2022</w:t>
      </w:r>
    </w:p>
    <w:p>
      <w:pPr>
        <w:sectPr>
          <w:pgSz w:w="11900" w:h="16838" w:orient="portrait"/>
          <w:cols w:equalWidth="0" w:num="1">
            <w:col w:w="11240"/>
          </w:cols>
          <w:pgMar w:left="320" w:top="117"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Beacon RNG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our report dated April 15, 2022, relating to the consolidated financial statements of Beacon RNG LLC, which is contained in that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2022</w:t>
      </w:r>
    </w:p>
    <w:p>
      <w:pPr>
        <w:sectPr>
          <w:pgSz w:w="11900" w:h="16838" w:orient="portrait"/>
          <w:cols w:equalWidth="0" w:num="1">
            <w:col w:w="11240"/>
          </w:cols>
          <w:pgMar w:left="320" w:top="117" w:right="339" w:bottom="1440" w:gutter="0" w:footer="0" w:header="0"/>
        </w:sectPr>
      </w:pPr>
    </w:p>
    <w:bookmarkStart w:id="307" w:name="page308"/>
    <w:bookmarkEnd w:id="307"/>
    <w:p>
      <w:pPr>
        <w:ind w:left="10320"/>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consent to the inclusion in this Registration Statement of OPAL Fuels Inc. (formerly ArcLight Clean Transition Corp. II) on Amendment No. 1 to Form S-1 (File No. 333-266757) of our report dated March 9, 2022, with respect to our audit of the financial statements of ArcLight Clean Transition Corp. II as of December 31, 2021 and for the period from January 13, 2021 (inception) through December 31, 2021, which report appears in the Prospectus, which is part of this Registration Statement. We were dismissed as auditors on August 9, 2022 following the issuance of the Company’s Form 10-Q for the quarterly period ended June 30, 2022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2022</w:t>
      </w:r>
    </w:p>
    <w:p>
      <w:pPr>
        <w:sectPr>
          <w:pgSz w:w="11900" w:h="16838" w:orient="portrait"/>
          <w:cols w:equalWidth="0" w:num="1">
            <w:col w:w="11240"/>
          </w:cols>
          <w:pgMar w:left="320" w:top="117"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and Carry Forward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40" w:type="dxa"/>
            <w:vAlign w:val="bottom"/>
            <w:gridSpan w:val="2"/>
            <w:vMerge w:val="continue"/>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Unsold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Fee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2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6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6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5"/>
                <w:szCs w:val="15"/>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Fee</w:t>
            </w:r>
          </w:p>
        </w:tc>
        <w:tc>
          <w:tcPr>
            <w:tcW w:w="24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Newly</w:t>
            </w:r>
          </w:p>
        </w:tc>
        <w:tc>
          <w:tcPr>
            <w:tcW w:w="114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89"/>
              </w:rPr>
              <w:t>Registered Securities</w:t>
            </w:r>
          </w:p>
        </w:tc>
        <w:tc>
          <w:tcPr>
            <w:tcW w:w="7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Fee</w:t>
            </w:r>
          </w:p>
        </w:tc>
        <w:tc>
          <w:tcPr>
            <w:tcW w:w="640" w:type="dxa"/>
            <w:vAlign w:val="bottom"/>
            <w:gridSpan w:val="2"/>
            <w:shd w:val="clear" w:color="auto" w:fill="CCEEFF"/>
          </w:tcPr>
          <w:p>
            <w:pPr>
              <w:ind w:left="140"/>
              <w:spacing w:after="0" w:line="124" w:lineRule="exact"/>
              <w:rPr>
                <w:sz w:val="20"/>
                <w:szCs w:val="20"/>
                <w:color w:val="auto"/>
              </w:rPr>
            </w:pPr>
            <w:r>
              <w:rPr>
                <w:rFonts w:ascii="Times New Roman" w:cs="Times New Roman" w:eastAsia="Times New Roman" w:hAnsi="Times New Roman"/>
                <w:sz w:val="14"/>
                <w:szCs w:val="14"/>
                <w:color w:val="auto"/>
              </w:rPr>
              <w:t>Equity</w:t>
            </w:r>
          </w:p>
        </w:tc>
        <w:tc>
          <w:tcPr>
            <w:tcW w:w="1040" w:type="dxa"/>
            <w:vAlign w:val="bottom"/>
            <w:gridSpan w:val="3"/>
            <w:shd w:val="clear" w:color="auto" w:fill="CCEEFF"/>
          </w:tcPr>
          <w:p>
            <w:pPr>
              <w:ind w:left="60"/>
              <w:spacing w:after="0" w:line="124" w:lineRule="exact"/>
              <w:rPr>
                <w:sz w:val="20"/>
                <w:szCs w:val="20"/>
                <w:color w:val="auto"/>
              </w:rPr>
            </w:pPr>
            <w:r>
              <w:rPr>
                <w:rFonts w:ascii="Times New Roman" w:cs="Times New Roman" w:eastAsia="Times New Roman" w:hAnsi="Times New Roman"/>
                <w:sz w:val="14"/>
                <w:szCs w:val="14"/>
                <w:color w:val="auto"/>
              </w:rPr>
              <w:t>Class A</w:t>
            </w:r>
          </w:p>
        </w:tc>
        <w:tc>
          <w:tcPr>
            <w:tcW w:w="7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Stock, par value</w:t>
            </w: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(2)</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175,541,507(3)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 xml:space="preserve"> 1,792,278,787</w:t>
            </w:r>
          </w:p>
        </w:tc>
        <w:tc>
          <w:tcPr>
            <w:tcW w:w="20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$ 0.0000927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166,145</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78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gridSpan w:val="2"/>
          </w:tcPr>
          <w:p>
            <w:pPr>
              <w:ind w:left="140"/>
              <w:spacing w:after="0" w:line="100" w:lineRule="exact"/>
              <w:rPr>
                <w:sz w:val="20"/>
                <w:szCs w:val="20"/>
                <w:color w:val="auto"/>
              </w:rPr>
            </w:pPr>
            <w:r>
              <w:rPr>
                <w:rFonts w:ascii="Times New Roman" w:cs="Times New Roman" w:eastAsia="Times New Roman" w:hAnsi="Times New Roman"/>
                <w:sz w:val="11"/>
                <w:szCs w:val="11"/>
                <w:color w:val="auto"/>
              </w:rPr>
              <w:t>Equity</w:t>
            </w:r>
          </w:p>
        </w:tc>
        <w:tc>
          <w:tcPr>
            <w:tcW w:w="1040" w:type="dxa"/>
            <w:vAlign w:val="bottom"/>
            <w:tcBorders>
              <w:top w:val="single" w:sz="8" w:color="CCEEFF"/>
            </w:tcBorders>
            <w:gridSpan w:val="3"/>
          </w:tcPr>
          <w:p>
            <w:pPr>
              <w:ind w:left="60"/>
              <w:spacing w:after="0" w:line="100" w:lineRule="exact"/>
              <w:rPr>
                <w:sz w:val="20"/>
                <w:szCs w:val="20"/>
                <w:color w:val="auto"/>
              </w:rPr>
            </w:pPr>
            <w:r>
              <w:rPr>
                <w:rFonts w:ascii="Times New Roman" w:cs="Times New Roman" w:eastAsia="Times New Roman" w:hAnsi="Times New Roman"/>
                <w:sz w:val="11"/>
                <w:szCs w:val="11"/>
                <w:color w:val="auto"/>
              </w:rPr>
              <w:t>Warrants to</w:t>
            </w:r>
          </w:p>
        </w:tc>
        <w:tc>
          <w:tcPr>
            <w:tcW w:w="7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Purchase Class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 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par value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Other (4)</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9,223,261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$ 0.0000927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78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Fees to be</w:t>
            </w:r>
          </w:p>
        </w:tc>
        <w:tc>
          <w:tcPr>
            <w:tcW w:w="640" w:type="dxa"/>
            <w:vAlign w:val="bottom"/>
            <w:tcBorders>
              <w:top w:val="single" w:sz="8" w:color="CCEEFF"/>
            </w:tcBorders>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2"/>
                <w:szCs w:val="12"/>
                <w:color w:val="auto"/>
              </w:rPr>
              <w:t>Equity</w:t>
            </w:r>
          </w:p>
        </w:tc>
        <w:tc>
          <w:tcPr>
            <w:tcW w:w="1040" w:type="dxa"/>
            <w:vAlign w:val="bottom"/>
            <w:tcBorders>
              <w:top w:val="single" w:sz="8" w:color="CCEEFF"/>
            </w:tcBorders>
            <w:gridSpan w:val="3"/>
            <w:shd w:val="clear" w:color="auto" w:fill="CCEEFF"/>
          </w:tcPr>
          <w:p>
            <w:pPr>
              <w:ind w:left="60"/>
              <w:spacing w:after="0" w:line="110" w:lineRule="exact"/>
              <w:rPr>
                <w:sz w:val="20"/>
                <w:szCs w:val="20"/>
                <w:color w:val="auto"/>
              </w:rPr>
            </w:pPr>
            <w:r>
              <w:rPr>
                <w:rFonts w:ascii="Times New Roman" w:cs="Times New Roman" w:eastAsia="Times New Roman" w:hAnsi="Times New Roman"/>
                <w:sz w:val="12"/>
                <w:szCs w:val="12"/>
                <w:color w:val="auto"/>
              </w:rPr>
              <w:t>Class A</w:t>
            </w:r>
          </w:p>
        </w:tc>
        <w:tc>
          <w:tcPr>
            <w:tcW w:w="7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left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Paid</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ind w:left="60"/>
              <w:spacing w:after="0" w:line="151" w:lineRule="exact"/>
              <w:rPr>
                <w:sz w:val="20"/>
                <w:szCs w:val="20"/>
                <w:color w:val="auto"/>
              </w:rPr>
            </w:pPr>
            <w:r>
              <w:rPr>
                <w:rFonts w:ascii="Times New Roman" w:cs="Times New Roman" w:eastAsia="Times New Roman" w:hAnsi="Times New Roman"/>
                <w:sz w:val="14"/>
                <w:szCs w:val="14"/>
                <w:color w:val="auto"/>
              </w:rPr>
              <w:t>Common</w:t>
            </w:r>
          </w:p>
        </w:tc>
        <w:tc>
          <w:tcPr>
            <w:tcW w:w="7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par value</w:t>
            </w: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7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(5)</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6,223,233(6)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9.855(5)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61,329,962</w:t>
            </w:r>
          </w:p>
        </w:tc>
        <w:tc>
          <w:tcPr>
            <w:tcW w:w="200" w:type="dxa"/>
            <w:vAlign w:val="bottom"/>
            <w:tcBorders>
              <w:left w:val="single" w:sz="8" w:color="CCEEFF"/>
            </w:tcBorders>
            <w:shd w:val="clear" w:color="auto" w:fill="CCEEFF"/>
          </w:tcPr>
          <w:p>
            <w:pPr>
              <w:spacing w:after="0"/>
              <w:rPr>
                <w:sz w:val="16"/>
                <w:szCs w:val="16"/>
                <w:color w:val="auto"/>
              </w:rPr>
            </w:pPr>
          </w:p>
        </w:tc>
        <w:tc>
          <w:tcPr>
            <w:tcW w:w="8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$ 0.0000927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780" w:type="dxa"/>
            <w:vAlign w:val="bottom"/>
          </w:tcPr>
          <w:p>
            <w:pPr>
              <w:spacing w:after="0"/>
              <w:rPr>
                <w:sz w:val="9"/>
                <w:szCs w:val="9"/>
                <w:color w:val="auto"/>
              </w:rPr>
            </w:pPr>
          </w:p>
        </w:tc>
        <w:tc>
          <w:tcPr>
            <w:tcW w:w="640" w:type="dxa"/>
            <w:vAlign w:val="bottom"/>
            <w:gridSpan w:val="2"/>
          </w:tcPr>
          <w:p>
            <w:pPr>
              <w:ind w:left="140"/>
              <w:spacing w:after="0" w:line="106" w:lineRule="exact"/>
              <w:rPr>
                <w:sz w:val="20"/>
                <w:szCs w:val="20"/>
                <w:color w:val="auto"/>
              </w:rPr>
            </w:pPr>
            <w:r>
              <w:rPr>
                <w:rFonts w:ascii="Times New Roman" w:cs="Times New Roman" w:eastAsia="Times New Roman" w:hAnsi="Times New Roman"/>
                <w:sz w:val="12"/>
                <w:szCs w:val="12"/>
                <w:color w:val="auto"/>
              </w:rPr>
              <w:t>Equity</w:t>
            </w:r>
          </w:p>
        </w:tc>
        <w:tc>
          <w:tcPr>
            <w:tcW w:w="104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color w:val="auto"/>
              </w:rPr>
              <w:t>Warrants to</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Purchase Class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 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par value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$0.0001 per</w:t>
            </w:r>
          </w:p>
        </w:tc>
        <w:tc>
          <w:tcPr>
            <w:tcW w:w="720" w:type="dxa"/>
            <w:vAlign w:val="bottom"/>
          </w:tcPr>
          <w:p>
            <w:pPr>
              <w:spacing w:after="0"/>
              <w:rPr>
                <w:sz w:val="12"/>
                <w:szCs w:val="12"/>
                <w:color w:val="auto"/>
              </w:rPr>
            </w:pPr>
          </w:p>
        </w:tc>
        <w:tc>
          <w:tcPr>
            <w:tcW w:w="11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6,223,233</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share</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Other (4)</w:t>
            </w:r>
          </w:p>
        </w:tc>
        <w:tc>
          <w:tcPr>
            <w:tcW w:w="11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$ 0.0000927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CCEEFF"/>
            </w:tcBorders>
            <w:gridSpan w:val="6"/>
            <w:shd w:val="clear" w:color="auto" w:fill="CCEEFF"/>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w w:val="98"/>
              </w:rPr>
              <w:t>Carry Forward Securities</w:t>
            </w: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7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Carry</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171,831</w:t>
            </w:r>
          </w:p>
        </w:tc>
        <w:tc>
          <w:tcPr>
            <w:tcW w:w="20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260" w:type="dxa"/>
            <w:vAlign w:val="bottom"/>
            <w:tcBorders>
              <w:top w:val="single" w:sz="8" w:color="CCEEFF"/>
            </w:tcBorders>
            <w:gridSpan w:val="5"/>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166,145</w:t>
            </w:r>
          </w:p>
        </w:tc>
        <w:tc>
          <w:tcPr>
            <w:tcW w:w="2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10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5,686(7)</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Class A Common Stock, par value $0.0001 per share (the “Class A Common Stock”), that become issuable by reason of any stock dividend, stock split, recapitalization or other similar transaction.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based on the average of the high and low prices of the Registrant’s Class A Common Stock as reported on The Nasdaq Capital Market on August 5, 2022.</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being registered includes (i) 21,919,209 shares of the Registrant’s Class A Common Stock, (ii) 144,399,037 shares of the Registrant’s Class A Common Stock issuable upon the conversion of (a) 144,399,037 common units of Opal Fuels LLC for shares of the Registrant’s Class C Common Stock and the subsequent conversion of such shares of Class C Common Stock and (iii) 9,223,261 shares of the Registrant’s Class A Common Stock issuable upon exercise of warrants.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457(g) of the Securities Act, no separate fee is recorded for the warrants and the entire fee is allocated to the underlying Class A Common Stock.</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based on the average of the high and low prices of the Registrant’s Class A Common Stock as reported on The Nasdaq Capital Market on September 16, 2022.</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being registered includes 6,223,233 shares of the Registrant’s Class A Common Stock issuable upon exercise of warrants.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filing fee to be paid upon the filing of Amendment No. 1 to the Registration Statement on Form S-1 (File No. 333-266757) reflects the addition of publicly held warrants to the registration statement that were not included in the original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lowerRoman"/>
      <w:start w:val="1"/>
    </w:lvl>
  </w:abstractNum>
  <w:abstractNum w:abstractNumId="1">
    <w:nsid w:val="6AA78F7F"/>
    <w:multiLevelType w:val="hybridMultilevel"/>
    <w:lvl w:ilvl="0">
      <w:lvlJc w:val="left"/>
      <w:lvlText w:val="(%1)"/>
      <w:numFmt w:val="lowerRoman"/>
      <w:start w:val="4"/>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1)"/>
      <w:numFmt w:val="lowerRoman"/>
      <w:start w:val="3"/>
    </w:lvl>
  </w:abstractNum>
  <w:abstractNum w:abstractNumId="10">
    <w:nsid w:val="3FA62ACA"/>
    <w:multiLevelType w:val="hybridMultilevel"/>
    <w:lvl w:ilvl="0">
      <w:lvlJc w:val="left"/>
      <w:lvlText w:val="(%1)"/>
      <w:numFmt w:val="decimal"/>
      <w:start w:val="1"/>
    </w:lvl>
  </w:abstractNum>
  <w:abstractNum w:abstractNumId="11">
    <w:nsid w:val="14FCE74E"/>
    <w:multiLevelType w:val="hybridMultilevel"/>
    <w:lvl w:ilvl="0">
      <w:lvlJc w:val="left"/>
      <w:lvlText w:val="(%1)"/>
      <w:numFmt w:val="decimal"/>
      <w:start w:val="1"/>
    </w:lvl>
  </w:abstractNum>
  <w:abstractNum w:abstractNumId="12">
    <w:nsid w:val="6A3DD3E8"/>
    <w:multiLevelType w:val="hybridMultilevel"/>
    <w:lvl w:ilvl="0">
      <w:lvlJc w:val="left"/>
      <w:lvlText w:val="(%1)"/>
      <w:numFmt w:val="lowerRoman"/>
      <w:start w:val="5"/>
    </w:lvl>
  </w:abstractNum>
  <w:abstractNum w:abstractNumId="13">
    <w:nsid w:val="71C91298"/>
    <w:multiLevelType w:val="hybridMultilevel"/>
    <w:lvl w:ilvl="0">
      <w:lvlJc w:val="left"/>
      <w:lvlText w:val="(%1)"/>
      <w:numFmt w:val="lowerRoman"/>
      <w:start w:val="6"/>
    </w:lvl>
  </w:abstractNum>
  <w:abstractNum w:abstractNumId="14">
    <w:nsid w:val="9DAF632"/>
    <w:multiLevelType w:val="hybridMultilevel"/>
    <w:lvl w:ilvl="0">
      <w:lvlJc w:val="left"/>
      <w:lvlText w:val="(%1)"/>
      <w:numFmt w:val="lowerRoman"/>
      <w:start w:val="6"/>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1)"/>
      <w:numFmt w:val="lowerRoman"/>
      <w:start w:val="1"/>
    </w:lvl>
  </w:abstractNum>
  <w:abstractNum w:abstractNumId="20">
    <w:nsid w:val="288F1A34"/>
    <w:multiLevelType w:val="hybridMultilevel"/>
    <w:lvl w:ilvl="0">
      <w:lvlJc w:val="left"/>
      <w:lvlText w:val="(%1)"/>
      <w:numFmt w:val="lowerRoman"/>
      <w:start w:val="6"/>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2"/>
      <w:numFmt w:val="bullet"/>
      <w:start w:val="1"/>
    </w:lvl>
  </w:abstractNum>
  <w:abstractNum w:abstractNumId="27">
    <w:nsid w:val="415E286C"/>
    <w:multiLevelType w:val="hybridMultilevel"/>
    <w:lvl w:ilvl="0">
      <w:lvlJc w:val="left"/>
      <w:lvlText w:val="3"/>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1)"/>
      <w:numFmt w:val="lowerLetter"/>
      <w:start w:val="1"/>
    </w:lvl>
  </w:abstractNum>
  <w:abstractNum w:abstractNumId="40">
    <w:nsid w:val="69E373"/>
    <w:multiLevelType w:val="hybridMultilevel"/>
    <w:lvl w:ilvl="0">
      <w:lvlJc w:val="left"/>
      <w:lvlText w:val="(%1)"/>
      <w:numFmt w:val="lowerLetter"/>
      <w:start w:val="4"/>
    </w:lvl>
  </w:abstractNum>
  <w:abstractNum w:abstractNumId="41">
    <w:nsid w:val="2C27173B"/>
    <w:multiLevelType w:val="hybridMultilevel"/>
    <w:lvl w:ilvl="0">
      <w:lvlJc w:val="left"/>
      <w:lvlText w:val="(%1)"/>
      <w:numFmt w:val="lowerLetter"/>
      <w:start w:val="6"/>
    </w:lvl>
  </w:abstractNum>
  <w:abstractNum w:abstractNumId="42">
    <w:nsid w:val="4C9B0904"/>
    <w:multiLevelType w:val="hybridMultilevel"/>
    <w:lvl w:ilvl="0">
      <w:lvlJc w:val="left"/>
      <w:lvlText w:val="(%1)"/>
      <w:numFmt w:val="lowerLetter"/>
      <w:start w:val="1"/>
    </w:lvl>
  </w:abstractNum>
  <w:abstractNum w:abstractNumId="43">
    <w:nsid w:val="6AA7B75C"/>
    <w:multiLevelType w:val="hybridMultilevel"/>
    <w:lvl w:ilvl="0">
      <w:lvlJc w:val="left"/>
      <w:lvlText w:val="(%1)"/>
      <w:numFmt w:val="lowerLetter"/>
      <w:start w:val="1"/>
    </w:lvl>
  </w:abstractNum>
  <w:abstractNum w:abstractNumId="44">
    <w:nsid w:val="1DF029D3"/>
    <w:multiLevelType w:val="hybridMultilevel"/>
    <w:lvl w:ilvl="0">
      <w:lvlJc w:val="left"/>
      <w:lvlText w:val="(%1)"/>
      <w:numFmt w:val="lowerLetter"/>
      <w:start w:val="4"/>
    </w:lvl>
  </w:abstractNum>
  <w:abstractNum w:abstractNumId="45">
    <w:nsid w:val="5675FF36"/>
    <w:multiLevelType w:val="hybridMultilevel"/>
    <w:lvl w:ilvl="0">
      <w:lvlJc w:val="left"/>
      <w:lvlText w:val="(%1)"/>
      <w:numFmt w:val="lowerLetter"/>
      <w:start w:val="11"/>
    </w:lvl>
  </w:abstractNum>
  <w:abstractNum w:abstractNumId="46">
    <w:nsid w:val="3DD15094"/>
    <w:multiLevelType w:val="hybridMultilevel"/>
    <w:lvl w:ilvl="0">
      <w:lvlJc w:val="left"/>
      <w:lvlText w:val="(%1)"/>
      <w:numFmt w:val="lowerLetter"/>
      <w:start w:val="1"/>
    </w:lvl>
  </w:abstractNum>
  <w:abstractNum w:abstractNumId="47">
    <w:nsid w:val="3DB012B3"/>
    <w:multiLevelType w:val="hybridMultilevel"/>
    <w:lvl w:ilvl="0">
      <w:lvlJc w:val="left"/>
      <w:lvlText w:val="(%1)"/>
      <w:numFmt w:val="lowerLetter"/>
      <w:start w:val="4"/>
    </w:lvl>
  </w:abstractNum>
  <w:abstractNum w:abstractNumId="48">
    <w:nsid w:val="2708C9AF"/>
    <w:multiLevelType w:val="hybridMultilevel"/>
    <w:lvl w:ilvl="0">
      <w:lvlJc w:val="left"/>
      <w:lvlText w:val="(%1)"/>
      <w:numFmt w:val="decimal"/>
      <w:start w:val="1"/>
    </w:lvl>
  </w:abstractNum>
  <w:abstractNum w:abstractNumId="49">
    <w:nsid w:val="5B25ACE2"/>
    <w:multiLevelType w:val="hybridMultilevel"/>
    <w:lvl w:ilvl="0">
      <w:lvlJc w:val="left"/>
      <w:lvlText w:val="(%1)"/>
      <w:numFmt w:val="lowerRoman"/>
      <w:start w:val="4"/>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1)"/>
      <w:numFmt w:val="decimal"/>
      <w:start w:val="1"/>
    </w:lvl>
  </w:abstractNum>
  <w:abstractNum w:abstractNumId="53">
    <w:nsid w:val="34FD6B4F"/>
    <w:multiLevelType w:val="hybridMultilevel"/>
    <w:lvl w:ilvl="0">
      <w:lvlJc w:val="left"/>
      <w:lvlText w:val="(%1)"/>
      <w:numFmt w:val="decimal"/>
      <w:start w:val="3"/>
    </w:lvl>
  </w:abstractNum>
  <w:abstractNum w:abstractNumId="54">
    <w:nsid w:val="5915FF32"/>
    <w:multiLevelType w:val="hybridMultilevel"/>
    <w:lvl w:ilvl="0">
      <w:lvlJc w:val="left"/>
      <w:lvlText w:val="(%1)"/>
      <w:numFmt w:val="decimal"/>
      <w:start w:val="1"/>
    </w:lvl>
  </w:abstractNum>
  <w:abstractNum w:abstractNumId="55">
    <w:nsid w:val="56438D15"/>
    <w:multiLevelType w:val="hybridMultilevel"/>
    <w:lvl w:ilvl="0">
      <w:lvlJc w:val="left"/>
      <w:lvlText w:val="(%1)"/>
      <w:numFmt w:val="decimal"/>
      <w:start w:val="1"/>
    </w:lvl>
  </w:abstractNum>
  <w:abstractNum w:abstractNumId="56">
    <w:nsid w:val="519E3149"/>
    <w:multiLevelType w:val="hybridMultilevel"/>
    <w:lvl w:ilvl="0">
      <w:lvlJc w:val="left"/>
      <w:lvlText w:val="(%1)"/>
      <w:numFmt w:val="decimal"/>
      <w:start w:val="2"/>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1)"/>
      <w:numFmt w:val="lowerRoman"/>
      <w:start w:val="5"/>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1)"/>
      <w:numFmt w:val="decimal"/>
      <w:start w:val="1"/>
    </w:lvl>
  </w:abstractNum>
  <w:abstractNum w:abstractNumId="62">
    <w:nsid w:val="2A082C70"/>
    <w:multiLevelType w:val="hybridMultilevel"/>
    <w:lvl w:ilvl="0">
      <w:lvlJc w:val="left"/>
      <w:lvlText w:val="(%1)"/>
      <w:numFmt w:val="decimal"/>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1)"/>
      <w:numFmt w:val="lowerLetter"/>
      <w:start w:val="1"/>
    </w:lvl>
  </w:abstractNum>
  <w:abstractNum w:abstractNumId="65">
    <w:nsid w:val="75E0858A"/>
    <w:multiLevelType w:val="hybridMultilevel"/>
    <w:lvl w:ilvl="0">
      <w:lvlJc w:val="left"/>
      <w:lvlText w:val="(%1)"/>
      <w:numFmt w:val="lowerLetter"/>
      <w:start w:val="1"/>
    </w:lvl>
  </w:abstractNum>
  <w:abstractNum w:abstractNumId="66">
    <w:nsid w:val="57A61A29"/>
    <w:multiLevelType w:val="hybridMultilevel"/>
    <w:lvl w:ilvl="0">
      <w:lvlJc w:val="left"/>
      <w:lvlText w:val="(%1)"/>
      <w:numFmt w:val="lowerLetter"/>
      <w:start w:val="1"/>
    </w:lvl>
  </w:abstractNum>
  <w:abstractNum w:abstractNumId="67">
    <w:nsid w:val="5399C654"/>
    <w:multiLevelType w:val="hybridMultilevel"/>
    <w:lvl w:ilvl="0">
      <w:lvlJc w:val="left"/>
      <w:lvlText w:val="%1."/>
      <w:numFmt w:val="lowerLetter"/>
      <w:start w:val="1"/>
    </w:lvl>
  </w:abstractNum>
  <w:abstractNum w:abstractNumId="68">
    <w:nsid w:val="20EE1348"/>
    <w:multiLevelType w:val="hybridMultilevel"/>
    <w:lvl w:ilvl="0">
      <w:lvlJc w:val="left"/>
      <w:lvlText w:val="(%1)"/>
      <w:numFmt w:val="lowerLetter"/>
      <w:start w:val="1"/>
    </w:lvl>
  </w:abstractNum>
  <w:abstractNum w:abstractNumId="69">
    <w:nsid w:val="4427069A"/>
    <w:multiLevelType w:val="hybridMultilevel"/>
    <w:lvl w:ilvl="0">
      <w:lvlJc w:val="left"/>
      <w:lvlText w:val="%1."/>
      <w:numFmt w:val="lowerLetter"/>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1)"/>
      <w:numFmt w:val="lowerRoman"/>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emdash "/>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1)"/>
      <w:numFmt w:val="decimal"/>
      <w:start w:val="1"/>
    </w:lvl>
  </w:abstractNum>
  <w:abstractNum w:abstractNumId="78">
    <w:nsid w:val="4BEE5A5B"/>
    <w:multiLevelType w:val="hybridMultilevel"/>
    <w:lvl w:ilvl="0">
      <w:lvlJc w:val="left"/>
      <w:lvlText w:val="(%1)"/>
      <w:numFmt w:val="decimal"/>
      <w:start w:val="2"/>
    </w:lvl>
  </w:abstractNum>
  <w:abstractNum w:abstractNumId="79">
    <w:nsid w:val="5551B9F3"/>
    <w:multiLevelType w:val="hybridMultilevel"/>
    <w:lvl w:ilvl="0">
      <w:lvlJc w:val="left"/>
      <w:lvlText w:val="(%1)"/>
      <w:numFmt w:val="decimal"/>
      <w:start w:val="1"/>
    </w:lvl>
  </w:abstractNum>
  <w:abstractNum w:abstractNumId="80">
    <w:nsid w:val="24F6AB8E"/>
    <w:multiLevelType w:val="hybridMultilevel"/>
    <w:lvl w:ilvl="0">
      <w:lvlJc w:val="left"/>
      <w:lvlText w:val="(%1)"/>
      <w:numFmt w:val="decimal"/>
      <w:start w:val="2"/>
    </w:lvl>
  </w:abstractNum>
  <w:abstractNum w:abstractNumId="81">
    <w:nsid w:val="634C574C"/>
    <w:multiLevelType w:val="hybridMultilevel"/>
    <w:lvl w:ilvl="0">
      <w:lvlJc w:val="left"/>
      <w:lvlText w:val="(%1)"/>
      <w:numFmt w:val="decimal"/>
      <w:start w:val="10"/>
    </w:lvl>
  </w:abstractNum>
  <w:abstractNum w:abstractNumId="82">
    <w:nsid w:val="24E99DD7"/>
    <w:multiLevelType w:val="hybridMultilevel"/>
    <w:lvl w:ilvl="0">
      <w:lvlJc w:val="left"/>
      <w:lvlText w:val="(%1)"/>
      <w:numFmt w:val="lowerRoman"/>
      <w:start w:val="3"/>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1)"/>
      <w:numFmt w:val="lowerRoman"/>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1)"/>
      <w:numFmt w:val="lowerLetter"/>
      <w:start w:val="26"/>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1)"/>
      <w:numFmt w:val="lowerRoman"/>
      <w:start w:val="2"/>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1)"/>
      <w:numFmt w:val="decimal"/>
      <w:start w:val="1"/>
    </w:lvl>
  </w:abstractNum>
  <w:abstractNum w:abstractNumId="107">
    <w:nsid w:val="746F2E30"/>
    <w:multiLevelType w:val="hybridMultilevel"/>
    <w:lvl w:ilvl="0">
      <w:lvlJc w:val="left"/>
      <w:lvlText w:val="(%1)"/>
      <w:numFmt w:val="decimal"/>
      <w:start w:val="1"/>
    </w:lvl>
  </w:abstractNum>
  <w:abstractNum w:abstractNumId="108">
    <w:nsid w:val="6FDE8AF6"/>
    <w:multiLevelType w:val="hybridMultilevel"/>
    <w:lvl w:ilvl="0">
      <w:lvlJc w:val="left"/>
      <w:lvlText w:val="(%1)"/>
      <w:numFmt w:val="decimal"/>
      <w:start w:val="1"/>
    </w:lvl>
  </w:abstractNum>
  <w:abstractNum w:abstractNumId="109">
    <w:nsid w:val="3FC32E20"/>
    <w:multiLevelType w:val="hybridMultilevel"/>
    <w:lvl w:ilvl="0">
      <w:lvlJc w:val="left"/>
      <w:lvlText w:val="(%1)"/>
      <w:numFmt w:val="decimal"/>
      <w:start w:val="1"/>
    </w:lvl>
  </w:abstractNum>
  <w:abstractNum w:abstractNumId="110">
    <w:nsid w:val="49C0E823"/>
    <w:multiLevelType w:val="hybridMultilevel"/>
    <w:lvl w:ilvl="0">
      <w:lvlJc w:val="left"/>
      <w:lvlText w:val="●"/>
      <w:numFmt w:val="bullet"/>
      <w:start w:val="1"/>
    </w:lvl>
    <w:lvl w:ilvl="1">
      <w:lvlJc w:val="left"/>
      <w:lvlText w:val="◦"/>
      <w:numFmt w:val="bullet"/>
      <w:start w:val="1"/>
    </w:lvl>
  </w:abstractNum>
  <w:abstractNum w:abstractNumId="111">
    <w:nsid w:val="14D53685"/>
    <w:multiLevelType w:val="hybridMultilevel"/>
    <w:lvl w:ilvl="0">
      <w:lvlJc w:val="left"/>
      <w:lvlText w:val="●"/>
      <w:numFmt w:val="bullet"/>
      <w:start w:val="1"/>
    </w:lvl>
    <w:lvl w:ilvl="1">
      <w:lvlJc w:val="left"/>
      <w:lvlText w:val="◦"/>
      <w:numFmt w:val="bullet"/>
      <w:start w:val="1"/>
    </w:lvl>
  </w:abstractNum>
  <w:abstractNum w:abstractNumId="112">
    <w:nsid w:val="230F856C"/>
    <w:multiLevelType w:val="hybridMultilevel"/>
    <w:lvl w:ilvl="0">
      <w:lvlJc w:val="left"/>
      <w:lvlText w:val="●"/>
      <w:numFmt w:val="bullet"/>
      <w:start w:val="1"/>
    </w:lvl>
    <w:lvl w:ilvl="1">
      <w:lvlJc w:val="left"/>
      <w:lvlText w:val="◦"/>
      <w:numFmt w:val="bullet"/>
      <w:start w:val="1"/>
    </w:lvl>
  </w:abstractNum>
  <w:abstractNum w:abstractNumId="113">
    <w:nsid w:val="6EAA85FB"/>
    <w:multiLevelType w:val="hybridMultilevel"/>
    <w:lvl w:ilvl="0">
      <w:lvlJc w:val="left"/>
      <w:lvlText w:val="(%1)"/>
      <w:numFmt w:val="decimal"/>
      <w:start w:val="1"/>
    </w:lvl>
  </w:abstractNum>
  <w:abstractNum w:abstractNumId="114">
    <w:nsid w:val="3F06ECB2"/>
    <w:multiLevelType w:val="hybridMultilevel"/>
    <w:lvl w:ilvl="0">
      <w:lvlJc w:val="left"/>
      <w:lvlText w:val="(%1)"/>
      <w:numFmt w:val="decimal"/>
      <w:start w:val="1"/>
    </w:lvl>
  </w:abstractNum>
  <w:abstractNum w:abstractNumId="115">
    <w:nsid w:val="3B594807"/>
    <w:multiLevelType w:val="hybridMultilevel"/>
    <w:lvl w:ilvl="0">
      <w:lvlJc w:val="left"/>
      <w:lvlText w:val="(%1)"/>
      <w:numFmt w:val="decimal"/>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
      <w:numFmt w:val="bullet"/>
      <w:start w:val="1"/>
    </w:lvl>
  </w:abstractNum>
  <w:abstractNum w:abstractNumId="119">
    <w:nsid w:val="17180B0B"/>
    <w:multiLevelType w:val="hybridMultilevel"/>
    <w:lvl w:ilvl="0">
      <w:lvlJc w:val="left"/>
      <w:lvlText w:val="(%1)"/>
      <w:numFmt w:val="decimal"/>
      <w:start w:val="1"/>
    </w:lvl>
  </w:abstractNum>
  <w:abstractNum w:abstractNumId="120">
    <w:nsid w:val="579328B9"/>
    <w:multiLevelType w:val="hybridMultilevel"/>
    <w:lvl w:ilvl="0">
      <w:lvlJc w:val="left"/>
      <w:lvlText w:val="(%1)"/>
      <w:numFmt w:val="decimal"/>
      <w:start w:val="1"/>
    </w:lvl>
  </w:abstractNum>
  <w:abstractNum w:abstractNumId="121">
    <w:nsid w:val="5D205E20"/>
    <w:multiLevelType w:val="hybridMultilevel"/>
    <w:lvl w:ilvl="0">
      <w:lvlJc w:val="left"/>
      <w:lvlText w:val="(%1)"/>
      <w:numFmt w:val="decimal"/>
      <w:start w:val="1"/>
    </w:lvl>
  </w:abstractNum>
  <w:abstractNum w:abstractNumId="122">
    <w:nsid w:val="11CCA8BA"/>
    <w:multiLevelType w:val="hybridMultilevel"/>
    <w:lvl w:ilvl="0">
      <w:lvlJc w:val="left"/>
      <w:lvlText w:val="(%1)"/>
      <w:numFmt w:val="decimal"/>
      <w:start w:val="1"/>
    </w:lvl>
  </w:abstractNum>
  <w:abstractNum w:abstractNumId="123">
    <w:nsid w:val="4D32AB86"/>
    <w:multiLevelType w:val="hybridMultilevel"/>
    <w:lvl w:ilvl="0">
      <w:lvlJc w:val="left"/>
      <w:lvlText w:val="●"/>
      <w:numFmt w:val="bullet"/>
      <w:start w:val="1"/>
    </w:lvl>
  </w:abstractNum>
  <w:abstractNum w:abstractNumId="124">
    <w:nsid w:val="3F07ACC3"/>
    <w:multiLevelType w:val="hybridMultilevel"/>
    <w:lvl w:ilvl="0">
      <w:lvlJc w:val="left"/>
      <w:lvlText w:val="(%1)"/>
      <w:numFmt w:val="decimal"/>
      <w:start w:val="1"/>
    </w:lvl>
  </w:abstractNum>
  <w:abstractNum w:abstractNumId="125">
    <w:nsid w:val="6B47F63E"/>
    <w:multiLevelType w:val="hybridMultilevel"/>
    <w:lvl w:ilvl="0">
      <w:lvlJc w:val="left"/>
      <w:lvlText w:val="(%1)"/>
      <w:numFmt w:val="decimal"/>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1)"/>
      <w:numFmt w:val="decimal"/>
      <w:start w:val="1"/>
    </w:lvl>
  </w:abstractNum>
  <w:abstractNum w:abstractNumId="128">
    <w:nsid w:val="1C695DEC"/>
    <w:multiLevelType w:val="hybridMultilevel"/>
    <w:lvl w:ilvl="0">
      <w:lvlJc w:val="left"/>
      <w:lvlText w:val="(%1)"/>
      <w:numFmt w:val="decimal"/>
      <w:start w:val="1"/>
    </w:lvl>
  </w:abstractNum>
  <w:abstractNum w:abstractNumId="129">
    <w:nsid w:val="3FCFAED9"/>
    <w:multiLevelType w:val="hybridMultilevel"/>
    <w:lvl w:ilvl="0">
      <w:lvlJc w:val="left"/>
      <w:lvlText w:val="(%1)"/>
      <w:numFmt w:val="decimal"/>
      <w:start w:val="1"/>
    </w:lvl>
  </w:abstractNum>
  <w:abstractNum w:abstractNumId="130">
    <w:nsid w:val="F856867"/>
    <w:multiLevelType w:val="hybridMultilevel"/>
    <w:lvl w:ilvl="0">
      <w:lvlJc w:val="left"/>
      <w:lvlText w:val="%1."/>
      <w:numFmt w:val="decimal"/>
      <w:start w:val="4"/>
    </w:lvl>
  </w:abstractNum>
  <w:abstractNum w:abstractNumId="131">
    <w:nsid w:val="11B1CC33"/>
    <w:multiLevelType w:val="hybridMultilevel"/>
    <w:lvl w:ilvl="0">
      <w:lvlJc w:val="left"/>
      <w:lvlText w:val="*"/>
      <w:numFmt w:val="bullet"/>
      <w:start w:val="1"/>
    </w:lvl>
  </w:abstractNum>
  <w:abstractNum w:abstractNumId="132">
    <w:nsid w:val="2E22FBB7"/>
    <w:multiLevelType w:val="hybridMultilevel"/>
    <w:lvl w:ilvl="0">
      <w:lvlJc w:val="left"/>
      <w:lvlText w:val="(%1)"/>
      <w:numFmt w:val="decimal"/>
      <w:start w:val="1"/>
    </w:lvl>
  </w:abstractNum>
  <w:abstractNum w:abstractNumId="133">
    <w:nsid w:val="29934699"/>
    <w:multiLevelType w:val="hybridMultilevel"/>
    <w:lvl w:ilvl="0">
      <w:lvlJc w:val="left"/>
      <w:lvlText w:val="$"/>
      <w:numFmt w:val="bullet"/>
      <w:start w:val="1"/>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1)"/>
      <w:numFmt w:val="decimal"/>
      <w:start w:val="1"/>
    </w:lvl>
  </w:abstractNum>
  <w:abstractNum w:abstractNumId="136">
    <w:nsid w:val="4FA0D2E3"/>
    <w:multiLevelType w:val="hybridMultilevel"/>
    <w:lvl w:ilvl="0">
      <w:lvlJc w:val="left"/>
      <w:lvlText w:val="(%1)"/>
      <w:numFmt w:val="decimal"/>
      <w:start w:val="1"/>
    </w:lvl>
  </w:abstractNum>
  <w:abstractNum w:abstractNumId="137">
    <w:nsid w:val="6B1D2C14"/>
    <w:multiLevelType w:val="hybridMultilevel"/>
    <w:lvl w:ilvl="0">
      <w:lvlJc w:val="left"/>
      <w:lvlText w:val="(%1)"/>
      <w:numFmt w:val="decimal"/>
      <w:start w:val="1"/>
    </w:lvl>
  </w:abstractNum>
  <w:abstractNum w:abstractNumId="138">
    <w:nsid w:val="68B867D3"/>
    <w:multiLevelType w:val="hybridMultilevel"/>
    <w:lvl w:ilvl="0">
      <w:lvlJc w:val="left"/>
      <w:lvlText w:val="%1."/>
      <w:numFmt w:val="decimal"/>
      <w:start w:val="10"/>
    </w:lvl>
  </w:abstractNum>
  <w:abstractNum w:abstractNumId="139">
    <w:nsid w:val="3F7F5DD9"/>
    <w:multiLevelType w:val="hybridMultilevel"/>
    <w:lvl w:ilvl="0">
      <w:lvlJc w:val="left"/>
      <w:lvlText w:val="(%1)"/>
      <w:numFmt w:val="decimal"/>
      <w:start w:val="1"/>
    </w:lvl>
  </w:abstractNum>
  <w:abstractNum w:abstractNumId="140">
    <w:nsid w:val="2AE05A34"/>
    <w:multiLevelType w:val="hybridMultilevel"/>
    <w:lvl w:ilvl="0">
      <w:lvlJc w:val="left"/>
      <w:lvlText w:val="%1."/>
      <w:numFmt w:val="decimal"/>
      <w:start w:val="12"/>
    </w:lvl>
  </w:abstractNum>
  <w:abstractNum w:abstractNumId="141">
    <w:nsid w:val="32794FF7"/>
    <w:multiLevelType w:val="hybridMultilevel"/>
    <w:lvl w:ilvl="0">
      <w:lvlJc w:val="left"/>
      <w:lvlText w:val="(%1)"/>
      <w:numFmt w:val="decimal"/>
      <w:start w:val="1"/>
    </w:lvl>
  </w:abstractNum>
  <w:abstractNum w:abstractNumId="142">
    <w:nsid w:val="5454945E"/>
    <w:multiLevelType w:val="hybridMultilevel"/>
    <w:lvl w:ilvl="0">
      <w:lvlJc w:val="left"/>
      <w:lvlText w:val="%1."/>
      <w:numFmt w:val="decimal"/>
      <w:start w:val="12"/>
    </w:lvl>
  </w:abstractNum>
  <w:abstractNum w:abstractNumId="143">
    <w:nsid w:val="4DEFDFA0"/>
    <w:multiLevelType w:val="hybridMultilevel"/>
    <w:lvl w:ilvl="0">
      <w:lvlJc w:val="left"/>
      <w:lvlText w:val="●"/>
      <w:numFmt w:val="bullet"/>
      <w:start w:val="1"/>
    </w:lvl>
  </w:abstractNum>
  <w:abstractNum w:abstractNumId="144">
    <w:nsid w:val="2123D5F2"/>
    <w:multiLevelType w:val="hybridMultilevel"/>
    <w:lvl w:ilvl="0">
      <w:lvlJc w:val="left"/>
      <w:lvlText w:val="%1."/>
      <w:numFmt w:val="decimal"/>
      <w:start w:val="15"/>
    </w:lvl>
    <w:lvl w:ilvl="1">
      <w:lvlJc w:val="left"/>
      <w:lvlText w:val="●"/>
      <w:numFmt w:val="bullet"/>
      <w:start w:val="1"/>
    </w:lvl>
  </w:abstractNum>
  <w:abstractNum w:abstractNumId="145">
    <w:nsid w:val="135B8110"/>
    <w:multiLevelType w:val="hybridMultilevel"/>
    <w:lvl w:ilvl="0">
      <w:lvlJc w:val="left"/>
      <w:lvlText w:val="(%1)"/>
      <w:numFmt w:val="decimal"/>
      <w:start w:val="1"/>
    </w:lvl>
  </w:abstractNum>
  <w:abstractNum w:abstractNumId="146">
    <w:nsid w:val="94927A8"/>
    <w:multiLevelType w:val="hybridMultilevel"/>
    <w:lvl w:ilvl="0">
      <w:lvlJc w:val="left"/>
      <w:lvlText w:val="(%1)"/>
      <w:numFmt w:val="decimal"/>
      <w:start w:val="1"/>
    </w:lvl>
  </w:abstractNum>
  <w:abstractNum w:abstractNumId="147">
    <w:nsid w:val="DCDF8F6"/>
    <w:multiLevelType w:val="hybridMultilevel"/>
    <w:lvl w:ilvl="0">
      <w:lvlJc w:val="left"/>
      <w:lvlText w:val="(%1)"/>
      <w:numFmt w:val="decimal"/>
      <w:start w:val="1"/>
    </w:lvl>
  </w:abstractNum>
  <w:abstractNum w:abstractNumId="148">
    <w:nsid w:val="52D7B105"/>
    <w:multiLevelType w:val="hybridMultilevel"/>
    <w:lvl w:ilvl="0">
      <w:lvlJc w:val="left"/>
      <w:lvlText w:val="(%1)"/>
      <w:numFmt w:val="decimal"/>
      <w:start w:val="1"/>
    </w:lvl>
  </w:abstractNum>
  <w:abstractNum w:abstractNumId="149">
    <w:nsid w:val="2E8A6394"/>
    <w:multiLevelType w:val="hybridMultilevel"/>
    <w:lvl w:ilvl="0">
      <w:lvlJc w:val="left"/>
      <w:lvlText w:val="●"/>
      <w:numFmt w:val="bullet"/>
      <w:start w:val="1"/>
    </w:lvl>
  </w:abstractNum>
  <w:abstractNum w:abstractNumId="150">
    <w:nsid w:val="24E60401"/>
    <w:multiLevelType w:val="hybridMultilevel"/>
    <w:lvl w:ilvl="0">
      <w:lvlJc w:val="left"/>
      <w:lvlText w:val="%1."/>
      <w:numFmt w:val="decimal"/>
      <w:start w:val="17"/>
    </w:lvl>
  </w:abstractNum>
  <w:abstractNum w:abstractNumId="151">
    <w:nsid w:val="2A6AD9BE"/>
    <w:multiLevelType w:val="hybridMultilevel"/>
    <w:lvl w:ilvl="0">
      <w:lvlJc w:val="left"/>
      <w:lvlText w:val="●"/>
      <w:numFmt w:val="bullet"/>
      <w:start w:val="1"/>
    </w:lvl>
  </w:abstractNum>
  <w:abstractNum w:abstractNumId="152">
    <w:nsid w:val="BAAC1B4"/>
    <w:multiLevelType w:val="hybridMultilevel"/>
    <w:lvl w:ilvl="0">
      <w:lvlJc w:val="left"/>
      <w:lvlText w:val="(%1)"/>
      <w:numFmt w:val="decimal"/>
      <w:start w:val="1"/>
    </w:lvl>
  </w:abstractNum>
  <w:abstractNum w:abstractNumId="153">
    <w:nsid w:val="36B2ACBC"/>
    <w:multiLevelType w:val="hybridMultilevel"/>
    <w:lvl w:ilvl="0">
      <w:lvlJc w:val="left"/>
      <w:lvlText w:val="%1."/>
      <w:numFmt w:val="decimal"/>
      <w:start w:val="1"/>
    </w:lvl>
  </w:abstractNum>
  <w:abstractNum w:abstractNumId="154">
    <w:nsid w:val="779D8544"/>
    <w:multiLevelType w:val="hybridMultilevel"/>
    <w:lvl w:ilvl="0">
      <w:lvlJc w:val="left"/>
      <w:lvlText w:val="(%1)"/>
      <w:numFmt w:val="decimal"/>
      <w:start w:val="1"/>
    </w:lvl>
  </w:abstractNum>
  <w:abstractNum w:abstractNumId="155">
    <w:nsid w:val="4AB26E78"/>
    <w:multiLevelType w:val="hybridMultilevel"/>
    <w:lvl w:ilvl="0">
      <w:lvlJc w:val="left"/>
      <w:lvlText w:val="●"/>
      <w:numFmt w:val="bullet"/>
      <w:start w:val="1"/>
    </w:lvl>
  </w:abstractNum>
  <w:abstractNum w:abstractNumId="156">
    <w:nsid w:val="21FAA2FA"/>
    <w:multiLevelType w:val="hybridMultilevel"/>
    <w:lvl w:ilvl="0">
      <w:lvlJc w:val="left"/>
      <w:lvlText w:val="$"/>
      <w:numFmt w:val="bullet"/>
      <w:start w:val="1"/>
    </w:lvl>
  </w:abstractNum>
  <w:abstractNum w:abstractNumId="157">
    <w:nsid w:val="5451CF49"/>
    <w:multiLevelType w:val="hybridMultilevel"/>
    <w:lvl w:ilvl="0">
      <w:lvlJc w:val="left"/>
      <w:lvlText w:val="$"/>
      <w:numFmt w:val="bullet"/>
      <w:start w:val="1"/>
    </w:lvl>
  </w:abstractNum>
  <w:abstractNum w:abstractNumId="158">
    <w:nsid w:val="6181EF69"/>
    <w:multiLevelType w:val="hybridMultilevel"/>
    <w:lvl w:ilvl="0">
      <w:lvlJc w:val="left"/>
      <w:lvlText w:val="$"/>
      <w:numFmt w:val="bullet"/>
      <w:start w:val="1"/>
    </w:lvl>
  </w:abstractNum>
  <w:abstractNum w:abstractNumId="159">
    <w:nsid w:val="3E6400E6"/>
    <w:multiLevelType w:val="hybridMultilevel"/>
    <w:lvl w:ilvl="0">
      <w:lvlJc w:val="left"/>
      <w:lvlText w:val="$"/>
      <w:numFmt w:val="bullet"/>
      <w:start w:val="1"/>
    </w:lvl>
  </w:abstractNum>
  <w:abstractNum w:abstractNumId="160">
    <w:nsid w:val="14217E23"/>
    <w:multiLevelType w:val="hybridMultilevel"/>
    <w:lvl w:ilvl="0">
      <w:lvlJc w:val="left"/>
      <w:lvlText w:val="%1."/>
      <w:numFmt w:val="decimal"/>
      <w:start w:val="1"/>
    </w:lvl>
  </w:abstractNum>
  <w:abstractNum w:abstractNumId="161">
    <w:nsid w:val="710757D0"/>
    <w:multiLevelType w:val="hybridMultilevel"/>
    <w:lvl w:ilvl="0">
      <w:lvlJc w:val="left"/>
      <w:lvlText w:val="%1."/>
      <w:numFmt w:val="decimal"/>
      <w:start w:val="2"/>
    </w:lvl>
  </w:abstractNum>
  <w:abstractNum w:abstractNumId="162">
    <w:nsid w:val="5015CD1A"/>
    <w:multiLevelType w:val="hybridMultilevel"/>
    <w:lvl w:ilvl="0">
      <w:lvlJc w:val="left"/>
      <w:lvlText w:val="%1."/>
      <w:numFmt w:val="decimal"/>
      <w:start w:val="2"/>
    </w:lvl>
  </w:abstractNum>
  <w:abstractNum w:abstractNumId="163">
    <w:nsid w:val="424479DA"/>
    <w:multiLevelType w:val="hybridMultilevel"/>
    <w:lvl w:ilvl="0">
      <w:lvlJc w:val="left"/>
      <w:lvlText w:val="%1."/>
      <w:numFmt w:val="decimal"/>
      <w:start w:val="2"/>
    </w:lvl>
  </w:abstractNum>
  <w:abstractNum w:abstractNumId="164">
    <w:nsid w:val="1A9A9E69"/>
    <w:multiLevelType w:val="hybridMultilevel"/>
    <w:lvl w:ilvl="0">
      <w:lvlJc w:val="left"/>
      <w:lvlText w:val="%1."/>
      <w:numFmt w:val="decimal"/>
      <w:start w:val="2"/>
    </w:lvl>
  </w:abstractNum>
  <w:abstractNum w:abstractNumId="165">
    <w:nsid w:val="475E256A"/>
    <w:multiLevelType w:val="hybridMultilevel"/>
    <w:lvl w:ilvl="0">
      <w:lvlJc w:val="left"/>
      <w:lvlText w:val="%1."/>
      <w:numFmt w:val="decimal"/>
      <w:start w:val="3"/>
    </w:lvl>
  </w:abstractNum>
  <w:abstractNum w:abstractNumId="166">
    <w:nsid w:val="368DB37E"/>
    <w:multiLevelType w:val="hybridMultilevel"/>
    <w:lvl w:ilvl="0">
      <w:lvlJc w:val="left"/>
      <w:lvlText w:val="%1."/>
      <w:numFmt w:val="decimal"/>
      <w:start w:val="3"/>
    </w:lvl>
  </w:abstractNum>
  <w:abstractNum w:abstractNumId="167">
    <w:nsid w:val="6A3B714C"/>
    <w:multiLevelType w:val="hybridMultilevel"/>
    <w:lvl w:ilvl="0">
      <w:lvlJc w:val="left"/>
      <w:lvlText w:val="%1."/>
      <w:numFmt w:val="decimal"/>
      <w:start w:val="4"/>
    </w:lvl>
  </w:abstractNum>
  <w:abstractNum w:abstractNumId="168">
    <w:nsid w:val="327B517E"/>
    <w:multiLevelType w:val="hybridMultilevel"/>
    <w:lvl w:ilvl="0">
      <w:lvlJc w:val="left"/>
      <w:lvlText w:val="$"/>
      <w:numFmt w:val="bullet"/>
      <w:start w:val="1"/>
    </w:lvl>
  </w:abstractNum>
  <w:abstractNum w:abstractNumId="169">
    <w:nsid w:val="1F461B51"/>
    <w:multiLevelType w:val="hybridMultilevel"/>
    <w:lvl w:ilvl="0">
      <w:lvlJc w:val="left"/>
      <w:lvlText w:val="$"/>
      <w:numFmt w:val="bullet"/>
      <w:start w:val="1"/>
    </w:lvl>
  </w:abstractNum>
  <w:abstractNum w:abstractNumId="170">
    <w:nsid w:val="29BACF25"/>
    <w:multiLevelType w:val="hybridMultilevel"/>
    <w:lvl w:ilvl="0">
      <w:lvlJc w:val="left"/>
      <w:lvlText w:val="%1."/>
      <w:numFmt w:val="decimal"/>
      <w:start w:val="4"/>
    </w:lvl>
  </w:abstractNum>
  <w:abstractNum w:abstractNumId="171">
    <w:nsid w:val="5D5BABB3"/>
    <w:multiLevelType w:val="hybridMultilevel"/>
    <w:lvl w:ilvl="0">
      <w:lvlJc w:val="left"/>
      <w:lvlText w:val="%1."/>
      <w:numFmt w:val="decimal"/>
      <w:start w:val="5"/>
    </w:lvl>
  </w:abstractNum>
  <w:abstractNum w:abstractNumId="172">
    <w:nsid w:val="51BF6B48"/>
    <w:multiLevelType w:val="hybridMultilevel"/>
    <w:lvl w:ilvl="0">
      <w:lvlJc w:val="left"/>
      <w:lvlText w:val="%1."/>
      <w:numFmt w:val="decimal"/>
      <w:start w:val="6"/>
    </w:lvl>
  </w:abstractNum>
  <w:abstractNum w:abstractNumId="173">
    <w:nsid w:val="7E0F6384"/>
    <w:multiLevelType w:val="hybridMultilevel"/>
    <w:lvl w:ilvl="0">
      <w:lvlJc w:val="left"/>
      <w:lvlText w:val="%1."/>
      <w:numFmt w:val="decimal"/>
      <w:start w:val="7"/>
    </w:lvl>
  </w:abstractNum>
  <w:abstractNum w:abstractNumId="174">
    <w:nsid w:val="2B4B8B53"/>
    <w:multiLevelType w:val="hybridMultilevel"/>
    <w:lvl w:ilvl="0">
      <w:lvlJc w:val="left"/>
      <w:lvlText w:val="%1."/>
      <w:numFmt w:val="decimal"/>
      <w:start w:val="1"/>
    </w:lvl>
  </w:abstractNum>
  <w:abstractNum w:abstractNumId="175">
    <w:nsid w:val="72E3413A"/>
    <w:multiLevelType w:val="hybridMultilevel"/>
    <w:lvl w:ilvl="0">
      <w:lvlJc w:val="left"/>
      <w:lvlText w:val="%1."/>
      <w:numFmt w:val="decimal"/>
      <w:start w:val="2"/>
    </w:lvl>
  </w:abstractNum>
  <w:abstractNum w:abstractNumId="176">
    <w:nsid w:val="116AE494"/>
    <w:multiLevelType w:val="hybridMultilevel"/>
    <w:lvl w:ilvl="0">
      <w:lvlJc w:val="left"/>
      <w:lvlText w:val="%1."/>
      <w:numFmt w:val="decimal"/>
      <w:start w:val="2"/>
    </w:lvl>
  </w:abstractNum>
  <w:abstractNum w:abstractNumId="177">
    <w:nsid w:val="3494B2FB"/>
    <w:multiLevelType w:val="hybridMultilevel"/>
    <w:lvl w:ilvl="0">
      <w:lvlJc w:val="left"/>
      <w:lvlText w:val="%1."/>
      <w:numFmt w:val="decimal"/>
      <w:start w:val="2"/>
    </w:lvl>
  </w:abstractNum>
  <w:abstractNum w:abstractNumId="178">
    <w:nsid w:val="B13A31"/>
    <w:multiLevelType w:val="hybridMultilevel"/>
    <w:lvl w:ilvl="0">
      <w:lvlJc w:val="left"/>
      <w:lvlText w:val="%1."/>
      <w:numFmt w:val="decimal"/>
      <w:start w:val="2"/>
    </w:lvl>
  </w:abstractNum>
  <w:abstractNum w:abstractNumId="179">
    <w:nsid w:val="64429599"/>
    <w:multiLevelType w:val="hybridMultilevel"/>
    <w:lvl w:ilvl="0">
      <w:lvlJc w:val="left"/>
      <w:lvlText w:val="%1."/>
      <w:numFmt w:val="decimal"/>
      <w:start w:val="3"/>
    </w:lvl>
  </w:abstractNum>
  <w:abstractNum w:abstractNumId="180">
    <w:nsid w:val="631F1690"/>
    <w:multiLevelType w:val="hybridMultilevel"/>
    <w:lvl w:ilvl="0">
      <w:lvlJc w:val="left"/>
      <w:lvlText w:val="%1."/>
      <w:numFmt w:val="decimal"/>
      <w:start w:val="3"/>
    </w:lvl>
  </w:abstractNum>
  <w:abstractNum w:abstractNumId="181">
    <w:nsid w:val="25973E32"/>
    <w:multiLevelType w:val="hybridMultilevel"/>
    <w:lvl w:ilvl="0">
      <w:lvlJc w:val="left"/>
      <w:lvlText w:val="%1."/>
      <w:numFmt w:val="decimal"/>
      <w:start w:val="4"/>
    </w:lvl>
  </w:abstractNum>
  <w:abstractNum w:abstractNumId="182">
    <w:nsid w:val="EAD6F57"/>
    <w:multiLevelType w:val="hybridMultilevel"/>
    <w:lvl w:ilvl="0">
      <w:lvlJc w:val="left"/>
      <w:lvlText w:val="%1."/>
      <w:numFmt w:val="decimal"/>
      <w:start w:val="4"/>
    </w:lvl>
  </w:abstractNum>
  <w:abstractNum w:abstractNumId="183">
    <w:nsid w:val="6EC9D844"/>
    <w:multiLevelType w:val="hybridMultilevel"/>
    <w:lvl w:ilvl="0">
      <w:lvlJc w:val="left"/>
      <w:lvlText w:val="%1."/>
      <w:numFmt w:val="decimal"/>
      <w:start w:val="5"/>
    </w:lvl>
  </w:abstractNum>
  <w:abstractNum w:abstractNumId="184">
    <w:nsid w:val="5C49EAEE"/>
    <w:multiLevelType w:val="hybridMultilevel"/>
    <w:lvl w:ilvl="0">
      <w:lvlJc w:val="left"/>
      <w:lvlText w:val="%1."/>
      <w:numFmt w:val="decimal"/>
      <w:start w:val="6"/>
    </w:lvl>
  </w:abstractNum>
  <w:abstractNum w:abstractNumId="185">
    <w:nsid w:val="64AF49B"/>
    <w:multiLevelType w:val="hybridMultilevel"/>
    <w:lvl w:ilvl="0">
      <w:lvlJc w:val="left"/>
      <w:lvlText w:val="%1."/>
      <w:numFmt w:val="decimal"/>
      <w:start w:val="7"/>
    </w:lvl>
  </w:abstractNum>
  <w:abstractNum w:abstractNumId="186">
    <w:nsid w:val="397C46BC"/>
    <w:multiLevelType w:val="hybridMultilevel"/>
    <w:lvl w:ilvl="0">
      <w:lvlJc w:val="left"/>
      <w:lvlText w:val="%1."/>
      <w:numFmt w:val="decimal"/>
      <w:start w:val="8"/>
    </w:lvl>
  </w:abstractNum>
  <w:abstractNum w:abstractNumId="187">
    <w:nsid w:val="7E448DE9"/>
    <w:multiLevelType w:val="hybridMultilevel"/>
    <w:lvl w:ilvl="0">
      <w:lvlJc w:val="left"/>
      <w:lvlText w:val="%1."/>
      <w:numFmt w:val="decimal"/>
      <w:start w:val="9"/>
    </w:lvl>
  </w:abstractNum>
  <w:abstractNum w:abstractNumId="188">
    <w:nsid w:val="5A9CC3E5"/>
    <w:multiLevelType w:val="hybridMultilevel"/>
    <w:lvl w:ilvl="0">
      <w:lvlJc w:val="left"/>
      <w:lvlText w:val="*"/>
      <w:numFmt w:val="bullet"/>
      <w:start w:val="1"/>
    </w:lvl>
  </w:abstractNum>
  <w:abstractNum w:abstractNumId="189">
    <w:nsid w:val="1AFE3625"/>
    <w:multiLevelType w:val="hybridMultilevel"/>
    <w:lvl w:ilvl="0">
      <w:lvlJc w:val="left"/>
      <w:lvlText w:val="*"/>
      <w:numFmt w:val="bullet"/>
      <w:start w:val="1"/>
    </w:lvl>
    <w:lvl w:ilvl="1">
      <w:lvlJc w:val="left"/>
      <w:lvlText w:val="%2"/>
      <w:numFmt w:val="decimal"/>
      <w:start w:val="104"/>
    </w:lvl>
  </w:abstractNum>
  <w:abstractNum w:abstractNumId="190">
    <w:nsid w:val="3CA88ECF"/>
    <w:multiLevelType w:val="hybridMultilevel"/>
    <w:lvl w:ilvl="0">
      <w:lvlJc w:val="left"/>
      <w:lvlText w:val="**"/>
      <w:numFmt w:val="bullet"/>
      <w:start w:val="1"/>
    </w:lvl>
    <w:lvl w:ilvl="1">
      <w:lvlJc w:val="left"/>
      <w:lvlText w:val="%2"/>
      <w:numFmt w:val="decimal"/>
      <w:start w:val="1"/>
    </w:lvl>
  </w:abstractNum>
  <w:abstractNum w:abstractNumId="191">
    <w:nsid w:val="6EBE4208"/>
    <w:multiLevelType w:val="hybridMultilevel"/>
    <w:lvl w:ilvl="0">
      <w:lvlJc w:val="left"/>
      <w:lvlText w:val="†"/>
      <w:numFmt w:val="bullet"/>
      <w:start w:val="1"/>
    </w:lvl>
  </w:abstractNum>
  <w:abstractNum w:abstractNumId="192">
    <w:nsid w:val="C058DF5"/>
    <w:multiLevelType w:val="hybridMultilevel"/>
    <w:lvl w:ilvl="0">
      <w:lvlJc w:val="left"/>
      <w:lvlText w:val="#"/>
      <w:numFmt w:val="bullet"/>
      <w:start w:val="1"/>
    </w:lvl>
    <w:lvl w:ilvl="1">
      <w:lvlJc w:val="left"/>
      <w:lvlText w:val="(%2)"/>
      <w:numFmt w:val="lowerLetter"/>
      <w:start w:val="2"/>
    </w:lvl>
  </w:abstractNum>
  <w:abstractNum w:abstractNumId="193">
    <w:nsid w:val="CBE5BE9"/>
    <w:multiLevelType w:val="hybridMultilevel"/>
    <w:lvl w:ilvl="0">
      <w:lvlJc w:val="left"/>
      <w:lvlText w:val="(%1)"/>
      <w:numFmt w:val="decimal"/>
      <w:start w:val="1"/>
    </w:lvl>
    <w:lvl w:ilvl="1">
      <w:lvlJc w:val="left"/>
      <w:lvlText w:val="(%2)"/>
      <w:numFmt w:val="lowerRoman"/>
      <w:start w:val="3"/>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397" Type="http://schemas.openxmlformats.org/officeDocument/2006/relationships/hyperlink" Target="http://www.sec.gov/Archives/edgar/data/1842279/000119312521347023/d270539dex21.htm" TargetMode="External"/><Relationship Id="rId398" Type="http://schemas.openxmlformats.org/officeDocument/2006/relationships/hyperlink" Target="http://www.sec.gov/Archives/edgar/data/1842279/000121390022046525/ea164040ex3-1_opalfuelsinc.htm" TargetMode="External"/><Relationship Id="rId399" Type="http://schemas.openxmlformats.org/officeDocument/2006/relationships/hyperlink" Target="http://www.sec.gov/Archives/edgar/data/1842279/000121390022042020/ea163248ex3-2_opal.htm" TargetMode="External"/><Relationship Id="rId400" Type="http://schemas.openxmlformats.org/officeDocument/2006/relationships/hyperlink" Target="http://www.sec.gov/Archives/edgar/data/1842279/000119312521073580/d118209dex43.htm" TargetMode="External"/><Relationship Id="rId401" Type="http://schemas.openxmlformats.org/officeDocument/2006/relationships/hyperlink" Target="http://www.sec.gov/Archives/edgar/data/1842279/000119312521096722/d167128dex41.htm" TargetMode="External"/><Relationship Id="rId402" Type="http://schemas.openxmlformats.org/officeDocument/2006/relationships/hyperlink" Target="http://www.sec.gov/Archives/edgar/data/1842279/000121390022046525/ea164040ex5-1_opalfuelsinc.htm" TargetMode="External"/><Relationship Id="rId403" Type="http://schemas.openxmlformats.org/officeDocument/2006/relationships/hyperlink" Target="http://www.sec.gov/Archives/edgar/data/1842279/000121390022024612/fs42022a3ex10-1_arclight2.htm" TargetMode="External"/><Relationship Id="rId404" Type="http://schemas.openxmlformats.org/officeDocument/2006/relationships/hyperlink" Target="http://www.sec.gov/Archives/edgar/data/1842279/000121390022042020/ea163248ex10-2_opal.htm" TargetMode="External"/><Relationship Id="rId405" Type="http://schemas.openxmlformats.org/officeDocument/2006/relationships/hyperlink" Target="http://www.sec.gov/Archives/edgar/data/1842279/000119312521096722/d167128dex104.htm" TargetMode="External"/><Relationship Id="rId406" Type="http://schemas.openxmlformats.org/officeDocument/2006/relationships/hyperlink" Target="http://www.sec.gov/Archives/edgar/data/1842279/000119312521347023/d270539dex102.htm" TargetMode="External"/><Relationship Id="rId407" Type="http://schemas.openxmlformats.org/officeDocument/2006/relationships/hyperlink" Target="http://www.sec.gov/Archives/edgar/data/1842279/000119312521347023/d270539dex101.htm" TargetMode="External"/><Relationship Id="rId408" Type="http://schemas.openxmlformats.org/officeDocument/2006/relationships/hyperlink" Target="http://www.sec.gov/Archives/edgar/data/1842279/000121390022025716/ea159809ex10-1_arclight2.htm" TargetMode="External"/><Relationship Id="rId409" Type="http://schemas.openxmlformats.org/officeDocument/2006/relationships/hyperlink" Target="http://www.sec.gov/Archives/edgar/data/1842279/000121390022042020/ea163248ex10-6_opal.htm" TargetMode="External"/><Relationship Id="rId410" Type="http://schemas.openxmlformats.org/officeDocument/2006/relationships/hyperlink" Target="http://www.sec.gov/Archives/edgar/data/1842279/000121390022042020/ea163248ex10-7_opal.htm" TargetMode="External"/><Relationship Id="rId411" Type="http://schemas.openxmlformats.org/officeDocument/2006/relationships/hyperlink" Target="http://www.sec.gov/Archives/edgar/data/1842279/000121390022042020/ea163248ex10-8_opal.htm" TargetMode="External"/><Relationship Id="rId412" Type="http://schemas.openxmlformats.org/officeDocument/2006/relationships/hyperlink" Target="http://www.sec.gov/Archives/edgar/data/1842279/000121390022015221/ea157420ex10-8_arclight2.htm" TargetMode="External"/><Relationship Id="rId413" Type="http://schemas.openxmlformats.org/officeDocument/2006/relationships/hyperlink" Target="http://www.sec.gov/Archives/edgar/data/1842279/000121390022015221/ea157420ex10-9_arclight2.htm" TargetMode="External"/><Relationship Id="rId414" Type="http://schemas.openxmlformats.org/officeDocument/2006/relationships/hyperlink" Target="http://www.sec.gov/Archives/edgar/data/1842279/000121390022015221/ea157420ex10-10_arclight2.htm" TargetMode="External"/><Relationship Id="rId415" Type="http://schemas.openxmlformats.org/officeDocument/2006/relationships/hyperlink" Target="http://www.sec.gov/Archives/edgar/data/1842279/000121390022015221/ea157420ex10-11_arclight2.htm" TargetMode="External"/><Relationship Id="rId416" Type="http://schemas.openxmlformats.org/officeDocument/2006/relationships/hyperlink" Target="http://www.sec.gov/Archives/edgar/data/1842279/000121390022015221/ea157420ex10-12_arclight2.htm" TargetMode="External"/><Relationship Id="rId417" Type="http://schemas.openxmlformats.org/officeDocument/2006/relationships/hyperlink" Target="http://www.sec.gov/Archives/edgar/data/1842279/000121390022015221/ea157420ex10-13_arclight2.htm" TargetMode="External"/><Relationship Id="rId418" Type="http://schemas.openxmlformats.org/officeDocument/2006/relationships/hyperlink" Target="http://www.sec.gov/Archives/edgar/data/1842279/000121390022042020/ea163248ex21-1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2022-09-20T16:38:00Z</dcterms:created>
  <dcterms:modified xsi:type="dcterms:W3CDTF">2022-09-20T16:38:00Z</dcterms:modified>
</cp:coreProperties>
</file>