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5991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991860"/>
                    </a:xfrm>
                    <a:prstGeom prst="rect">
                      <a:avLst/>
                    </a:prstGeom>
                    <a:noFill/>
                  </pic:spPr>
                </pic:pic>
              </a:graphicData>
            </a:graphic>
          </wp:anchor>
        </w:drawing>
      </w:r>
    </w:p>
    <w:p>
      <w:pPr>
        <w:spacing w:after="0" w:line="1089" w:lineRule="exact"/>
        <w:rPr>
          <w:sz w:val="24"/>
          <w:szCs w:val="24"/>
          <w:color w:val="auto"/>
        </w:rPr>
      </w:pPr>
    </w:p>
    <w:p>
      <w:pPr>
        <w:sectPr>
          <w:pgSz w:w="11900" w:h="16887"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Hasan Kazi</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AVENUE, SUITE 1450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OPAL Fuels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03/31/2026</w:t>
      </w:r>
    </w:p>
    <w:p>
      <w:pPr>
        <w:spacing w:after="0" w:line="20" w:lineRule="exact"/>
        <w:rPr>
          <w:sz w:val="24"/>
          <w:szCs w:val="24"/>
          <w:color w:val="auto"/>
        </w:rPr>
      </w:pPr>
      <w:r>
        <w:rPr>
          <w:sz w:val="24"/>
          <w:szCs w:val="24"/>
          <w:color w:val="auto"/>
        </w:rPr>
        <w:br w:type="column"/>
      </w:r>
    </w:p>
    <w:p>
      <w:pPr>
        <w:ind w:left="4" w:right="720" w:hanging="4"/>
        <w:spacing w:after="0" w:line="271"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24"/>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4" w:lineRule="exact"/>
        <w:rPr>
          <w:sz w:val="24"/>
          <w:szCs w:val="24"/>
          <w:color w:val="auto"/>
        </w:rPr>
      </w:pPr>
    </w:p>
    <w:p>
      <w:pPr>
        <w:sectPr>
          <w:pgSz w:w="11900" w:h="16887" w:orient="portrait"/>
          <w:cols w:equalWidth="0" w:num="3">
            <w:col w:w="3600" w:space="300"/>
            <w:col w:w="3116" w:space="720"/>
            <w:col w:w="3344"/>
          </w:cols>
          <w:pgMar w:left="460" w:top="214" w:right="359" w:bottom="0" w:gutter="0" w:footer="0" w:header="0"/>
          <w:type w:val="continuous"/>
        </w:sectPr>
      </w:pP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6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10601</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2"/>
          </w:tcPr>
          <w:p>
            <w:pPr>
              <w:jc w:val="right"/>
              <w:ind w:right="15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jc w:val="center"/>
              <w:ind w:left="612"/>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3"/>
              </w:rPr>
              <w:t>M</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6"/>
                <w:szCs w:val="16"/>
                <w:color w:val="0000FF"/>
              </w:rPr>
              <w:t>73,415</w:t>
            </w: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34"/>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73,415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40" w:type="dxa"/>
            <w:vAlign w:val="bottom"/>
            <w:tcBorders>
              <w:bottom w:val="single" w:sz="8" w:color="2C2C2C"/>
            </w:tcBorders>
          </w:tcPr>
          <w:p>
            <w:pPr>
              <w:jc w:val="center"/>
              <w:ind w:left="57"/>
              <w:spacing w:after="0"/>
              <w:rPr>
                <w:sz w:val="20"/>
                <w:szCs w:val="20"/>
                <w:color w:val="auto"/>
              </w:rPr>
            </w:pPr>
            <w:r>
              <w:rPr>
                <w:rFonts w:ascii="Times New Roman" w:cs="Times New Roman" w:eastAsia="Times New Roman" w:hAnsi="Times New Roman"/>
                <w:sz w:val="16"/>
                <w:szCs w:val="16"/>
                <w:color w:val="0000FF"/>
              </w:rPr>
              <w:t>26,466</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3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46,949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3"/>
              </w:rPr>
              <w:t>M</w:t>
            </w:r>
          </w:p>
        </w:tc>
        <w:tc>
          <w:tcPr>
            <w:tcW w:w="740" w:type="dxa"/>
            <w:vAlign w:val="bottom"/>
          </w:tcPr>
          <w:p>
            <w:pPr>
              <w:jc w:val="center"/>
              <w:ind w:left="57"/>
              <w:spacing w:after="0"/>
              <w:rPr>
                <w:sz w:val="20"/>
                <w:szCs w:val="20"/>
                <w:color w:val="auto"/>
              </w:rPr>
            </w:pPr>
            <w:r>
              <w:rPr>
                <w:rFonts w:ascii="Times New Roman" w:cs="Times New Roman" w:eastAsia="Times New Roman" w:hAnsi="Times New Roman"/>
                <w:sz w:val="16"/>
                <w:szCs w:val="16"/>
                <w:color w:val="0000FF"/>
              </w:rPr>
              <w:t>146,829</w:t>
            </w: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34"/>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193,778</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40" w:type="dxa"/>
            <w:vAlign w:val="bottom"/>
            <w:tcBorders>
              <w:bottom w:val="single" w:sz="8" w:color="2C2C2C"/>
            </w:tcBorders>
          </w:tcPr>
          <w:p>
            <w:pPr>
              <w:jc w:val="center"/>
              <w:ind w:left="57"/>
              <w:spacing w:after="0"/>
              <w:rPr>
                <w:sz w:val="20"/>
                <w:szCs w:val="20"/>
                <w:color w:val="auto"/>
              </w:rPr>
            </w:pPr>
            <w:r>
              <w:rPr>
                <w:rFonts w:ascii="Times New Roman" w:cs="Times New Roman" w:eastAsia="Times New Roman" w:hAnsi="Times New Roman"/>
                <w:sz w:val="16"/>
                <w:szCs w:val="16"/>
                <w:color w:val="0000FF"/>
              </w:rPr>
              <w:t>52,931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34"/>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140,847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39"/>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39"/>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680" w:type="dxa"/>
            <w:vAlign w:val="bottom"/>
          </w:tcPr>
          <w:p>
            <w:pPr>
              <w:jc w:val="right"/>
              <w:ind w:right="159"/>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jc w:val="right"/>
              <w:ind w:right="159"/>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73,415</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1060" w:type="dxa"/>
            <w:vAlign w:val="bottom"/>
          </w:tcPr>
          <w:p>
            <w:pPr>
              <w:spacing w:after="0"/>
              <w:rPr>
                <w:sz w:val="11"/>
                <w:szCs w:val="11"/>
                <w:color w:val="auto"/>
              </w:rPr>
            </w:pPr>
          </w:p>
        </w:tc>
        <w:tc>
          <w:tcPr>
            <w:tcW w:w="780" w:type="dxa"/>
            <w:vAlign w:val="bottom"/>
            <w:gridSpan w:val="2"/>
          </w:tcPr>
          <w:p>
            <w:pPr>
              <w:jc w:val="center"/>
              <w:ind w:right="318"/>
              <w:spacing w:after="0"/>
              <w:rPr>
                <w:sz w:val="20"/>
                <w:szCs w:val="20"/>
                <w:color w:val="auto"/>
              </w:rPr>
            </w:pPr>
            <w:r>
              <w:rPr>
                <w:rFonts w:ascii="Times New Roman" w:cs="Times New Roman" w:eastAsia="Times New Roman" w:hAnsi="Times New Roman"/>
                <w:sz w:val="12"/>
                <w:szCs w:val="12"/>
                <w:color w:val="0000FF"/>
              </w:rPr>
              <w:t>M</w:t>
            </w:r>
          </w:p>
        </w:tc>
        <w:tc>
          <w:tcPr>
            <w:tcW w:w="600" w:type="dxa"/>
            <w:vAlign w:val="bottom"/>
          </w:tcPr>
          <w:p>
            <w:pPr>
              <w:spacing w:after="0"/>
              <w:rPr>
                <w:sz w:val="11"/>
                <w:szCs w:val="11"/>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0000FF"/>
              </w:rPr>
              <w:t>73,415</w:t>
            </w: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common</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3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146,828</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146,829</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1060" w:type="dxa"/>
            <w:vAlign w:val="bottom"/>
          </w:tcPr>
          <w:p>
            <w:pPr>
              <w:spacing w:after="0"/>
              <w:rPr>
                <w:sz w:val="11"/>
                <w:szCs w:val="11"/>
                <w:color w:val="auto"/>
              </w:rPr>
            </w:pPr>
          </w:p>
        </w:tc>
        <w:tc>
          <w:tcPr>
            <w:tcW w:w="780" w:type="dxa"/>
            <w:vAlign w:val="bottom"/>
            <w:gridSpan w:val="2"/>
          </w:tcPr>
          <w:p>
            <w:pPr>
              <w:jc w:val="center"/>
              <w:ind w:right="318"/>
              <w:spacing w:after="0"/>
              <w:rPr>
                <w:sz w:val="20"/>
                <w:szCs w:val="20"/>
                <w:color w:val="auto"/>
              </w:rPr>
            </w:pPr>
            <w:r>
              <w:rPr>
                <w:rFonts w:ascii="Times New Roman" w:cs="Times New Roman" w:eastAsia="Times New Roman" w:hAnsi="Times New Roman"/>
                <w:sz w:val="12"/>
                <w:szCs w:val="12"/>
                <w:color w:val="0000FF"/>
              </w:rPr>
              <w:t>M</w:t>
            </w:r>
          </w:p>
        </w:tc>
        <w:tc>
          <w:tcPr>
            <w:tcW w:w="600" w:type="dxa"/>
            <w:vAlign w:val="bottom"/>
          </w:tcPr>
          <w:p>
            <w:pPr>
              <w:spacing w:after="0"/>
              <w:rPr>
                <w:sz w:val="11"/>
                <w:szCs w:val="11"/>
                <w:color w:val="auto"/>
              </w:rPr>
            </w:pP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0000FF"/>
                <w:w w:val="97"/>
              </w:rPr>
              <w:t>146,829</w:t>
            </w: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common</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3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146,828</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182,579</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1060" w:type="dxa"/>
            <w:vAlign w:val="bottom"/>
          </w:tcPr>
          <w:p>
            <w:pPr>
              <w:spacing w:after="0"/>
              <w:rPr>
                <w:sz w:val="11"/>
                <w:szCs w:val="11"/>
                <w:color w:val="auto"/>
              </w:rPr>
            </w:pPr>
          </w:p>
        </w:tc>
        <w:tc>
          <w:tcPr>
            <w:tcW w:w="780" w:type="dxa"/>
            <w:vAlign w:val="bottom"/>
            <w:gridSpan w:val="2"/>
          </w:tcPr>
          <w:p>
            <w:pPr>
              <w:jc w:val="center"/>
              <w:ind w:right="318"/>
              <w:spacing w:after="0"/>
              <w:rPr>
                <w:sz w:val="20"/>
                <w:szCs w:val="20"/>
                <w:color w:val="auto"/>
              </w:rPr>
            </w:pPr>
            <w:r>
              <w:rPr>
                <w:rFonts w:ascii="Times New Roman" w:cs="Times New Roman" w:eastAsia="Times New Roman" w:hAnsi="Times New Roman"/>
                <w:sz w:val="12"/>
                <w:szCs w:val="12"/>
                <w:color w:val="0000FF"/>
                <w:w w:val="91"/>
              </w:rPr>
              <w:t>A</w:t>
            </w:r>
          </w:p>
        </w:tc>
        <w:tc>
          <w:tcPr>
            <w:tcW w:w="6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182,579</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common</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3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182,579</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gridSpan w:val="2"/>
            <w:vMerge w:val="restart"/>
          </w:tcPr>
          <w:p>
            <w:pPr>
              <w:jc w:val="center"/>
              <w:ind w:right="318"/>
              <w:spacing w:after="0" w:line="200" w:lineRule="exact"/>
              <w:rPr>
                <w:sz w:val="20"/>
                <w:szCs w:val="20"/>
                <w:color w:val="auto"/>
              </w:rPr>
            </w:pPr>
            <w:r>
              <w:rPr>
                <w:rFonts w:ascii="Times New Roman" w:cs="Times New Roman" w:eastAsia="Times New Roman" w:hAnsi="Times New Roman"/>
                <w:sz w:val="23"/>
                <w:szCs w:val="23"/>
                <w:color w:val="0000FF"/>
                <w:w w:val="87"/>
                <w:vertAlign w:val="subscript"/>
              </w:rPr>
              <w:t>A</w:t>
            </w:r>
            <w:r>
              <w:rPr>
                <w:rFonts w:ascii="Times New Roman" w:cs="Times New Roman" w:eastAsia="Times New Roman" w:hAnsi="Times New Roman"/>
                <w:sz w:val="10"/>
                <w:szCs w:val="10"/>
                <w:color w:val="008000"/>
                <w:w w:val="87"/>
              </w:rPr>
              <w:t>(6)</w:t>
            </w: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(7)(8)(9)(10)</w:t>
            </w: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101,988</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10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101,988</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03/31/2036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jc w:val="center"/>
              <w:ind w:right="3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101,988</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-2737485</wp:posOffset>
            </wp:positionV>
            <wp:extent cx="28575" cy="2743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4320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32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ind w:left="40" w:right="20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shares held by the Company to satisfy tax withholding requirements on vesting of restricted stock units. The total value of securities withheld was based on a price of $2.52 per share, the closing price of Class A common stock on March 31, 2026.</w:t>
      </w:r>
    </w:p>
    <w:p>
      <w:pPr>
        <w:ind w:left="40" w:right="26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220,243 RSUs pursuant to the Plan. RSUs were scheduled to vest in three (3) equal installments on each of the following dates: (i) March 31, 2026, (ii) March 31, 2027, and (iii) March 31, 2028, provided that the Reporting Person continues to provide services to the Issuer through the applicable vesting date. Each restricted stock unit represents the right to receive, at settlement, one share of Class A common stock.</w:t>
      </w:r>
    </w:p>
    <w:p>
      <w:pPr>
        <w:spacing w:after="0" w:line="13" w:lineRule="exact"/>
        <w:rPr>
          <w:rFonts w:ascii="Times New Roman" w:cs="Times New Roman" w:eastAsia="Times New Roman" w:hAnsi="Times New Roman"/>
          <w:sz w:val="12"/>
          <w:szCs w:val="12"/>
          <w:color w:val="008000"/>
        </w:rPr>
      </w:pPr>
    </w:p>
    <w:p>
      <w:pPr>
        <w:ind w:left="40" w:right="34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293,657 RSUs pursuant to the Plan. RSUs were scheduled to vest in two (2) equal installments on each of the following dates: (i) March 31, 2026 and (ii) March 31, 2027, provided that the Reporting Person continues to provide services to the Issuer through the applicable vesting date. Each restricted stock unit represents the right to receive, at settlement, one share of Class A common stock.</w:t>
      </w:r>
    </w:p>
    <w:p>
      <w:pPr>
        <w:spacing w:after="0" w:line="13" w:lineRule="exact"/>
        <w:rPr>
          <w:rFonts w:ascii="Times New Roman" w:cs="Times New Roman" w:eastAsia="Times New Roman" w:hAnsi="Times New Roman"/>
          <w:sz w:val="12"/>
          <w:szCs w:val="12"/>
          <w:color w:val="008000"/>
        </w:rPr>
      </w:pPr>
    </w:p>
    <w:p>
      <w:pPr>
        <w:ind w:left="40" w:right="16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2026, the Reporting Person was granted 182,975 RSUs pursuant to the Plan. RSUs are scheduled to vest in three (3) equal installments on each of the following dates: (i) March 31, 2027, (ii) March 31, 2028, and (iii) March 31, 2029, provided that the Reporting Person continues to provide services to the Issuer through the applicable vesting date. Each restricted stock unit represents the right to receive, at settlement, one share of Class A common stock.</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Granted pursuant to the Issuer's 2022 Omnibus Equity Incentive Plan (the "Plan").</w:t>
      </w:r>
    </w:p>
    <w:p>
      <w:pPr>
        <w:spacing w:after="0" w:line="49" w:lineRule="exact"/>
        <w:rPr>
          <w:rFonts w:ascii="Times New Roman" w:cs="Times New Roman" w:eastAsia="Times New Roman" w:hAnsi="Times New Roman"/>
          <w:sz w:val="12"/>
          <w:szCs w:val="12"/>
          <w:color w:val="008000"/>
        </w:rPr>
      </w:pPr>
    </w:p>
    <w:p>
      <w:pPr>
        <w:jc w:val="both"/>
        <w:ind w:left="40" w:right="48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an option to purchase shares of the Issuer's Class A common stock (the "Option") at an exercise price of $2.52 per share, which was the volume weighted average price of the Issuer's Class A common stock for the five days immediately preceding March 31, 2026, as quoted on the Nasdaq Stock Market. The Option vests in three (3) equal installments on each of the following dates: (i) March 31, 2027, (ii) March 31, 2028, and (iii) March 31, 2029, provided, that the Reporting Person continues to provide services to the Issuer through the applicable vesting date.</w:t>
      </w:r>
    </w:p>
    <w:p>
      <w:pPr>
        <w:spacing w:after="0" w:line="13" w:lineRule="exact"/>
        <w:rPr>
          <w:rFonts w:ascii="Times New Roman" w:cs="Times New Roman" w:eastAsia="Times New Roman" w:hAnsi="Times New Roman"/>
          <w:sz w:val="12"/>
          <w:szCs w:val="12"/>
          <w:color w:val="008000"/>
        </w:rPr>
      </w:pPr>
    </w:p>
    <w:p>
      <w:pPr>
        <w:ind w:left="40" w:right="32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ind w:left="40" w:right="18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220" w:hanging="183"/>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Upon the occurrence of a termination by reason of the Reporting Person's death, any unvested portion of the Option shall accelerate and vest in full.</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6"/>
          <w:szCs w:val="16"/>
          <w:color w:val="0000FF"/>
        </w:rPr>
        <w:t xml:space="preserve">/s/ John Coghlin as Attorney-in-  </w:t>
      </w:r>
      <w:r>
        <w:rPr>
          <w:rFonts w:ascii="Times New Roman" w:cs="Times New Roman" w:eastAsia="Times New Roman" w:hAnsi="Times New Roman"/>
          <w:sz w:val="32"/>
          <w:szCs w:val="32"/>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271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-16510</wp:posOffset>
            </wp:positionV>
            <wp:extent cx="1771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16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92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ectPr>
          <w:pgSz w:w="11900" w:h="16887" w:orient="portrait"/>
          <w:cols w:equalWidth="0" w:num="1">
            <w:col w:w="11080"/>
          </w:cols>
          <w:pgMar w:left="460" w:top="214" w:right="359" w:bottom="0" w:gutter="0" w:footer="0" w:header="0"/>
          <w:type w:val="continuous"/>
        </w:sectPr>
      </w:pPr>
    </w:p>
    <w:bookmarkStart w:id="1" w:name="page2"/>
    <w:bookmarkEnd w:id="1"/>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1761"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2026-04-02T15:55:31Z</dcterms:created>
  <dcterms:modified xsi:type="dcterms:W3CDTF">2026-04-02T15:55:31Z</dcterms:modified>
</cp:coreProperties>
</file>