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7, 2025</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right="20" w:firstLine="594"/>
        <w:spacing w:after="0" w:line="282" w:lineRule="auto"/>
        <w:rPr>
          <w:sz w:val="20"/>
          <w:szCs w:val="20"/>
          <w:color w:val="auto"/>
        </w:rPr>
      </w:pPr>
      <w:r>
        <w:rPr>
          <w:rFonts w:ascii="Times New Roman" w:cs="Times New Roman" w:eastAsia="Times New Roman" w:hAnsi="Times New Roman"/>
          <w:sz w:val="18"/>
          <w:szCs w:val="18"/>
          <w:color w:val="auto"/>
        </w:rPr>
        <w:t>On August 7, 2025, OPAL Fuels Inc. (the "Company") issued a press release regarding its financial results for the quarter ended June 30, 2025. A copy of the press release is furnished as Exhibit 99.1 hereto.</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 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above (and/or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2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August 7, 2025.</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20" w:type="dxa"/>
            <w:vAlign w:val="bottom"/>
            <w:tcBorders>
              <w:top w:val="single" w:sz="8" w:color="0000FF"/>
            </w:tcBorders>
            <w:shd w:val="clear" w:color="auto" w:fill="CCEEFF"/>
          </w:tcPr>
          <w:p>
            <w:pPr>
              <w:spacing w:after="0"/>
              <w:rPr>
                <w:sz w:val="5"/>
                <w:szCs w:val="5"/>
                <w:color w:val="auto"/>
              </w:rPr>
            </w:pPr>
          </w:p>
        </w:tc>
        <w:tc>
          <w:tcPr>
            <w:tcW w:w="396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8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 w:name="page5"/>
    <w:bookmarkEnd w:id="4"/>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7, 2025</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Second Quarter 2025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WHITE PLAINS, N.Y. – (August 7, 2025) – </w:t>
      </w:r>
      <w:r>
        <w:rPr>
          <w:rFonts w:ascii="Times New Roman" w:cs="Times New Roman" w:eastAsia="Times New Roman" w:hAnsi="Times New Roman"/>
          <w:sz w:val="22"/>
          <w:szCs w:val="22"/>
          <w:u w:val="single" w:color="auto"/>
          <w:color w:val="0000FF"/>
        </w:rPr>
        <w:t>OPAL Fuels</w:t>
      </w:r>
      <w:r>
        <w:rPr>
          <w:rFonts w:ascii="Times New Roman" w:cs="Times New Roman" w:eastAsia="Times New Roman" w:hAnsi="Times New Roman"/>
          <w:sz w:val="22"/>
          <w:szCs w:val="22"/>
          <w:color w:val="auto"/>
        </w:rPr>
        <w:t xml:space="preserve"> (“OPAL Fuels” or the “Company”) (Nasdaq: OPAL) today announced financial and operating results for the three and six months ended June 30, 2025.</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are pleased with the second quarter results. RNG production is growing with the second quarter's production 33% higher when compared with the second quarter of 2024. We expect continued improvement in our operating and financial results throughout the balance of 2025 in line with our guidance," said co-CEO Adam Comora. "The second quarter was important for OPAL Fuels as we begin to see the strengthening of bipartisan support for biofuels with the passage of the One Big Beautiful Bill Act, which extends the 45Z production tax credit through 2029. Although we have seen some volatility in RIN prices, we are encouraged that the EPA is positively engaged in the administration of the Renewable Fuel Standard."</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"Market fundamentals for RNG used as a transportation fuel by heavy-duty fleets are strengthening. It is increasingly clear that RNG and CNG are a commercially viable alternative to diesel today with supportive public policy," said co-CEO Jonathan Maurer. "As a result of these dynamics, we are investing in a sustainable operating platform and technologies that can scale in line with our continued growth. These investments will allow us to further expand upon the benefits of our vertically integrated model."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37" w:lineRule="exact"/>
        <w:rPr>
          <w:sz w:val="20"/>
          <w:szCs w:val="20"/>
          <w:color w:val="auto"/>
        </w:rPr>
      </w:pPr>
    </w:p>
    <w:p>
      <w:pPr>
        <w:ind w:left="660" w:hanging="328"/>
        <w:spacing w:after="0" w:line="28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for the three and six months ended June 30, 2025, was $80.5 million and $165.9 million respectively, an increase of 13% and 22% respectively, compared to the prior-year period.</w:t>
      </w:r>
    </w:p>
    <w:p>
      <w:pPr>
        <w:spacing w:after="0" w:line="103"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the three and six months ended June 30, 2025, was $7.6 million and $8.8 million respectively, compared to $1.9 million and $2.6 million in the same period last year.</w:t>
      </w:r>
    </w:p>
    <w:p>
      <w:pPr>
        <w:spacing w:after="0" w:line="130" w:lineRule="exact"/>
        <w:rPr>
          <w:rFonts w:ascii="Times New Roman" w:cs="Times New Roman" w:eastAsia="Times New Roman" w:hAnsi="Times New Roman"/>
          <w:sz w:val="22"/>
          <w:szCs w:val="22"/>
          <w:color w:val="auto"/>
        </w:rPr>
      </w:pPr>
    </w:p>
    <w:p>
      <w:pPr>
        <w:ind w:left="660" w:right="280" w:hanging="328"/>
        <w:spacing w:after="0" w:line="295" w:lineRule="auto"/>
        <w:tabs>
          <w:tab w:leader="none" w:pos="65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Basic and diluted net income (loss) per share attributable to Class A common shareholders for the three and six months ended June 30, 2025 were $0.03 and $0.02 compared to $(0.01) and $(0.02) in the comparable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ind w:left="660" w:hanging="328"/>
        <w:spacing w:after="0" w:line="23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for the three and six months ended June 30, 2025, was $16.5 million and $36.6 million respectively, compared to $21.1 million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and $36.3 million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respectively, in the comparable period last year.</w:t>
      </w:r>
    </w:p>
    <w:p>
      <w:pPr>
        <w:spacing w:after="0" w:line="69"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quarter selling, general and administrative expense of $17.5 million includes a non-recurring, non-cash expense of $2.0 million related to a contract restructuring which is added back in Adjusted EBITDA. It also includes other one-time non-recurring expenses which are not added back.</w:t>
      </w:r>
    </w:p>
    <w:p>
      <w:pPr>
        <w:spacing w:after="0" w:line="19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June 30, 2025, RNG Pending Monetization totaled $12.0 million.</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Completed sale of $16.7 million of IRA Investment Tax Credits.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Highlights</w:t>
      </w:r>
    </w:p>
    <w:p>
      <w:pPr>
        <w:spacing w:after="0" w:line="200" w:lineRule="exact"/>
        <w:rPr>
          <w:sz w:val="20"/>
          <w:szCs w:val="20"/>
          <w:color w:val="auto"/>
        </w:rPr>
      </w:pPr>
    </w:p>
    <w:p>
      <w:pPr>
        <w:spacing w:after="0" w:line="226" w:lineRule="exact"/>
        <w:rPr>
          <w:sz w:val="20"/>
          <w:szCs w:val="20"/>
          <w:color w:val="auto"/>
        </w:rPr>
      </w:pPr>
    </w:p>
    <w:p>
      <w:pPr>
        <w:ind w:left="660" w:hanging="328"/>
        <w:spacing w:after="0" w:line="28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RNG produced was 1.2 million and 2.3 million MMBtu for the three and six months ended June 30, 2025, an increase of 33% and 35% respectively, compared to the prior-year period.</w:t>
      </w:r>
      <w:r>
        <w:rPr>
          <w:rFonts w:ascii="Times New Roman" w:cs="Times New Roman" w:eastAsia="Times New Roman" w:hAnsi="Times New Roman"/>
          <w:sz w:val="28"/>
          <w:szCs w:val="28"/>
          <w:color w:val="auto"/>
          <w:vertAlign w:val="superscript"/>
        </w:rPr>
        <w:t>3</w:t>
      </w:r>
    </w:p>
    <w:p>
      <w:pPr>
        <w:spacing w:after="0" w:line="21"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Fuel Station Services segment sold, dispensed, and serviced an aggregate of 40.8 million and 81.4 million GGEs of transportation fuel for the three and six months ended June 30, 2025, an increase of 11% and 14% respectively, compared to the prior-year period. Of this amount, RNG dispensed as a transportation fuel was 20.6 and 40.1 million GGEs, an increase of 10% and 14% respectively, compared to the prior-year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Construction Update</w:t>
      </w:r>
    </w:p>
    <w:p>
      <w:pPr>
        <w:spacing w:after="0" w:line="197" w:lineRule="exact"/>
        <w:rPr>
          <w:sz w:val="20"/>
          <w:szCs w:val="20"/>
          <w:color w:val="auto"/>
        </w:rPr>
      </w:pPr>
    </w:p>
    <w:p>
      <w:pPr>
        <w:ind w:left="660" w:right="20" w:hanging="328"/>
        <w:spacing w:after="0" w:line="293" w:lineRule="auto"/>
        <w:tabs>
          <w:tab w:leader="none" w:pos="65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Atlantic RNG project remains on schedule to commence commercial operations in the third quarter of 2025. This project represents approximately 0.3 million MMBtu for OPAL Fuels’ 50% ownership share of annual design capacity.</w:t>
      </w:r>
      <w:r>
        <w:rPr>
          <w:rFonts w:ascii="Times New Roman" w:cs="Times New Roman" w:eastAsia="Times New Roman" w:hAnsi="Times New Roman"/>
          <w:sz w:val="27"/>
          <w:szCs w:val="27"/>
          <w:color w:val="auto"/>
          <w:vertAlign w:val="superscript"/>
        </w:rPr>
        <w:t>4,5</w:t>
      </w:r>
    </w:p>
    <w:p>
      <w:pPr>
        <w:spacing w:after="0" w:line="14" w:lineRule="exact"/>
        <w:rPr>
          <w:rFonts w:ascii="Times New Roman" w:cs="Times New Roman" w:eastAsia="Times New Roman" w:hAnsi="Times New Roman"/>
          <w:sz w:val="21"/>
          <w:szCs w:val="21"/>
          <w:color w:val="auto"/>
        </w:rPr>
      </w:pPr>
    </w:p>
    <w:p>
      <w:pPr>
        <w:ind w:left="660" w:hanging="328"/>
        <w:spacing w:after="0" w:line="271"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Burlington and Cottonwood RNG projects, representing an aggregate annual design capacity of 1.1 million MMBtu for OPAL's share, are expected to commence commercial operations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4" w:lineRule="exact"/>
        <w:rPr>
          <w:sz w:val="20"/>
          <w:szCs w:val="20"/>
          <w:color w:val="auto"/>
        </w:rPr>
      </w:pPr>
    </w:p>
    <w:p>
      <w:pPr>
        <w:ind w:right="180" w:firstLine="8"/>
        <w:spacing w:after="0" w:line="184" w:lineRule="auto"/>
        <w:tabs>
          <w:tab w:leader="none" w:pos="1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This is a non-GAAP financial measure. A reconciliation of this non-GAAP financial measure to its comparable GAAP financial measure has been provided in the financial tables included in this press release. An explanation of this measure and how it is calculated is also included below under the heading “Non-GAAP Financial Measures."</w:t>
      </w:r>
    </w:p>
    <w:p>
      <w:pPr>
        <w:spacing w:after="0" w:line="272" w:lineRule="exact"/>
        <w:rPr>
          <w:sz w:val="20"/>
          <w:szCs w:val="20"/>
          <w:color w:val="auto"/>
        </w:rPr>
      </w:pPr>
    </w:p>
    <w:p>
      <w:pPr>
        <w:ind w:right="200" w:firstLine="8"/>
        <w:spacing w:after="0" w:line="184" w:lineRule="auto"/>
        <w:tabs>
          <w:tab w:leader="none" w:pos="124"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The Company updated its policy in Q3’24 to include virtual pipeline costs as an add-back to Adjusted EBITDA. As a result, the impact for Q2’24 was also updated to reflect this change and ensure consistency across periods.</w:t>
      </w:r>
    </w:p>
    <w:p>
      <w:pPr>
        <w:spacing w:after="0" w:line="125"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Represents OPAL Fuels' proportional share with respect to RNG projects owned with joint venture partners. Includes Sunoma and Biotown</w:t>
      </w:r>
    </w:p>
    <w:p>
      <w:pPr>
        <w:spacing w:after="0" w:line="271" w:lineRule="exact"/>
        <w:rPr>
          <w:sz w:val="20"/>
          <w:szCs w:val="20"/>
          <w:color w:val="auto"/>
        </w:rPr>
      </w:pPr>
    </w:p>
    <w:p>
      <w:pPr>
        <w:ind w:right="240" w:firstLine="8"/>
        <w:spacing w:after="0" w:line="184" w:lineRule="auto"/>
        <w:tabs>
          <w:tab w:leader="none" w:pos="12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139"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Represents OPAL Fuels' proportional share with respect to RNG projects owned with joint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6" w:right="339" w:bottom="1440" w:gutter="0" w:footer="0" w:header="0"/>
        </w:sectPr>
      </w:pPr>
    </w:p>
    <w:bookmarkStart w:id="7" w:name="page8"/>
    <w:bookmarkEnd w:id="7"/>
    <w:p>
      <w:pPr>
        <w:ind w:left="660" w:hanging="328"/>
        <w:spacing w:after="0" w:line="271"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Kirby RNG project located in California, representing an aggregate annual design capacity of 0.7 million MMBtu for OPAL's 100% ownership, is expected to commence commercial operations in 2027. </w:t>
      </w:r>
      <w:r>
        <w:rPr>
          <w:rFonts w:ascii="Times New Roman" w:cs="Times New Roman" w:eastAsia="Times New Roman" w:hAnsi="Times New Roman"/>
          <w:sz w:val="22"/>
          <w:szCs w:val="22"/>
          <w:color w:val="FFFFFF"/>
        </w:rPr>
        <w:t>.</w:t>
      </w:r>
    </w:p>
    <w:p>
      <w:pPr>
        <w:spacing w:after="0" w:line="117" w:lineRule="exact"/>
        <w:rPr>
          <w:rFonts w:ascii="Times New Roman" w:cs="Times New Roman" w:eastAsia="Times New Roman" w:hAnsi="Times New Roman"/>
          <w:sz w:val="22"/>
          <w:szCs w:val="22"/>
          <w:color w:val="auto"/>
        </w:rPr>
      </w:pPr>
    </w:p>
    <w:p>
      <w:pPr>
        <w:ind w:left="660" w:right="20" w:hanging="328"/>
        <w:spacing w:after="0" w:line="227" w:lineRule="auto"/>
        <w:tabs>
          <w:tab w:leader="none" w:pos="65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Completion of construction at two dairy projects in California (Hilltop and Vander Schaaf) continues to be delayed due to a dispute with the prior Engineering, Procurement and Construction contractor over a series of change order requests.</w:t>
      </w:r>
      <w:r>
        <w:rPr>
          <w:rFonts w:ascii="Times New Roman" w:cs="Times New Roman" w:eastAsia="Times New Roman" w:hAnsi="Times New Roman"/>
          <w:sz w:val="27"/>
          <w:szCs w:val="27"/>
          <w:color w:val="auto"/>
          <w:vertAlign w:val="superscript"/>
        </w:rPr>
        <w:t>6</w:t>
      </w:r>
    </w:p>
    <w:p>
      <w:pPr>
        <w:spacing w:after="0" w:line="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June 30, 2025, we had 46 fueling stations under construction including 20 owned by OPAL.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Guidance</w:t>
      </w:r>
    </w:p>
    <w:p>
      <w:pPr>
        <w:spacing w:after="0" w:line="19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We maintain full year 2025 guidance.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9"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For more information, please see the Company’s Quarterly Report on Form 10-Q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24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 of dollars, except RNG Fuel data)</w:t>
            </w:r>
          </w:p>
        </w:tc>
        <w:tc>
          <w:tcPr>
            <w:tcW w:w="24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360" w:type="dxa"/>
            <w:vAlign w:val="bottom"/>
            <w:tcBorders>
              <w:top w:val="single" w:sz="8" w:color="auto"/>
              <w:bottom w:val="single" w:sz="8" w:color="auto"/>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7"/>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RNG Fuel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52,729</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37,172</w:t>
            </w:r>
          </w:p>
        </w:tc>
      </w:tr>
      <w:tr>
        <w:trPr>
          <w:trHeight w:val="324"/>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Fuel Station Services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76,399</w:t>
            </w:r>
          </w:p>
        </w:tc>
      </w:tr>
      <w:tr>
        <w:trPr>
          <w:trHeight w:val="256"/>
        </w:trPr>
        <w:tc>
          <w:tcPr>
            <w:tcW w:w="4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Renewable Power</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22,331</w:t>
            </w:r>
          </w:p>
        </w:tc>
      </w:tr>
      <w:tr>
        <w:trPr>
          <w:trHeight w:val="248"/>
        </w:trPr>
        <w:tc>
          <w:tcPr>
            <w:tcW w:w="49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96,089</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development and startup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26,834</w:t>
            </w:r>
          </w:p>
        </w:tc>
      </w:tr>
      <w:tr>
        <w:trPr>
          <w:trHeight w:val="257"/>
        </w:trPr>
        <w:tc>
          <w:tcPr>
            <w:tcW w:w="4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29"/>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RNG Fuel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33,787</w:t>
            </w:r>
          </w:p>
        </w:tc>
      </w:tr>
      <w:tr>
        <w:trPr>
          <w:trHeight w:val="229"/>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 Station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w:t>
            </w:r>
          </w:p>
        </w:tc>
      </w:tr>
      <w:tr>
        <w:trPr>
          <w:trHeight w:val="229"/>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Power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r>
      <w:tr>
        <w:trPr>
          <w:trHeight w:val="230"/>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RNG Fuel volume dispensed (Million GGEs)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volumes sold, dispensed, and serviced (Million GGEs)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bl>
    <w:p>
      <w:pPr>
        <w:spacing w:after="0" w:line="217"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revenues from equity method investments.</w:t>
      </w:r>
    </w:p>
    <w:p>
      <w:pPr>
        <w:spacing w:after="0" w:line="162" w:lineRule="exact"/>
        <w:rPr>
          <w:rFonts w:ascii="Times New Roman" w:cs="Times New Roman" w:eastAsia="Times New Roman" w:hAnsi="Times New Roman"/>
          <w:sz w:val="19"/>
          <w:szCs w:val="19"/>
          <w:color w:val="auto"/>
          <w:vertAlign w:val="superscript"/>
        </w:rPr>
      </w:pPr>
    </w:p>
    <w:p>
      <w:pPr>
        <w:ind w:left="260" w:hanging="252"/>
        <w:spacing w:after="0" w:line="221" w:lineRule="auto"/>
        <w:tabs>
          <w:tab w:leader="none" w:pos="163"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selling, general and administrative expenses, depreciation and amortization expenses, impairment and income from equity method investments. Please refer to the Statement of Operations at the end of the press release for additional information.</w:t>
      </w:r>
    </w:p>
    <w:p>
      <w:pPr>
        <w:spacing w:after="0" w:line="177" w:lineRule="exact"/>
        <w:rPr>
          <w:rFonts w:ascii="Times New Roman" w:cs="Times New Roman" w:eastAsia="Times New Roman" w:hAnsi="Times New Roman"/>
          <w:sz w:val="19"/>
          <w:szCs w:val="19"/>
          <w:color w:val="auto"/>
          <w:vertAlign w:val="superscript"/>
        </w:rPr>
      </w:pPr>
    </w:p>
    <w:p>
      <w:pPr>
        <w:ind w:left="260" w:hanging="252"/>
        <w:spacing w:after="0" w:line="228" w:lineRule="auto"/>
        <w:tabs>
          <w:tab w:leader="none" w:pos="149"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pacing w:after="0" w:line="163" w:lineRule="exact"/>
        <w:rPr>
          <w:rFonts w:ascii="Times New Roman" w:cs="Times New Roman" w:eastAsia="Times New Roman" w:hAnsi="Times New Roman"/>
          <w:sz w:val="18"/>
          <w:szCs w:val="18"/>
          <w:color w:val="auto"/>
          <w:vertAlign w:val="superscript"/>
        </w:rPr>
      </w:pPr>
    </w:p>
    <w:p>
      <w:pPr>
        <w:ind w:left="260" w:hanging="252"/>
        <w:spacing w:after="0" w:line="302" w:lineRule="auto"/>
        <w:tabs>
          <w:tab w:leader="none" w:pos="149"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incremental virtual pipeline costs (i.e., actual costs less anticipated operating costs of a permanent interconnection) on our Prince William RNG project which are temporary in nature and expected to be incurred in 2025 until the permanent interconnection is expected to be operational.</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Results of Operations from equity method investments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4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5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 of dollars)</w:t>
            </w: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r>
      <w:tr>
        <w:trPr>
          <w:trHeight w:val="25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w:t>
            </w:r>
          </w:p>
        </w:tc>
      </w:tr>
      <w:tr>
        <w:trPr>
          <w:trHeight w:val="26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r>
      <w:tr>
        <w:trPr>
          <w:trHeight w:val="270"/>
        </w:trPr>
        <w:tc>
          <w:tcPr>
            <w:tcW w:w="5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7"/>
        </w:trPr>
        <w:tc>
          <w:tcPr>
            <w:tcW w:w="5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OPAL’s share of revenues from equity method investments</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21,989</w:t>
            </w:r>
          </w:p>
        </w:tc>
      </w:tr>
      <w:tr>
        <w:trPr>
          <w:trHeight w:val="25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OPAL’s share of gross profit from equity method investments</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r>
      <w:tr>
        <w:trPr>
          <w:trHeight w:val="257"/>
        </w:trPr>
        <w:tc>
          <w:tcPr>
            <w:tcW w:w="586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 xml:space="preserve">OPAL’s share of net income from equity method investments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r>
      <w:tr>
        <w:trPr>
          <w:trHeight w:val="250"/>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7"/>
        </w:trPr>
        <w:tc>
          <w:tcPr>
            <w:tcW w:w="5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OPAL’s share of Adjusted EBITDA from equity method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w:t>
            </w:r>
          </w:p>
        </w:tc>
      </w:tr>
    </w:tbl>
    <w:p>
      <w:pPr>
        <w:spacing w:after="0" w:line="328" w:lineRule="exact"/>
        <w:rPr>
          <w:sz w:val="20"/>
          <w:szCs w:val="20"/>
          <w:color w:val="auto"/>
        </w:rPr>
      </w:pPr>
    </w:p>
    <w:p>
      <w:pPr>
        <w:ind w:firstLine="8"/>
        <w:spacing w:after="0" w:line="362" w:lineRule="auto"/>
        <w:tabs>
          <w:tab w:leader="none" w:pos="132"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Net income from equity method investments represents our portion of the net income from equity method investments including $1.7 million and $3.4 million of amortization expense related to basis differences for the three and six months ended June 30, 2025, and $1.4 million and $2.9 million for the three and six months ended June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Landfill RNG Facility Capacity and Utilization Summary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shd w:val="clear" w:color="auto" w:fill="CCEEFF"/>
          </w:tcPr>
          <w:p>
            <w:pPr>
              <w:spacing w:after="0"/>
              <w:rPr>
                <w:sz w:val="19"/>
                <w:szCs w:val="19"/>
                <w:color w:val="auto"/>
              </w:rPr>
            </w:pPr>
          </w:p>
        </w:tc>
        <w:tc>
          <w:tcPr>
            <w:tcW w:w="28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6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Design Capacity (Million MMBtus) </w:t>
            </w:r>
            <w:r>
              <w:rPr>
                <w:rFonts w:ascii="Times New Roman" w:cs="Times New Roman" w:eastAsia="Times New Roman" w:hAnsi="Times New Roman"/>
                <w:sz w:val="23"/>
                <w:szCs w:val="23"/>
                <w:color w:val="auto"/>
                <w:vertAlign w:val="superscript"/>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Volume of Inlet Gas (Million MMBtus)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Inlet Design Capacity Utilization (%) </w:t>
            </w:r>
            <w:r>
              <w:rPr>
                <w:rFonts w:ascii="Times New Roman" w:cs="Times New Roman" w:eastAsia="Times New Roman" w:hAnsi="Times New Roman"/>
                <w:sz w:val="23"/>
                <w:szCs w:val="23"/>
                <w:color w:val="auto"/>
                <w:vertAlign w:val="superscript"/>
              </w:rPr>
              <w:t>(2)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6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RNG Fuel volume produced (Million MMBtus)</w:t>
            </w:r>
            <w:r>
              <w:rPr>
                <w:rFonts w:ascii="Times New Roman" w:cs="Times New Roman" w:eastAsia="Times New Roman" w:hAnsi="Times New Roman"/>
                <w:sz w:val="23"/>
                <w:szCs w:val="23"/>
                <w:color w:val="auto"/>
                <w:vertAlign w:val="superscript"/>
              </w:rPr>
              <w:t>(3)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2"/>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3"/>
                <w:szCs w:val="23"/>
                <w:color w:val="auto"/>
                <w:vertAlign w:val="superscript"/>
              </w:rPr>
              <w:t>(4)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65" w:lineRule="exact"/>
        <w:rPr>
          <w:sz w:val="20"/>
          <w:szCs w:val="20"/>
          <w:color w:val="auto"/>
        </w:rPr>
      </w:pPr>
    </w:p>
    <w:p>
      <w:pPr>
        <w:jc w:val="both"/>
        <w:ind w:firstLine="8"/>
        <w:spacing w:after="0" w:line="281" w:lineRule="auto"/>
        <w:tabs>
          <w:tab w:leader="none" w:pos="159"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36" w:lineRule="exact"/>
        <w:rPr>
          <w:rFonts w:ascii="Times New Roman" w:cs="Times New Roman" w:eastAsia="Times New Roman" w:hAnsi="Times New Roman"/>
          <w:sz w:val="9"/>
          <w:szCs w:val="9"/>
          <w:color w:val="auto"/>
        </w:rPr>
      </w:pPr>
    </w:p>
    <w:p>
      <w:pPr>
        <w:jc w:val="both"/>
        <w:ind w:firstLine="8"/>
        <w:spacing w:after="0" w:line="403" w:lineRule="auto"/>
        <w:tabs>
          <w:tab w:leader="none" w:pos="132"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spacing w:after="0" w:line="257" w:lineRule="exact"/>
        <w:rPr>
          <w:rFonts w:ascii="Times New Roman" w:cs="Times New Roman" w:eastAsia="Times New Roman" w:hAnsi="Times New Roman"/>
          <w:sz w:val="15"/>
          <w:szCs w:val="15"/>
          <w:color w:val="auto"/>
          <w:vertAlign w:val="superscript"/>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Sunoma and Biotown</w:t>
      </w:r>
    </w:p>
    <w:p>
      <w:pPr>
        <w:spacing w:after="0" w:line="162" w:lineRule="exact"/>
        <w:rPr>
          <w:rFonts w:ascii="Times New Roman" w:cs="Times New Roman" w:eastAsia="Times New Roman" w:hAnsi="Times New Roman"/>
          <w:sz w:val="19"/>
          <w:szCs w:val="19"/>
          <w:color w:val="auto"/>
          <w:vertAlign w:val="superscript"/>
        </w:rPr>
      </w:pPr>
    </w:p>
    <w:p>
      <w:pPr>
        <w:jc w:val="both"/>
        <w:ind w:firstLine="8"/>
        <w:spacing w:after="0" w:line="281" w:lineRule="auto"/>
        <w:tabs>
          <w:tab w:leader="none" w:pos="132"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RNG Pending Monetization Summary</w:t>
      </w:r>
    </w:p>
    <w:p>
      <w:pPr>
        <w:spacing w:after="0" w:line="22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average realized sales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10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Fuel Station</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RNG awaiting credit generation using quarter end price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8,888</w:t>
            </w: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as of April 1, 2025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RIN credit balance (Available for sale) as of June 30, 2025</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D3 price per RIN at quarter end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RINs using quarter end price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(net share) as of April 1, 2025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LCFS credit balance (Available for sale) as of June 30, 2025</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LCFS credit price at quarter end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LCFSs using quarter end price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RECs using quarter end price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RIN</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LCFS</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Value of RNG Pending Monetization and Credits at quarter end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337" w:lineRule="auto"/>
        <w:tabs>
          <w:tab w:leader="none" w:pos="132"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8" w:right="339" w:bottom="1440" w:gutter="0" w:footer="0" w:header="0"/>
          <w:type w:val="continuous"/>
        </w:sectPr>
      </w:pPr>
    </w:p>
    <w:bookmarkStart w:id="11" w:name="page12"/>
    <w:bookmarkEnd w:id="11"/>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of June 30, 2025, our liquidity was $203.2 million, consisting of $138.4 million of unused capacity under our $450 million senior secured credit facility, $35.5 million of unused capacity under the associated revolver, and $29.3 million of cash and cash equivalents.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We believe our liquidity, operating cash flows, and anticipated sources of capital are sufficient to meet our expected funding needs.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Expenditures</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During the six months ended June 30, 2025, OPAL Fuels invested $33.4 million across RNG projects in construction and OPAL Fuels proprietary fueling stations in construction as compared to $49.7 million in the prior year.</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 addition, for the six months ended June 30, 2025, the Company's portion of capital expenditures in unconsolidated entities was $12.7 million. This represents our share of capital expenditures incurred by equity method investments.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Call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webcast to review OPAL Fuels’ Second Quarter 2025 results is being held tomorrow, August 8, 2025 at 11:00AM EDT.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Materials to be discussed in the webcast will be available before the call on the Company's website.</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Participants may access the call at </w:t>
      </w:r>
      <w:r>
        <w:rPr>
          <w:rFonts w:ascii="Times New Roman" w:cs="Times New Roman" w:eastAsia="Times New Roman" w:hAnsi="Times New Roman"/>
          <w:sz w:val="22"/>
          <w:szCs w:val="22"/>
          <w:color w:val="3051F2"/>
        </w:rPr>
        <w:t>https://edge.media-server.com/mmc/p/95r93xjt</w:t>
      </w:r>
      <w:r>
        <w:rPr>
          <w:rFonts w:ascii="Times New Roman" w:cs="Times New Roman" w:eastAsia="Times New Roman" w:hAnsi="Times New Roman"/>
          <w:sz w:val="22"/>
          <w:szCs w:val="22"/>
          <w:color w:val="auto"/>
        </w:rPr>
        <w:t xml:space="preserve">. Investors can also listen to a webcast of the presentation on the Company’s Investor Relations website at </w:t>
      </w:r>
      <w:r>
        <w:rPr>
          <w:rFonts w:ascii="Times New Roman" w:cs="Times New Roman" w:eastAsia="Times New Roman" w:hAnsi="Times New Roman"/>
          <w:sz w:val="22"/>
          <w:szCs w:val="22"/>
          <w:color w:val="3051F2"/>
        </w:rPr>
        <w:t>https://investors.opalfuels.com/news-events/events-presentations.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“D3” </w:t>
      </w:r>
      <w:r>
        <w:rPr>
          <w:rFonts w:ascii="Times New Roman" w:cs="Times New Roman" w:eastAsia="Times New Roman" w:hAnsi="Times New Roman"/>
          <w:sz w:val="18"/>
          <w:szCs w:val="18"/>
          <w:color w:val="auto"/>
        </w:rPr>
        <w:t>refers to cellulosic biofuel with a 60% GHG reduction requirement.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“GGE” </w:t>
      </w:r>
      <w:r>
        <w:rPr>
          <w:rFonts w:ascii="Times New Roman" w:cs="Times New Roman" w:eastAsia="Times New Roman" w:hAnsi="Times New Roman"/>
          <w:sz w:val="18"/>
          <w:szCs w:val="18"/>
          <w:color w:val="auto"/>
        </w:rPr>
        <w:t>refers to gasoline gallon equivalent. The conversion ratio is 1 MMBtu of natural gas equal to 7.74 GGE.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“LCFS” </w:t>
      </w:r>
      <w:r>
        <w:rPr>
          <w:rFonts w:ascii="Times New Roman" w:cs="Times New Roman" w:eastAsia="Times New Roman" w:hAnsi="Times New Roman"/>
          <w:sz w:val="18"/>
          <w:szCs w:val="18"/>
          <w:color w:val="auto"/>
        </w:rPr>
        <w:t>refers to Low Carbon Fuel Standard or similar types of federal and state programs.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refers to million British thermal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“RECs” </w:t>
      </w:r>
      <w:r>
        <w:rPr>
          <w:rFonts w:ascii="Times New Roman" w:cs="Times New Roman" w:eastAsia="Times New Roman" w:hAnsi="Times New Roman"/>
          <w:sz w:val="18"/>
          <w:szCs w:val="18"/>
          <w:color w:val="auto"/>
        </w:rPr>
        <w:t>refers to renewable energy credits.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“Renewable Power” </w:t>
      </w:r>
      <w:r>
        <w:rPr>
          <w:rFonts w:ascii="Times New Roman" w:cs="Times New Roman" w:eastAsia="Times New Roman" w:hAnsi="Times New Roman"/>
          <w:sz w:val="18"/>
          <w:szCs w:val="18"/>
          <w:color w:val="auto"/>
        </w:rPr>
        <w:t>refers to electricity generated from renewable 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“RIN” </w:t>
      </w:r>
      <w:r>
        <w:rPr>
          <w:rFonts w:ascii="Times New Roman" w:cs="Times New Roman" w:eastAsia="Times New Roman" w:hAnsi="Times New Roman"/>
          <w:sz w:val="18"/>
          <w:szCs w:val="18"/>
          <w:color w:val="auto"/>
        </w:rPr>
        <w:t>refers to Renewable Identification Numbers.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“RNG” </w:t>
      </w:r>
      <w:r>
        <w:rPr>
          <w:rFonts w:ascii="Times New Roman" w:cs="Times New Roman" w:eastAsia="Times New Roman" w:hAnsi="Times New Roman"/>
          <w:sz w:val="18"/>
          <w:szCs w:val="18"/>
          <w:color w:val="auto"/>
        </w:rPr>
        <w:t>refers to renewable natural gas.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“VIEs” </w:t>
      </w:r>
      <w:r>
        <w:rPr>
          <w:rFonts w:ascii="Times New Roman" w:cs="Times New Roman" w:eastAsia="Times New Roman" w:hAnsi="Times New Roman"/>
          <w:sz w:val="18"/>
          <w:szCs w:val="18"/>
          <w:color w:val="auto"/>
        </w:rPr>
        <w:t>refers to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563C1"/>
        </w:rPr>
        <w:t xml:space="preserve">OPAL Fuels </w:t>
      </w:r>
      <w:r>
        <w:rPr>
          <w:rFonts w:ascii="Times New Roman" w:cs="Times New Roman" w:eastAsia="Times New Roman" w:hAnsi="Times New Roman"/>
          <w:sz w:val="18"/>
          <w:szCs w:val="18"/>
          <w:color w:val="000000"/>
        </w:rPr>
        <w:t>(Nasdaq: OPAL) is a leader in the capture and conversion of biogas into low carbon intensity RNG and Renewable Power. OPAL</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 xml:space="preserve">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18"/>
          <w:szCs w:val="18"/>
          <w:color w:val="0563C1"/>
        </w:rPr>
        <w:t>www.opalfuels.com</w:t>
      </w:r>
      <w:r>
        <w:rPr>
          <w:rFonts w:ascii="Times New Roman" w:cs="Times New Roman" w:eastAsia="Times New Roman" w:hAnsi="Times New Roman"/>
          <w:sz w:val="18"/>
          <w:szCs w:val="18"/>
          <w:color w:val="000000"/>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“Forward-Looking Statements and Risk Factor Summary” in the Company's annual report on Form 10-K and quarterly reports on Form 10-Q,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80"/>
          </w:cols>
          <w:pgMar w:left="980" w:top="1413" w:right="339" w:bottom="1440" w:gutter="0" w:footer="0" w:header="0"/>
        </w:sectPr>
      </w:pPr>
    </w:p>
    <w:bookmarkStart w:id="13" w:name="page14"/>
    <w:bookmarkEnd w:id="13"/>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any forward-looking statements contained herein to reflect any change in the Company’s expectations with respect thereto or any change in events, conditions, or circumstances on which any statement is based.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0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Todd Firestone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 &amp; Corporate Development</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914-705-4001</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3051F2"/>
        </w:rPr>
        <w:t>investors@opalfuels.com</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Harrison Feuer</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Director, Communications and Public Policy</w:t>
      </w:r>
    </w:p>
    <w:p>
      <w:pPr>
        <w:spacing w:after="0" w:line="185" w:lineRule="exact"/>
        <w:rPr>
          <w:sz w:val="20"/>
          <w:szCs w:val="20"/>
          <w:color w:val="auto"/>
        </w:rPr>
      </w:pPr>
    </w:p>
    <w:p>
      <w:pPr>
        <w:ind w:left="4" w:right="8600" w:hanging="4"/>
        <w:spacing w:after="0" w:line="502" w:lineRule="auto"/>
        <w:tabs>
          <w:tab w:leader="none" w:pos="43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721-3723 hfeuer@opalfuels.com ICR, Inc. </w:t>
      </w:r>
      <w:r>
        <w:rPr>
          <w:rFonts w:ascii="Times New Roman" w:cs="Times New Roman" w:eastAsia="Times New Roman" w:hAnsi="Times New Roman"/>
          <w:sz w:val="17"/>
          <w:szCs w:val="17"/>
          <w:u w:val="single" w:color="auto"/>
          <w:color w:val="3051F2"/>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84"/>
          </w:cols>
          <w:pgMar w:left="976" w:top="1417" w:right="339" w:bottom="1440" w:gutter="0" w:footer="0" w:header="0"/>
        </w:sectPr>
      </w:pPr>
    </w:p>
    <w:bookmarkStart w:id="14" w:name="page15"/>
    <w:bookmarkEnd w:id="14"/>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of U.S. dollars,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5"/>
        </w:trPr>
        <w:tc>
          <w:tcPr>
            <w:tcW w:w="8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19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Cash and cash equivalents (includes $373 and $358 at June 30, 2025 and December 31, 2024, respectively, related to consolidated VIEs)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29,269</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24,310</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$2,454 and $—, respectively (includes $25 and $435 at June 30, 2025 and</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2"/>
        </w:trPr>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December 31, 2024, respectively, related to consolidated VIEs)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32,013</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Accounts receivable, related party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current (includes $979 and $972 at June 30, 2025 and December 31, 2024, respectively, related to consolidated VIEs)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Fuel tax credits receivable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Contract assets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10,294</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 and other current assets (includes $62 and $144 at June 30, 2025 and December 31, 2024, respectively, related to</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2"/>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18,363</w:t>
            </w:r>
          </w:p>
        </w:tc>
      </w:tr>
      <w:tr>
        <w:trPr>
          <w:trHeight w:val="186"/>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123,486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117,188</w:t>
            </w:r>
          </w:p>
        </w:tc>
      </w:tr>
      <w:tr>
        <w:trPr>
          <w:trHeight w:val="23"/>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6"/>
        </w:trPr>
        <w:tc>
          <w:tcPr>
            <w:tcW w:w="816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Property, plant, and equipment, net (includes $31,303 and $25,428 at June 30, 2025 and December 31, 2024, respectively, related to</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92"/>
        </w:trPr>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477,063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458,258</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Investment in other entities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223,594</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assets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23,483</w:t>
            </w:r>
          </w:p>
        </w:tc>
      </w:tr>
      <w:tr>
        <w:trPr>
          <w:trHeight w:val="166"/>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Restricted cash - non-current (includes $2,528 and $2,315 at June 30, 2025 and December 31, 2024, respectively, related to consolidated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8"/>
        </w:trPr>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VIEs)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54,608</w:t>
            </w: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905,537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881,077</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9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 (includes $36 and $22 at June 30, 2025 and December 31, 2024, respectively, related to consolidated VIEs)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w:t>
            </w:r>
          </w:p>
        </w:tc>
      </w:tr>
      <w:tr>
        <w:trPr>
          <w:trHeight w:val="166"/>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Accounts payable, related party (includes $— and $426 at June 30, 2025 and December 31, 2024, respectively, related to consolidated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8"/>
        </w:trPr>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VIEs)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tax credits payable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Accrued payroll (includes $27 and $45 at June 30, 2025 and December 31, 2024, respectively, related to consolidated VIEs)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9,580</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capital expenses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23,238</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Accrued environmental credit rebates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 (includes $1,008 and $974 at June 30, 2025 and December 31, 2024, respectively, related to</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2"/>
        </w:trPr>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14,717</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Contract liabilities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OPAL Term Loan - current portion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w:t>
            </w:r>
          </w:p>
        </w:tc>
      </w:tr>
      <w:tr>
        <w:trPr>
          <w:trHeight w:val="166"/>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Sunoma Loan - current portion (includes $1,825 and $1,756 at June 30, 2025 and December 31, 2024, respectively, related to consolidated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8"/>
        </w:trPr>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VIEs)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r>
      <w:tr>
        <w:trPr>
          <w:trHeight w:val="23"/>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103,596</w:t>
            </w:r>
          </w:p>
        </w:tc>
      </w:tr>
      <w:tr>
        <w:trPr>
          <w:trHeight w:val="186"/>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OPAL Term Loan, net of debt issuance costs</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295,753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266,630</w:t>
            </w: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Sunoma Loan, net of debt issuance costs (includes $17,515 and $18,373 at June 30, 2025 and December 31, 2024, respectively, related to</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2"/>
        </w:trPr>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18,373</w:t>
            </w:r>
          </w:p>
        </w:tc>
      </w:tr>
      <w:tr>
        <w:trPr>
          <w:trHeight w:val="19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lease liabilities - non-current portion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liabilities (includes $1,357 and $2,495 at June 30, 2025 and December 31, 2024, respectively, related to consolidated</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VIEs)</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15,291</w:t>
            </w:r>
          </w:p>
        </w:tc>
        <w:tc>
          <w:tcPr>
            <w:tcW w:w="0" w:type="dxa"/>
            <w:vAlign w:val="bottom"/>
          </w:tcPr>
          <w:p>
            <w:pPr>
              <w:spacing w:after="0"/>
              <w:rPr>
                <w:sz w:val="1"/>
                <w:szCs w:val="1"/>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432,291</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preferred non-controlling interests</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365,548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482,863</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common stock, $0.0001 par value, 340,000,000 shares authorized as of June 30, 2025; shares issued: 30,631,960 and 30,065,260</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at June 30, 2025 and December 31, 2024, respectively; shares outstanding: 28,996,177 and 28,429,477 at June 30, 2025 and</w:t>
            </w: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December 31, 2024, respectively</w:t>
            </w:r>
          </w:p>
        </w:tc>
        <w:tc>
          <w:tcPr>
            <w:tcW w:w="5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B common stock, $0.0001 par value, 160,000,000 shares authorized as of June 30, 2025; 121,500,000 issued and outstanding as of</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June 30, 2025 and 71,500,000 issued and outstanding as of December 31, 2024</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6"/>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C common stock, $0.0001 par value, 160,000,000 shares authorized as of June 30, 2025; none issued and outstanding as of June 30,</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2025 and December 31, 2024</w:t>
            </w:r>
          </w:p>
        </w:tc>
        <w:tc>
          <w:tcPr>
            <w:tcW w:w="5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D common stock, $0.0001 par value, 160,000,000 shares authorized as of June 30, 2025; 22,899,037 shares issued and outstanding</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at June 30, 2025 and 72,899,037 issued and outstanding as of December 31, 2024</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(13,442)</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(137,004)</w:t>
            </w:r>
          </w:p>
        </w:tc>
        <w:tc>
          <w:tcPr>
            <w:tcW w:w="0" w:type="dxa"/>
            <w:vAlign w:val="bottom"/>
          </w:tcPr>
          <w:p>
            <w:pPr>
              <w:spacing w:after="0"/>
              <w:rPr>
                <w:sz w:val="1"/>
                <w:szCs w:val="1"/>
                <w:color w:val="auto"/>
              </w:rPr>
            </w:pPr>
          </w:p>
        </w:tc>
      </w:tr>
      <w:tr>
        <w:trPr>
          <w:trHeight w:val="193"/>
        </w:trPr>
        <w:tc>
          <w:tcPr>
            <w:tcW w:w="8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in treasury, at cost; 1,635,783 at June 30, 2025 and December 31, 2024</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0" w:type="dxa"/>
            <w:vAlign w:val="bottom"/>
          </w:tcPr>
          <w:p>
            <w:pPr>
              <w:spacing w:after="0"/>
              <w:rPr>
                <w:sz w:val="1"/>
                <w:szCs w:val="1"/>
                <w:color w:val="auto"/>
              </w:rPr>
            </w:pPr>
          </w:p>
        </w:tc>
      </w:tr>
      <w:tr>
        <w:trPr>
          <w:trHeight w:val="186"/>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deficit attributable to the Company</w:t>
            </w: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(25,037)</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(148,449)</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6"/>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(22,302)</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(147,831)</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Redeemable preferred non-controlling interests, Redeemable non-controlling interests and Stockholders' deficit</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905,537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881,077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ind w:left="5020"/>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3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(In thousands of U.S. dollars, except share and per share data)</w:t>
      </w:r>
    </w:p>
    <w:p>
      <w:pPr>
        <w:spacing w:after="0" w:line="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4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RNG Fuel (includes revenues from related parties of $17,878 and $15,881 for the three months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ended June 30, 2025 and 2024, respectively; $37,979 and $31,376 for the six months ended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 and 2024, respectively)</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25,130</w:t>
            </w:r>
          </w:p>
        </w:tc>
        <w:tc>
          <w:tcPr>
            <w:tcW w:w="5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19,445</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52,729</w:t>
            </w:r>
          </w:p>
        </w:tc>
        <w:tc>
          <w:tcPr>
            <w:tcW w:w="5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Fuel Station Services (includes revenues from related parties of $12,826 and $11,628 for the three</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months ended June 30, 2025 and 2024, respectively; $29,429 and $21,708 for the six months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ended June 30, 2025 and 2024, respectively)</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47,026</w:t>
            </w:r>
          </w:p>
        </w:tc>
        <w:tc>
          <w:tcPr>
            <w:tcW w:w="5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39,257</w:t>
            </w:r>
          </w:p>
        </w:tc>
        <w:tc>
          <w:tcPr>
            <w:tcW w:w="3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97,704</w:t>
            </w:r>
          </w:p>
        </w:tc>
        <w:tc>
          <w:tcPr>
            <w:tcW w:w="5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76,399</w:t>
            </w:r>
          </w:p>
        </w:tc>
        <w:tc>
          <w:tcPr>
            <w:tcW w:w="0" w:type="dxa"/>
            <w:vAlign w:val="bottom"/>
          </w:tcPr>
          <w:p>
            <w:pPr>
              <w:spacing w:after="0"/>
              <w:rPr>
                <w:sz w:val="1"/>
                <w:szCs w:val="1"/>
                <w:color w:val="auto"/>
              </w:rPr>
            </w:pPr>
          </w:p>
        </w:tc>
      </w:tr>
      <w:tr>
        <w:trPr>
          <w:trHeight w:val="16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Renewable Power (includes revenues from related parties of $1,488 and $1,804 for the three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months ended June 30, 2025 and 2024, respectively; $2,654 and $3,330 for the six months ended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 and 2024, respectively)</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12,248</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15,430</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22,331</w:t>
            </w: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80,456</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70,950</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165,863</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135,902</w:t>
            </w:r>
          </w:p>
        </w:tc>
        <w:tc>
          <w:tcPr>
            <w:tcW w:w="0" w:type="dxa"/>
            <w:vAlign w:val="bottom"/>
          </w:tcPr>
          <w:p>
            <w:pPr>
              <w:spacing w:after="0"/>
              <w:rPr>
                <w:sz w:val="1"/>
                <w:szCs w:val="1"/>
                <w:color w:val="auto"/>
              </w:rPr>
            </w:pPr>
          </w:p>
        </w:tc>
      </w:tr>
      <w:tr>
        <w:trPr>
          <w:trHeight w:val="17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RNG Fuel</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8,321</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23,567</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w:t>
            </w:r>
          </w:p>
        </w:tc>
        <w:tc>
          <w:tcPr>
            <w:tcW w:w="0" w:type="dxa"/>
            <w:vAlign w:val="bottom"/>
          </w:tcPr>
          <w:p>
            <w:pPr>
              <w:spacing w:after="0"/>
              <w:rPr>
                <w:sz w:val="1"/>
                <w:szCs w:val="1"/>
                <w:color w:val="auto"/>
              </w:rPr>
            </w:pPr>
          </w:p>
        </w:tc>
      </w:tr>
      <w:tr>
        <w:trPr>
          <w:trHeight w:val="193"/>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sales - Fuel Station Services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38,731</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30,938</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78,453</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61,273</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Renewable Power</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6,899</w:t>
            </w: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8,899</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13,661</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0" w:type="dxa"/>
            <w:vAlign w:val="bottom"/>
          </w:tcPr>
          <w:p>
            <w:pPr>
              <w:spacing w:after="0"/>
              <w:rPr>
                <w:sz w:val="1"/>
                <w:szCs w:val="1"/>
                <w:color w:val="auto"/>
              </w:rPr>
            </w:pPr>
          </w:p>
        </w:tc>
      </w:tr>
      <w:tr>
        <w:trPr>
          <w:trHeight w:val="193"/>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Project development and startup costs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2,935</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9,558</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17,460</w:t>
            </w: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13,699</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33,427</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26,860</w:t>
            </w:r>
          </w:p>
        </w:tc>
        <w:tc>
          <w:tcPr>
            <w:tcW w:w="0" w:type="dxa"/>
            <w:vAlign w:val="bottom"/>
          </w:tcPr>
          <w:p>
            <w:pPr>
              <w:spacing w:after="0"/>
              <w:rPr>
                <w:sz w:val="1"/>
                <w:szCs w:val="1"/>
                <w:color w:val="auto"/>
              </w:rPr>
            </w:pPr>
          </w:p>
        </w:tc>
      </w:tr>
      <w:tr>
        <w:trPr>
          <w:trHeight w:val="193"/>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5,264</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4,269</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11,206</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0" w:type="dxa"/>
            <w:vAlign w:val="bottom"/>
          </w:tcPr>
          <w:p>
            <w:pPr>
              <w:spacing w:after="0"/>
              <w:rPr>
                <w:sz w:val="1"/>
                <w:szCs w:val="1"/>
                <w:color w:val="auto"/>
              </w:rPr>
            </w:pPr>
          </w:p>
        </w:tc>
      </w:tr>
      <w:tr>
        <w:trPr>
          <w:trHeight w:val="186"/>
        </w:trPr>
        <w:tc>
          <w:tcPr>
            <w:tcW w:w="5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81,283</w:t>
            </w:r>
          </w:p>
        </w:tc>
        <w:tc>
          <w:tcPr>
            <w:tcW w:w="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65,261</w:t>
            </w: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168,632</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126,643</w:t>
            </w: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(loss) income</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5,689</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0" w:type="dxa"/>
            <w:vAlign w:val="bottom"/>
          </w:tcPr>
          <w:p>
            <w:pPr>
              <w:spacing w:after="0"/>
              <w:rPr>
                <w:sz w:val="1"/>
                <w:szCs w:val="1"/>
                <w:color w:val="auto"/>
              </w:rPr>
            </w:pPr>
          </w:p>
        </w:tc>
      </w:tr>
      <w:tr>
        <w:trPr>
          <w:trHeight w:val="17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 net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(12,432)</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(8,950)</w:t>
            </w:r>
          </w:p>
        </w:tc>
        <w:tc>
          <w:tcPr>
            <w:tcW w:w="0" w:type="dxa"/>
            <w:vAlign w:val="bottom"/>
          </w:tcPr>
          <w:p>
            <w:pPr>
              <w:spacing w:after="0"/>
              <w:rPr>
                <w:sz w:val="1"/>
                <w:szCs w:val="1"/>
                <w:color w:val="auto"/>
              </w:rPr>
            </w:pPr>
          </w:p>
        </w:tc>
      </w:tr>
      <w:tr>
        <w:trPr>
          <w:trHeight w:val="193"/>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fair value of derivative instruments, net</w:t>
            </w:r>
          </w:p>
        </w:tc>
        <w:tc>
          <w:tcPr>
            <w:tcW w:w="24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776</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432</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186"/>
        </w:trPr>
        <w:tc>
          <w:tcPr>
            <w:tcW w:w="5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other expenses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(10,111)</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(6,674)</w:t>
            </w: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income before provision for income taxes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1,908</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(12,880)</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0" w:type="dxa"/>
            <w:vAlign w:val="bottom"/>
          </w:tcPr>
          <w:p>
            <w:pPr>
              <w:spacing w:after="0"/>
              <w:rPr>
                <w:sz w:val="1"/>
                <w:szCs w:val="1"/>
                <w:color w:val="auto"/>
              </w:rPr>
            </w:pPr>
          </w:p>
        </w:tc>
      </w:tr>
      <w:tr>
        <w:trPr>
          <w:trHeight w:val="186"/>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benefit</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13,686</w:t>
            </w:r>
          </w:p>
        </w:tc>
        <w:tc>
          <w:tcPr>
            <w:tcW w:w="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21,723</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1,908</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8,843</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0" w:type="dxa"/>
            <w:vAlign w:val="bottom"/>
          </w:tcPr>
          <w:p>
            <w:pPr>
              <w:spacing w:after="0"/>
              <w:rPr>
                <w:sz w:val="1"/>
                <w:szCs w:val="1"/>
                <w:color w:val="auto"/>
              </w:rPr>
            </w:pPr>
          </w:p>
        </w:tc>
      </w:tr>
      <w:tr>
        <w:trPr>
          <w:trHeight w:val="186"/>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(loss) attributable to redeemable non-controlling interests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interests</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196</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3"/>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on redeemable preferred non-controlling interests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2,618</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(loss) attributable to Class A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 of Class A common stock:</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28,265,710</w:t>
            </w: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27,674,567</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27,995,258</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27,523,150</w:t>
            </w:r>
          </w:p>
        </w:tc>
        <w:tc>
          <w:tcPr>
            <w:tcW w:w="0" w:type="dxa"/>
            <w:vAlign w:val="bottom"/>
          </w:tcPr>
          <w:p>
            <w:pPr>
              <w:spacing w:after="0"/>
              <w:rPr>
                <w:sz w:val="1"/>
                <w:szCs w:val="1"/>
                <w:color w:val="auto"/>
              </w:rPr>
            </w:pPr>
          </w:p>
        </w:tc>
      </w:tr>
      <w:tr>
        <w:trPr>
          <w:trHeight w:val="193"/>
        </w:trPr>
        <w:tc>
          <w:tcPr>
            <w:tcW w:w="5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29,229,245</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27,674,567</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28,688,505</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27,523,150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 share amounts:</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5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5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3"/>
        </w:trPr>
        <w:tc>
          <w:tcPr>
            <w:tcW w:w="5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8"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3"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8,843</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(8,006)</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Distributions from equity method investments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Provision for bad debts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Reduction of carrying amount of operating lease right-of-use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Write-offs of capitalized costs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7,706</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Accretion expense related to asset retirement obligation</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Paid-in-kind interest expense (income)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 in fair value of commodity swaps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gain on note receivable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Unrealized gain on derivative financial instruments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related party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tax credits receivable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 and other current and long-term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related party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tax credits payable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payroll</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liabilities - current and non-current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Contract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21,805</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14,251</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(49,742)</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9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received from equity method investment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to equity method investments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(36,026)</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(54,080)</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OPAL Term Loan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for taxes related to net share settlement of equity awards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Financing costs paid to other third parties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24"/>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OPAL Revolving Loan</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Repayment of Sunoma Loan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24"/>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principal portion of finance lease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preferred dividends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w:t>
            </w:r>
          </w:p>
        </w:tc>
      </w:tr>
    </w:tbl>
    <w:p>
      <w:pPr>
        <w:spacing w:after="0" w:line="200" w:lineRule="exact"/>
        <w:rPr>
          <w:sz w:val="20"/>
          <w:szCs w:val="20"/>
          <w:color w:val="auto"/>
        </w:rPr>
      </w:pP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8" w:right="339" w:bottom="1440" w:gutter="0" w:footer="0" w:header="0"/>
          <w:type w:val="continuous"/>
        </w:sectPr>
      </w:pPr>
    </w:p>
    <w:bookmarkStart w:id="18" w:name="page19"/>
    <w:bookmarkEnd w:id="1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 to non-redeemable non-controlling interest</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issuance of shares of Class A common stock under the ATM program, net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Capital contribution from non-redeemable non-controlling interests</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5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18,498</w:t>
            </w: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15,036</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restricted cash, and cash equivalents</w:t>
            </w: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(24,793)</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 net of $1,241 and $2,074 capitalized, respectively</w:t>
            </w: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benefit received</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21,723</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 for asset retirement obligation included in Property, plant and equipment</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arising from lease modifications</w:t>
            </w: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 for purchase of Property, plant and equipment included in Accounts payable and Accrued capital expenses</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24,859</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(Unaudited)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our net income to Adjusted EBITDA:</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17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2860" w:type="dxa"/>
            <w:vAlign w:val="bottom"/>
            <w:tcBorders>
              <w:top w:val="single" w:sz="8" w:color="auto"/>
              <w:bottom w:val="single" w:sz="8" w:color="auto"/>
            </w:tcBorders>
            <w:gridSpan w:val="10"/>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780" w:type="dxa"/>
            <w:vAlign w:val="bottom"/>
            <w:tcBorders>
              <w:top w:val="single" w:sz="8" w:color="auto"/>
              <w:bottom w:val="single" w:sz="8" w:color="auto"/>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RNG Fuel</w:t>
            </w:r>
          </w:p>
        </w:tc>
        <w:tc>
          <w:tcPr>
            <w:tcW w:w="100" w:type="dxa"/>
            <w:vAlign w:val="bottom"/>
          </w:tcPr>
          <w:p>
            <w:pPr>
              <w:spacing w:after="0"/>
              <w:rPr>
                <w:sz w:val="11"/>
                <w:szCs w:val="11"/>
                <w:color w:val="auto"/>
              </w:rPr>
            </w:pPr>
          </w:p>
        </w:tc>
        <w:tc>
          <w:tcPr>
            <w:tcW w:w="9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9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8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840" w:type="dxa"/>
            <w:vAlign w:val="bottom"/>
            <w:gridSpan w:val="2"/>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1"/>
                <w:szCs w:val="11"/>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9"/>
                <w:szCs w:val="9"/>
                <w:color w:val="auto"/>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7,886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7,559</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24,396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8,843</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7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 to</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and financing</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6,367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12,404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12,432</w:t>
            </w:r>
          </w:p>
        </w:tc>
        <w:tc>
          <w:tcPr>
            <w:tcW w:w="0" w:type="dxa"/>
            <w:vAlign w:val="bottom"/>
          </w:tcPr>
          <w:p>
            <w:pPr>
              <w:spacing w:after="0"/>
              <w:rPr>
                <w:sz w:val="1"/>
                <w:szCs w:val="1"/>
                <w:color w:val="auto"/>
              </w:rPr>
            </w:pP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net</w:t>
            </w: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income attributable to</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non-redeemable non-</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interests</w:t>
            </w: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Depreciation, amortization</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5,954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11,206</w:t>
            </w:r>
          </w:p>
        </w:tc>
        <w:tc>
          <w:tcPr>
            <w:tcW w:w="0" w:type="dxa"/>
            <w:vAlign w:val="bottom"/>
          </w:tcPr>
          <w:p>
            <w:pPr>
              <w:spacing w:after="0"/>
              <w:rPr>
                <w:sz w:val="1"/>
                <w:szCs w:val="1"/>
                <w:color w:val="auto"/>
              </w:rPr>
            </w:pP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accretion</w:t>
            </w: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Adjustments to reflect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Adjusted EBITDA from</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method investments</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8,257</w:t>
            </w:r>
          </w:p>
        </w:tc>
        <w:tc>
          <w:tcPr>
            <w:tcW w:w="0" w:type="dxa"/>
            <w:vAlign w:val="bottom"/>
          </w:tcPr>
          <w:p>
            <w:pPr>
              <w:spacing w:after="0"/>
              <w:rPr>
                <w:sz w:val="1"/>
                <w:szCs w:val="1"/>
                <w:color w:val="auto"/>
              </w:rPr>
            </w:pPr>
          </w:p>
        </w:tc>
      </w:tr>
      <w:tr>
        <w:trPr>
          <w:trHeight w:val="128"/>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Fair value changes and</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1,616</w:t>
            </w:r>
          </w:p>
        </w:tc>
        <w:tc>
          <w:tcPr>
            <w:tcW w:w="0" w:type="dxa"/>
            <w:vAlign w:val="bottom"/>
          </w:tcPr>
          <w:p>
            <w:pPr>
              <w:spacing w:after="0"/>
              <w:rPr>
                <w:sz w:val="1"/>
                <w:szCs w:val="1"/>
                <w:color w:val="auto"/>
              </w:rPr>
            </w:pPr>
          </w:p>
        </w:tc>
      </w:tr>
      <w:tr>
        <w:trPr>
          <w:trHeight w:val="201"/>
        </w:trPr>
        <w:tc>
          <w:tcPr>
            <w:tcW w:w="17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non-recurring charges </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195"/>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9"/>
                <w:szCs w:val="9"/>
                <w:color w:val="auto"/>
              </w:rPr>
              <w:t>(4)</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2,690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7,859</w:t>
            </w:r>
          </w:p>
        </w:tc>
        <w:tc>
          <w:tcPr>
            <w:tcW w:w="0" w:type="dxa"/>
            <w:vAlign w:val="bottom"/>
          </w:tcPr>
          <w:p>
            <w:pPr>
              <w:spacing w:after="0"/>
              <w:rPr>
                <w:sz w:val="1"/>
                <w:szCs w:val="1"/>
                <w:color w:val="auto"/>
              </w:rPr>
            </w:pPr>
          </w:p>
        </w:tc>
      </w:tr>
      <w:tr>
        <w:trPr>
          <w:trHeight w:val="146"/>
        </w:trPr>
        <w:tc>
          <w:tcPr>
            <w:tcW w:w="17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Major maintenance for</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4,097</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Power</w:t>
            </w: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 proceeds, net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(21,458)</w:t>
            </w:r>
          </w:p>
        </w:tc>
        <w:tc>
          <w:tcPr>
            <w:tcW w:w="0" w:type="dxa"/>
            <w:vAlign w:val="bottom"/>
          </w:tcPr>
          <w:p>
            <w:pPr>
              <w:spacing w:after="0"/>
              <w:rPr>
                <w:sz w:val="1"/>
                <w:szCs w:val="1"/>
                <w:color w:val="auto"/>
              </w:rPr>
            </w:pPr>
          </w:p>
        </w:tc>
      </w:tr>
      <w:tr>
        <w:trPr>
          <w:trHeight w:val="227"/>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36,581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36,572</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00"/>
          </w:cols>
          <w:pgMar w:left="320" w:top="1417" w:right="479" w:bottom="1440" w:gutter="0" w:footer="0" w:header="0"/>
        </w:sectPr>
      </w:pPr>
    </w:p>
    <w:bookmarkStart w:id="21" w:name="page22"/>
    <w:bookmarkEnd w:id="21"/>
    <w:p>
      <w:pPr>
        <w:spacing w:after="0" w:line="3" w:lineRule="exact"/>
        <w:rPr>
          <w:sz w:val="20"/>
          <w:szCs w:val="20"/>
          <w:color w:val="auto"/>
        </w:rPr>
      </w:pPr>
    </w:p>
    <w:tbl>
      <w:tblPr>
        <w:tblLayout w:type="fixed"/>
        <w:tblInd w:w="152" w:type="dxa"/>
        <w:tblCellMar>
          <w:top w:w="0" w:type="dxa"/>
          <w:left w:w="0" w:type="dxa"/>
          <w:bottom w:w="0" w:type="dxa"/>
          <w:right w:w="0" w:type="dxa"/>
        </w:tblCellMar>
      </w:tblPr>
      <w:tr>
        <w:trPr>
          <w:trHeight w:val="243"/>
        </w:trPr>
        <w:tc>
          <w:tcPr>
            <w:tcW w:w="17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2900" w:type="dxa"/>
            <w:vAlign w:val="bottom"/>
            <w:tcBorders>
              <w:top w:val="single" w:sz="8" w:color="auto"/>
              <w:bottom w:val="single" w:sz="8" w:color="auto"/>
            </w:tcBorders>
            <w:gridSpan w:val="10"/>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720" w:type="dxa"/>
            <w:vAlign w:val="bottom"/>
            <w:tcBorders>
              <w:top w:val="single" w:sz="8" w:color="auto"/>
              <w:bottom w:val="single" w:sz="8" w:color="auto"/>
            </w:tcBorders>
            <w:gridSpan w:val="8"/>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100" w:type="dxa"/>
            <w:vAlign w:val="bottom"/>
          </w:tcPr>
          <w:p>
            <w:pPr>
              <w:spacing w:after="0"/>
              <w:rPr>
                <w:sz w:val="11"/>
                <w:szCs w:val="11"/>
                <w:color w:val="auto"/>
              </w:rPr>
            </w:pPr>
          </w:p>
        </w:tc>
        <w:tc>
          <w:tcPr>
            <w:tcW w:w="9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8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74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7,069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1,908</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12,757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2,585</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income (loss) to</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and financing</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9,334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8,950</w:t>
            </w:r>
          </w:p>
        </w:tc>
        <w:tc>
          <w:tcPr>
            <w:tcW w:w="0" w:type="dxa"/>
            <w:vAlign w:val="bottom"/>
          </w:tcPr>
          <w:p>
            <w:pPr>
              <w:spacing w:after="0"/>
              <w:rPr>
                <w:sz w:val="1"/>
                <w:szCs w:val="1"/>
                <w:color w:val="auto"/>
              </w:rPr>
            </w:pPr>
          </w:p>
        </w:tc>
      </w:tr>
      <w:tr>
        <w:trPr>
          <w:trHeight w:val="19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net</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income attributable to</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non-redeemable non-</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interests</w:t>
            </w: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Depreciation, amortization</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7,980</w:t>
            </w:r>
          </w:p>
        </w:tc>
        <w:tc>
          <w:tcPr>
            <w:tcW w:w="0" w:type="dxa"/>
            <w:vAlign w:val="bottom"/>
          </w:tcPr>
          <w:p>
            <w:pPr>
              <w:spacing w:after="0"/>
              <w:rPr>
                <w:sz w:val="1"/>
                <w:szCs w:val="1"/>
                <w:color w:val="auto"/>
              </w:rPr>
            </w:pPr>
          </w:p>
        </w:tc>
      </w:tr>
      <w:tr>
        <w:trPr>
          <w:trHeight w:val="19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accretion</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Adjustments to reflect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Adjusted EBITDA from</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equity method investments</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5,162</w:t>
            </w: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Fair value changes and</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1,399</w:t>
            </w:r>
          </w:p>
        </w:tc>
        <w:tc>
          <w:tcPr>
            <w:tcW w:w="0" w:type="dxa"/>
            <w:vAlign w:val="bottom"/>
          </w:tcPr>
          <w:p>
            <w:pPr>
              <w:spacing w:after="0"/>
              <w:rPr>
                <w:sz w:val="1"/>
                <w:szCs w:val="1"/>
                <w:color w:val="auto"/>
              </w:rPr>
            </w:pPr>
          </w:p>
        </w:tc>
      </w:tr>
      <w:tr>
        <w:trPr>
          <w:trHeight w:val="201"/>
        </w:trPr>
        <w:tc>
          <w:tcPr>
            <w:tcW w:w="174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non-recurring charges </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2,198</w:t>
            </w: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Major maintenance for</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5,373</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Power</w:t>
            </w: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8,626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21,081</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33,787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15,644</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10,240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36,304</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52" w:hanging="152"/>
        <w:spacing w:after="0"/>
        <w:tabs>
          <w:tab w:leader="none" w:pos="152"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income (loss) by segment is included in our quarterly report on Form 10-Q.</w:t>
      </w:r>
    </w:p>
    <w:p>
      <w:pPr>
        <w:spacing w:after="0" w:line="132" w:lineRule="exact"/>
        <w:rPr>
          <w:rFonts w:ascii="Times New Roman" w:cs="Times New Roman" w:eastAsia="Times New Roman" w:hAnsi="Times New Roman"/>
          <w:sz w:val="19"/>
          <w:szCs w:val="19"/>
          <w:color w:val="auto"/>
          <w:vertAlign w:val="superscript"/>
        </w:rPr>
      </w:pPr>
    </w:p>
    <w:p>
      <w:pPr>
        <w:ind w:left="152" w:hanging="152"/>
        <w:spacing w:after="0"/>
        <w:tabs>
          <w:tab w:leader="none" w:pos="152"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interest, depreciation, amortization and accretion and RNG development costs incurred on equity method investments.</w:t>
      </w:r>
    </w:p>
    <w:p>
      <w:pPr>
        <w:spacing w:after="0" w:line="162" w:lineRule="exact"/>
        <w:rPr>
          <w:rFonts w:ascii="Times New Roman" w:cs="Times New Roman" w:eastAsia="Times New Roman" w:hAnsi="Times New Roman"/>
          <w:sz w:val="19"/>
          <w:szCs w:val="19"/>
          <w:color w:val="auto"/>
          <w:vertAlign w:val="superscript"/>
        </w:rPr>
      </w:pPr>
    </w:p>
    <w:p>
      <w:pPr>
        <w:ind w:left="-8" w:firstLine="8"/>
        <w:spacing w:after="0" w:line="281" w:lineRule="auto"/>
        <w:tabs>
          <w:tab w:leader="none" w:pos="137"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changes in the fair value of commodity swaps, earnout liabilities, and note receivable. Also includes one-time, non-recurring charges, such as: (i) certain development-related expenses for RNG facilities—specifically lease and legal costs incurred during the construction phase that were not eligible for capitalization under GAAP (2024); and (ii) contract restructuring costs associated with an existing customer exit agreement (2025).</w:t>
      </w:r>
    </w:p>
    <w:p>
      <w:pPr>
        <w:spacing w:after="0" w:line="136" w:lineRule="exact"/>
        <w:rPr>
          <w:rFonts w:ascii="Times New Roman" w:cs="Times New Roman" w:eastAsia="Times New Roman" w:hAnsi="Times New Roman"/>
          <w:sz w:val="9"/>
          <w:szCs w:val="9"/>
          <w:color w:val="auto"/>
        </w:rPr>
      </w:pPr>
    </w:p>
    <w:p>
      <w:pPr>
        <w:ind w:left="-8" w:right="280" w:firstLine="8"/>
        <w:spacing w:after="0" w:line="362" w:lineRule="auto"/>
        <w:tabs>
          <w:tab w:leader="none" w:pos="124"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virtual pipeline costs on our Prince William and Polk facilities. These are temporary additional transportation costs incurred until a permanent pipeline solution is completed. Also includes RNG development costs which are lease costs related to Central Valley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1212"/>
      </w:cols>
      <w:pgMar w:left="328"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4"/>
      <w:numFmt w:val="bullet"/>
      <w:start w:val="1"/>
    </w:lvl>
  </w:abstractNum>
  <w:abstractNum w:abstractNumId="9">
    <w:nsid w:val="7FDCC233"/>
    <w:multiLevelType w:val="hybridMultilevel"/>
    <w:lvl w:ilvl="0">
      <w:lvlJc w:val="left"/>
      <w:lvlText w:val="5"/>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6"/>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914"/>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2025-08-07T16:15:27Z</dcterms:created>
  <dcterms:modified xsi:type="dcterms:W3CDTF">2025-08-07T16:15:27Z</dcterms:modified>
</cp:coreProperties>
</file>