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12b-25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001-40272</w:t>
      </w:r>
      <w:r>
        <w:rPr>
          <w:color w:val="000000"/>
        </w:rPr>
        <w:t> </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NOTIFICATION OF LATE FILING </w:t>
      </w:r>
    </w:p>
    <w:p>
      <w:pPr>
        <w:pStyle w:val="TextBody"/>
        <w:bidi w:val="0"/>
        <w:spacing w:lineRule="auto" w:line="288" w:before="0" w:after="0"/>
        <w:jc w:val="left"/>
        <w:rPr>
          <w:color w:val="000000"/>
        </w:rPr>
      </w:pPr>
      <w:r>
        <w:rPr>
          <w:color w:val="000000"/>
        </w:rPr>
        <w:t> </w:t>
      </w:r>
    </w:p>
    <w:tbl>
      <w:tblPr>
        <w:tblW w:w="58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20"/>
        <w:gridCol w:w="1520"/>
        <w:gridCol w:w="2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Form 10-K </w:t>
            </w:r>
            <w:r>
              <w:rPr>
                <w:color w:val="000000"/>
              </w:rPr>
              <w:t xml:space="preserve">☐ </w:t>
            </w: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 xml:space="preserve">Form 11-K </w:t>
            </w:r>
          </w:p>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Form 10-Q </w:t>
            </w:r>
            <w:r>
              <w:rPr>
                <w:color w:val="000000"/>
              </w:rPr>
              <w:t xml:space="preserve">☐ </w:t>
            </w:r>
            <w:r>
              <w:rPr>
                <w:rFonts w:ascii="Times New Roman;sans-serif" w:hAnsi="Times New Roman;sans-serif"/>
                <w:b w:val="false"/>
                <w:color w:val="000000"/>
                <w:sz w:val="20"/>
              </w:rPr>
              <w:t xml:space="preserve">Form 10-D </w:t>
            </w:r>
            <w:r>
              <w:rPr>
                <w:color w:val="000000"/>
              </w:rPr>
              <w:t xml:space="preserve">☐ </w:t>
            </w:r>
            <w:r>
              <w:rPr>
                <w:rFonts w:ascii="Times New Roman;sans-serif" w:hAnsi="Times New Roman;sans-serif"/>
                <w:b w:val="false"/>
                <w:color w:val="000000"/>
                <w:sz w:val="20"/>
              </w:rPr>
              <w:t>Form N-CEN</w:t>
            </w:r>
            <w:r>
              <w:rPr>
                <w:color w:val="000000"/>
              </w:rPr>
              <w:t xml:space="preserve"> ☐ </w:t>
            </w:r>
            <w:r>
              <w:rPr>
                <w:rFonts w:ascii="Times New Roman;sans-serif" w:hAnsi="Times New Roman;sans-serif"/>
                <w:b w:val="false"/>
                <w:color w:val="000000"/>
                <w:sz w:val="20"/>
              </w:rPr>
              <w:t>Form N-CSR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 Period Ended: </w:t>
            </w:r>
            <w:r>
              <w:rPr>
                <w:rFonts w:ascii="Times New Roman;sans-serif" w:hAnsi="Times New Roman;sans-serif"/>
                <w:b/>
                <w:color w:val="000000"/>
                <w:sz w:val="20"/>
              </w:rPr>
              <w:t>March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10-K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20-F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11-K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10-Q</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 the Transition Period Ended: </w:t>
            </w:r>
            <w:r>
              <w:rPr>
                <w:color w:val="000000"/>
                <w:u w:val="single"/>
              </w:rPr>
              <w:t> </w:t>
            </w:r>
          </w:p>
        </w:tc>
      </w:tr>
    </w:tbl>
    <w:p>
      <w:pPr>
        <w:pStyle w:val="TextBody"/>
        <w:bidi w:val="0"/>
        <w:spacing w:lineRule="auto" w:line="288" w:before="0" w:after="0"/>
        <w:jc w:val="left"/>
        <w:rPr>
          <w:color w:val="000000"/>
        </w:rPr>
      </w:pPr>
      <w:r>
        <w:rPr>
          <w:color w:val="000000"/>
        </w:rPr>
        <w:t> </w:t>
      </w:r>
    </w:p>
    <w:tbl>
      <w:tblPr>
        <w:tblW w:w="9900" w:type="dxa"/>
        <w:jc w:val="left"/>
        <w:tblInd w:w="0" w:type="dxa"/>
        <w:tblLayout w:type="fixed"/>
        <w:tblCellMar>
          <w:top w:w="28" w:type="dxa"/>
          <w:left w:w="28" w:type="dxa"/>
          <w:bottom w:w="28" w:type="dxa"/>
          <w:right w:w="28" w:type="dxa"/>
        </w:tblCellMar>
      </w:tblPr>
      <w:tblGrid>
        <w:gridCol w:w="3167"/>
        <w:gridCol w:w="2784"/>
        <w:gridCol w:w="3949"/>
      </w:tblGrid>
      <w:tr>
        <w:trPr/>
        <w:tc>
          <w:tcPr>
            <w:tcW w:w="3167"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9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0" w:type="dxa"/>
            <w:gridSpan w:val="3"/>
            <w:tcBorders>
              <w:top w:val="single" w:sz="6" w:space="0" w:color="000000"/>
              <w:left w:val="single" w:sz="6" w:space="0" w:color="000000"/>
              <w:right w:val="single" w:sz="6" w:space="0" w:color="000000"/>
            </w:tcBorders>
            <w:tcMar>
              <w:top w:w="30" w:type="dxa"/>
              <w:left w:w="135"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9900" w:type="dxa"/>
            <w:gridSpan w:val="3"/>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Nothing in this form shall be construed to imply that the Commission has verified any information contained herein.</w:t>
            </w:r>
          </w:p>
          <w:p>
            <w:pPr>
              <w:pStyle w:val="TableContents"/>
              <w:bidi w:val="0"/>
              <w:spacing w:lineRule="auto" w:line="288" w:before="0" w:after="20"/>
              <w:jc w:val="left"/>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notification relates to a portion of the filing checked above, identify the item(s) to which the notification relates: </w:t>
      </w:r>
    </w:p>
    <w:p>
      <w:pPr>
        <w:pStyle w:val="TextBody"/>
        <w:bidi w:val="0"/>
        <w:spacing w:lineRule="auto" w:line="288" w:before="0" w:after="0"/>
        <w:jc w:val="left"/>
        <w:rPr>
          <w:color w:val="000000"/>
        </w:rPr>
      </w:pPr>
      <w:r>
        <w:rPr>
          <w:color w:val="000000"/>
        </w:rPr>
        <w:t>  </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 – REGISTRANT INFORMATION </w:t>
      </w:r>
    </w:p>
    <w:p>
      <w:pPr>
        <w:pStyle w:val="TextBody"/>
        <w:bidi w:val="0"/>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 xml:space="preserve">OPAL FUELS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Full Name of Registrant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Former Name if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One North Lexington Avenue, Suite 1450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 (Street and Number)</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City, State and Zip Code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 – RULE 12b-25(b) AND (c)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7"/>
        <w:gridCol w:w="112"/>
        <w:gridCol w:w="112"/>
        <w:gridCol w:w="109"/>
        <w:gridCol w:w="109"/>
        <w:gridCol w:w="109"/>
        <w:gridCol w:w="109"/>
        <w:gridCol w:w="109"/>
        <w:gridCol w:w="109"/>
        <w:gridCol w:w="109"/>
        <w:gridCol w:w="109"/>
        <w:gridCol w:w="109"/>
        <w:gridCol w:w="2594"/>
        <w:gridCol w:w="2594"/>
        <w:gridCol w:w="3685"/>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reasons described in reasonable detail in Part III of this Form could not be eliminated without unreasonable effort or expense;</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accountant’s statement or other exhibit required by Rule 12b-25(c) has been attached if applicable.</w:t>
            </w:r>
          </w:p>
        </w:tc>
      </w:tr>
    </w:tbl>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III – NARRATIVE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below in reasonable detail the reasons why Forms 10-K, 20-F, 11-K, 10-Q, 10-D, N-CEN, N-CSR, or the transition report or portion thereof, could not be filed within the prescribed time period. </w:t>
      </w:r>
    </w:p>
    <w:p>
      <w:pPr>
        <w:pStyle w:val="TextBody"/>
        <w:bidi w:val="0"/>
        <w:spacing w:lineRule="auto" w:line="288" w:before="240" w:after="283"/>
        <w:jc w:val="both"/>
        <w:rPr/>
      </w:pPr>
      <w:r>
        <w:rPr>
          <w:rFonts w:ascii="Times New Roman;sans-serif" w:hAnsi="Times New Roman;sans-serif"/>
          <w:b w:val="false"/>
          <w:color w:val="000000"/>
          <w:sz w:val="20"/>
        </w:rPr>
        <w:t>OPAL Fuels Inc. was not able to file its Quarterly Report on Form 10-Q for the quarter ended March 31, 2025 (the “</w:t>
      </w:r>
      <w:r>
        <w:rPr>
          <w:rFonts w:ascii="Times New Roman;sans-serif" w:hAnsi="Times New Roman;sans-serif"/>
          <w:b/>
          <w:color w:val="000000"/>
          <w:sz w:val="20"/>
        </w:rPr>
        <w:t>Quarterly Report</w:t>
      </w:r>
      <w:r>
        <w:rPr>
          <w:color w:val="000000"/>
        </w:rPr>
        <w:t>”</w:t>
      </w:r>
      <w:r>
        <w:rPr>
          <w:rFonts w:ascii="Times New Roman;sans-serif" w:hAnsi="Times New Roman;sans-serif"/>
          <w:b w:val="false"/>
          <w:color w:val="000000"/>
          <w:sz w:val="20"/>
        </w:rPr>
        <w:t>) within the prescribed time period without unreasonable effort due to a software issue related to XBRL tagging that was resolved and led to the Quarterly Report being filed with the Securities and Exchange Commission (the “</w:t>
      </w:r>
      <w:r>
        <w:rPr>
          <w:rFonts w:ascii="Times New Roman;sans-serif" w:hAnsi="Times New Roman;sans-serif"/>
          <w:b/>
          <w:color w:val="000000"/>
          <w:sz w:val="20"/>
        </w:rPr>
        <w:t>SEC</w:t>
      </w:r>
      <w:r>
        <w:rPr>
          <w:color w:val="000000"/>
        </w:rPr>
        <w:t>”</w:t>
      </w:r>
      <w:r>
        <w:rPr>
          <w:rFonts w:ascii="Times New Roman;sans-serif" w:hAnsi="Times New Roman;sans-serif"/>
          <w:b w:val="false"/>
          <w:color w:val="000000"/>
          <w:sz w:val="20"/>
        </w:rPr>
        <w:t xml:space="preserve">) shortly after the filing deadline of 5:30 p.m. Eastern Time. The Quarterly Report has been filed and is currently available on the SEC’s EDGAR website. </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IV – OTHER INFORMATION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474"/>
        <w:gridCol w:w="474"/>
        <w:gridCol w:w="476"/>
        <w:gridCol w:w="238"/>
        <w:gridCol w:w="238"/>
        <w:gridCol w:w="238"/>
        <w:gridCol w:w="238"/>
        <w:gridCol w:w="238"/>
        <w:gridCol w:w="238"/>
        <w:gridCol w:w="238"/>
        <w:gridCol w:w="238"/>
        <w:gridCol w:w="238"/>
        <w:gridCol w:w="419"/>
        <w:gridCol w:w="389"/>
        <w:gridCol w:w="318"/>
        <w:gridCol w:w="238"/>
        <w:gridCol w:w="238"/>
        <w:gridCol w:w="238"/>
        <w:gridCol w:w="238"/>
        <w:gridCol w:w="238"/>
        <w:gridCol w:w="238"/>
        <w:gridCol w:w="238"/>
        <w:gridCol w:w="238"/>
        <w:gridCol w:w="238"/>
        <w:gridCol w:w="798"/>
        <w:gridCol w:w="618"/>
        <w:gridCol w:w="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of person to contact in regard to this notification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Coghlin</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(914)</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705-4000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(Area Code)</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Number)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0"/>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Is it anticipated that any significant change in results of operations from the corresponding period for the last fiscal year will be reflected by the earnings statements to be included in the subject report or portion thereof?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OPAL FUELS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(Name of Registrant as Specified in Charter)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has caused this notification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6184" w:type="dxa"/>
        <w:jc w:val="left"/>
        <w:tblInd w:w="0" w:type="dxa"/>
        <w:tblLayout w:type="fixed"/>
        <w:tblCellMar>
          <w:top w:w="28" w:type="dxa"/>
          <w:left w:w="28" w:type="dxa"/>
          <w:bottom w:w="28" w:type="dxa"/>
          <w:right w:w="28" w:type="dxa"/>
        </w:tblCellMar>
      </w:tblPr>
      <w:tblGrid>
        <w:gridCol w:w="254"/>
        <w:gridCol w:w="224"/>
        <w:gridCol w:w="226"/>
        <w:gridCol w:w="109"/>
        <w:gridCol w:w="109"/>
        <w:gridCol w:w="109"/>
        <w:gridCol w:w="415"/>
        <w:gridCol w:w="415"/>
        <w:gridCol w:w="415"/>
        <w:gridCol w:w="109"/>
        <w:gridCol w:w="109"/>
        <w:gridCol w:w="109"/>
        <w:gridCol w:w="109"/>
        <w:gridCol w:w="109"/>
        <w:gridCol w:w="109"/>
        <w:gridCol w:w="109"/>
        <w:gridCol w:w="109"/>
        <w:gridCol w:w="109"/>
        <w:gridCol w:w="149"/>
        <w:gridCol w:w="149"/>
        <w:gridCol w:w="151"/>
        <w:gridCol w:w="109"/>
        <w:gridCol w:w="109"/>
        <w:gridCol w:w="109"/>
        <w:gridCol w:w="109"/>
        <w:gridCol w:w="109"/>
        <w:gridCol w:w="109"/>
        <w:gridCol w:w="109"/>
        <w:gridCol w:w="109"/>
        <w:gridCol w:w="109"/>
        <w:gridCol w:w="159"/>
        <w:gridCol w:w="159"/>
        <w:gridCol w:w="159"/>
        <w:gridCol w:w="159"/>
        <w:gridCol w:w="159"/>
        <w:gridCol w:w="159"/>
        <w:gridCol w:w="159"/>
        <w:gridCol w:w="159"/>
        <w:gridCol w:w="22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7"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/s/ John Coghlin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7"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7"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622</Words>
  <Characters>3153</Characters>
  <CharactersWithSpaces>3821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