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__)*</w:t>
      </w:r>
    </w:p>
    <w:p>
      <w:pPr>
        <w:spacing w:after="0" w:line="203"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68347P103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460" w:hanging="115"/>
        <w:spacing w:after="0"/>
        <w:tabs>
          <w:tab w:leader="none" w:pos="4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 Rule 13d-1(b)</w:t>
      </w:r>
    </w:p>
    <w:p>
      <w:pPr>
        <w:spacing w:after="0" w:line="27" w:lineRule="exact"/>
        <w:rPr>
          <w:rFonts w:ascii="Times New Roman" w:cs="Times New Roman" w:eastAsia="Times New Roman" w:hAnsi="Times New Roman"/>
          <w:sz w:val="18"/>
          <w:szCs w:val="18"/>
          <w:color w:val="auto"/>
        </w:rPr>
      </w:pPr>
    </w:p>
    <w:p>
      <w:pPr>
        <w:ind w:left="500" w:hanging="155"/>
        <w:spacing w:after="0"/>
        <w:tabs>
          <w:tab w:leader="none" w:pos="5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Rule 13d-1(c)</w:t>
      </w:r>
    </w:p>
    <w:p>
      <w:pPr>
        <w:spacing w:after="0" w:line="9" w:lineRule="exact"/>
        <w:rPr>
          <w:rFonts w:ascii="Times New Roman" w:cs="Times New Roman" w:eastAsia="Times New Roman" w:hAnsi="Times New Roman"/>
          <w:sz w:val="18"/>
          <w:szCs w:val="18"/>
          <w:color w:val="auto"/>
        </w:rPr>
      </w:pPr>
    </w:p>
    <w:p>
      <w:pPr>
        <w:ind w:left="460" w:hanging="115"/>
        <w:spacing w:after="0"/>
        <w:tabs>
          <w:tab w:leader="none" w:pos="4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Rule 13d-1(d)</w:t>
      </w:r>
    </w:p>
    <w:p>
      <w:pPr>
        <w:spacing w:after="0" w:line="206"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 w:name="page2"/>
    <w:bookmarkEnd w:id="1"/>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68347P103</w:t>
      </w:r>
      <w:r>
        <w:rPr>
          <w:sz w:val="20"/>
          <w:szCs w:val="20"/>
          <w:color w:val="auto"/>
        </w:rPr>
        <w:tab/>
      </w:r>
      <w:r>
        <w:rPr>
          <w:rFonts w:ascii="Times New Roman" w:cs="Times New Roman" w:eastAsia="Times New Roman" w:hAnsi="Times New Roman"/>
          <w:sz w:val="17"/>
          <w:szCs w:val="17"/>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3540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3540125"/>
                    </a:xfrm>
                    <a:prstGeom prst="rect">
                      <a:avLst/>
                    </a:prstGeom>
                    <a:noFill/>
                  </pic:spPr>
                </pic:pic>
              </a:graphicData>
            </a:graphic>
          </wp:anchor>
        </w:drawing>
      </w:r>
    </w:p>
    <w:p>
      <w:pPr>
        <w:spacing w:after="0" w:line="7" w:lineRule="exact"/>
        <w:rPr>
          <w:sz w:val="20"/>
          <w:szCs w:val="20"/>
          <w:color w:val="auto"/>
        </w:rPr>
      </w:pPr>
    </w:p>
    <w:p>
      <w:pPr>
        <w:ind w:left="920" w:right="7480" w:hanging="498"/>
        <w:spacing w:after="0" w:line="258"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Meteora Capital, LLC</w:t>
      </w:r>
    </w:p>
    <w:p>
      <w:pPr>
        <w:ind w:left="920" w:hanging="498"/>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rFonts w:ascii="Times New Roman" w:cs="Times New Roman" w:eastAsia="Times New Roman" w:hAnsi="Times New Roman"/>
          <w:sz w:val="18"/>
          <w:szCs w:val="18"/>
          <w:color w:val="auto"/>
        </w:rPr>
      </w:pPr>
    </w:p>
    <w:p>
      <w:pPr>
        <w:ind w:left="1220" w:hanging="294"/>
        <w:spacing w:after="0"/>
        <w:tabs>
          <w:tab w:leader="none" w:pos="12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20" w:hanging="294"/>
        <w:spacing w:after="0"/>
        <w:tabs>
          <w:tab w:leader="none" w:pos="12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20" w:hanging="498"/>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4" w:lineRule="exact"/>
        <w:rPr>
          <w:sz w:val="20"/>
          <w:szCs w:val="20"/>
          <w:color w:val="auto"/>
        </w:rPr>
      </w:pPr>
    </w:p>
    <w:p>
      <w:pPr>
        <w:ind w:left="920" w:right="6600" w:hanging="498"/>
        <w:spacing w:after="0" w:line="261"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ectPr>
          <w:pgSz w:w="11900" w:h="16838" w:orient="portrait"/>
          <w:cols w:equalWidth="0" w:num="1">
            <w:col w:w="11240"/>
          </w:cols>
          <w:pgMar w:left="320" w:top="1012" w:right="339" w:bottom="1440" w:gutter="0" w:footer="0" w:header="0"/>
        </w:sectPr>
      </w:pPr>
    </w:p>
    <w:p>
      <w:pPr>
        <w:jc w:val="center"/>
        <w:ind w:left="377"/>
        <w:spacing w:after="0"/>
        <w:rPr>
          <w:sz w:val="20"/>
          <w:szCs w:val="20"/>
          <w:color w:val="auto"/>
        </w:rPr>
      </w:pPr>
      <w:r>
        <w:rPr>
          <w:rFonts w:ascii="Times New Roman" w:cs="Times New Roman" w:eastAsia="Times New Roman" w:hAnsi="Times New Roman"/>
          <w:sz w:val="18"/>
          <w:szCs w:val="18"/>
          <w:color w:val="auto"/>
        </w:rPr>
        <w:t>NUMBER OF</w:t>
      </w:r>
    </w:p>
    <w:p>
      <w:pPr>
        <w:spacing w:after="0" w:line="23" w:lineRule="exact"/>
        <w:rPr>
          <w:sz w:val="20"/>
          <w:szCs w:val="20"/>
          <w:color w:val="auto"/>
        </w:rPr>
      </w:pPr>
    </w:p>
    <w:p>
      <w:pPr>
        <w:jc w:val="center"/>
        <w:ind w:left="377"/>
        <w:spacing w:after="0"/>
        <w:rPr>
          <w:sz w:val="20"/>
          <w:szCs w:val="20"/>
          <w:color w:val="auto"/>
        </w:rPr>
      </w:pPr>
      <w:r>
        <w:rPr>
          <w:rFonts w:ascii="Times New Roman" w:cs="Times New Roman" w:eastAsia="Times New Roman" w:hAnsi="Times New Roman"/>
          <w:sz w:val="18"/>
          <w:szCs w:val="18"/>
          <w:color w:val="auto"/>
        </w:rPr>
        <w:t>SHARES</w:t>
      </w:r>
    </w:p>
    <w:p>
      <w:pPr>
        <w:spacing w:after="0" w:line="9" w:lineRule="exact"/>
        <w:rPr>
          <w:sz w:val="20"/>
          <w:szCs w:val="20"/>
          <w:color w:val="auto"/>
        </w:rPr>
      </w:pPr>
    </w:p>
    <w:p>
      <w:pPr>
        <w:jc w:val="center"/>
        <w:ind w:left="377"/>
        <w:spacing w:after="0"/>
        <w:rPr>
          <w:sz w:val="20"/>
          <w:szCs w:val="20"/>
          <w:color w:val="auto"/>
        </w:rPr>
      </w:pPr>
      <w:r>
        <w:rPr>
          <w:rFonts w:ascii="Times New Roman" w:cs="Times New Roman" w:eastAsia="Times New Roman" w:hAnsi="Times New Roman"/>
          <w:sz w:val="17"/>
          <w:szCs w:val="17"/>
          <w:color w:val="auto"/>
        </w:rPr>
        <w:t>BENEFICIALLY</w:t>
      </w:r>
    </w:p>
    <w:p>
      <w:pPr>
        <w:spacing w:after="0" w:line="21" w:lineRule="exact"/>
        <w:rPr>
          <w:sz w:val="20"/>
          <w:szCs w:val="20"/>
          <w:color w:val="auto"/>
        </w:rPr>
      </w:pPr>
    </w:p>
    <w:p>
      <w:pPr>
        <w:jc w:val="center"/>
        <w:ind w:left="377"/>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377"/>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377"/>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377"/>
        <w:spacing w:after="0"/>
        <w:rPr>
          <w:sz w:val="20"/>
          <w:szCs w:val="20"/>
          <w:color w:val="auto"/>
        </w:rPr>
      </w:pPr>
      <w:r>
        <w:rPr>
          <w:rFonts w:ascii="Times New Roman" w:cs="Times New Roman" w:eastAsia="Times New Roman" w:hAnsi="Times New Roman"/>
          <w:sz w:val="18"/>
          <w:szCs w:val="18"/>
          <w:color w:val="auto"/>
        </w:rPr>
        <w:t>PERSON</w:t>
      </w:r>
    </w:p>
    <w:p>
      <w:pPr>
        <w:spacing w:after="0" w:line="9" w:lineRule="exact"/>
        <w:rPr>
          <w:sz w:val="20"/>
          <w:szCs w:val="20"/>
          <w:color w:val="auto"/>
        </w:rPr>
      </w:pPr>
    </w:p>
    <w:p>
      <w:pPr>
        <w:jc w:val="center"/>
        <w:ind w:left="377"/>
        <w:spacing w:after="0"/>
        <w:rPr>
          <w:sz w:val="20"/>
          <w:szCs w:val="20"/>
          <w:color w:val="auto"/>
        </w:rPr>
      </w:pPr>
      <w:r>
        <w:rPr>
          <w:rFonts w:ascii="Times New Roman" w:cs="Times New Roman" w:eastAsia="Times New Roman" w:hAnsi="Times New Roman"/>
          <w:sz w:val="18"/>
          <w:szCs w:val="18"/>
          <w:color w:val="auto"/>
        </w:rPr>
        <w:t>WITH</w:t>
      </w:r>
    </w:p>
    <w:p>
      <w:pPr>
        <w:spacing w:after="0" w:line="20" w:lineRule="exact"/>
        <w:rPr>
          <w:sz w:val="20"/>
          <w:szCs w:val="20"/>
          <w:color w:val="auto"/>
        </w:rPr>
      </w:pPr>
      <w:r>
        <w:rPr>
          <w:sz w:val="20"/>
          <w:szCs w:val="20"/>
          <w:color w:val="auto"/>
        </w:rPr>
        <w:br w:type="column"/>
      </w:r>
    </w:p>
    <w:p>
      <w:pPr>
        <w:ind w:left="457" w:right="6260" w:hanging="457"/>
        <w:spacing w:after="0" w:line="258" w:lineRule="auto"/>
        <w:tabs>
          <w:tab w:leader="none" w:pos="4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457" w:right="5980" w:hanging="457"/>
        <w:spacing w:after="0" w:line="258" w:lineRule="auto"/>
        <w:tabs>
          <w:tab w:leader="none" w:pos="4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1,636,936</w:t>
      </w:r>
    </w:p>
    <w:p>
      <w:pPr>
        <w:ind w:left="457" w:right="5860" w:hanging="457"/>
        <w:spacing w:after="0" w:line="258" w:lineRule="auto"/>
        <w:tabs>
          <w:tab w:leader="none" w:pos="4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457" w:right="5580" w:hanging="457"/>
        <w:spacing w:after="0" w:line="258" w:lineRule="auto"/>
        <w:tabs>
          <w:tab w:leader="none" w:pos="4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1,636,936</w:t>
      </w:r>
    </w:p>
    <w:p>
      <w:pPr>
        <w:spacing w:after="0" w:line="1" w:lineRule="exact"/>
        <w:rPr>
          <w:sz w:val="20"/>
          <w:szCs w:val="20"/>
          <w:color w:val="auto"/>
        </w:rPr>
      </w:pPr>
    </w:p>
    <w:p>
      <w:pPr>
        <w:sectPr>
          <w:pgSz w:w="11900" w:h="16838" w:orient="portrait"/>
          <w:cols w:equalWidth="0" w:num="2">
            <w:col w:w="1903" w:space="720"/>
            <w:col w:w="8617"/>
          </w:cols>
          <w:pgMar w:left="320" w:top="1012" w:right="339" w:bottom="1440" w:gutter="0" w:footer="0" w:header="0"/>
          <w:type w:val="continuous"/>
        </w:sectPr>
      </w:pPr>
    </w:p>
    <w:p>
      <w:pPr>
        <w:ind w:left="920" w:right="3720" w:hanging="498"/>
        <w:spacing w:after="0" w:line="258" w:lineRule="auto"/>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1,636,936</w:t>
      </w:r>
    </w:p>
    <w:p>
      <w:pPr>
        <w:ind w:left="920" w:right="1360" w:hanging="543"/>
        <w:spacing w:after="0" w:line="258" w:lineRule="auto"/>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 [ ]</w:t>
      </w:r>
    </w:p>
    <w:p>
      <w:pPr>
        <w:ind w:left="920" w:right="5200" w:hanging="540"/>
        <w:spacing w:after="0" w:line="258" w:lineRule="auto"/>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6.4%</w:t>
      </w:r>
    </w:p>
    <w:p>
      <w:pPr>
        <w:ind w:left="920" w:right="5940" w:hanging="543"/>
        <w:spacing w:after="0" w:line="276" w:lineRule="auto"/>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2" w:name="page3"/>
    <w:bookmarkEnd w:id="2"/>
    <w:p>
      <w:pPr>
        <w:spacing w:after="0"/>
        <w:tabs>
          <w:tab w:leader="none" w:pos="9940" w:val="left"/>
        </w:tabs>
        <w:rPr>
          <w:sz w:val="20"/>
          <w:szCs w:val="20"/>
          <w:color w:val="auto"/>
        </w:rPr>
      </w:pPr>
      <w:r>
        <w:rPr>
          <w:rFonts w:ascii="Times New Roman" w:cs="Times New Roman" w:eastAsia="Times New Roman" w:hAnsi="Times New Roman"/>
          <w:sz w:val="18"/>
          <w:szCs w:val="18"/>
          <w:color w:val="auto"/>
        </w:rPr>
        <w:t>CUSIP No. 68347P103</w:t>
      </w:r>
      <w:r>
        <w:rPr>
          <w:sz w:val="20"/>
          <w:szCs w:val="20"/>
          <w:color w:val="auto"/>
        </w:rPr>
        <w:tab/>
      </w:r>
      <w:r>
        <w:rPr>
          <w:rFonts w:ascii="Times New Roman" w:cs="Times New Roman" w:eastAsia="Times New Roman" w:hAnsi="Times New Roman"/>
          <w:sz w:val="17"/>
          <w:szCs w:val="17"/>
          <w:color w:val="auto"/>
        </w:rPr>
        <w:t>Page 3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3540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3540760"/>
                    </a:xfrm>
                    <a:prstGeom prst="rect">
                      <a:avLst/>
                    </a:prstGeom>
                    <a:noFill/>
                  </pic:spPr>
                </pic:pic>
              </a:graphicData>
            </a:graphic>
          </wp:anchor>
        </w:drawing>
      </w:r>
    </w:p>
    <w:p>
      <w:pPr>
        <w:spacing w:after="0" w:line="7" w:lineRule="exact"/>
        <w:rPr>
          <w:sz w:val="20"/>
          <w:szCs w:val="20"/>
          <w:color w:val="auto"/>
        </w:rPr>
      </w:pPr>
    </w:p>
    <w:p>
      <w:pPr>
        <w:ind w:left="920" w:right="7480" w:hanging="498"/>
        <w:spacing w:after="0" w:line="258" w:lineRule="auto"/>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Vik Mittal</w:t>
      </w:r>
    </w:p>
    <w:p>
      <w:pPr>
        <w:ind w:left="920" w:hanging="498"/>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rFonts w:ascii="Times New Roman" w:cs="Times New Roman" w:eastAsia="Times New Roman" w:hAnsi="Times New Roman"/>
          <w:sz w:val="18"/>
          <w:szCs w:val="18"/>
          <w:color w:val="auto"/>
        </w:rPr>
      </w:pPr>
    </w:p>
    <w:p>
      <w:pPr>
        <w:ind w:left="1220" w:hanging="294"/>
        <w:spacing w:after="0"/>
        <w:tabs>
          <w:tab w:leader="none" w:pos="1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20" w:hanging="294"/>
        <w:spacing w:after="0"/>
        <w:tabs>
          <w:tab w:leader="none" w:pos="12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20" w:hanging="498"/>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4" w:lineRule="exact"/>
        <w:rPr>
          <w:sz w:val="20"/>
          <w:szCs w:val="20"/>
          <w:color w:val="auto"/>
        </w:rPr>
      </w:pPr>
    </w:p>
    <w:p>
      <w:pPr>
        <w:ind w:left="920" w:right="6600" w:hanging="498"/>
        <w:spacing w:after="0" w:line="261" w:lineRule="auto"/>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p>
      <w:pPr>
        <w:sectPr>
          <w:pgSz w:w="11900" w:h="16838" w:orient="portrait"/>
          <w:cols w:equalWidth="0" w:num="1">
            <w:col w:w="11240"/>
          </w:cols>
          <w:pgMar w:left="320" w:top="1012" w:right="339" w:bottom="1440" w:gutter="0" w:footer="0" w:header="0"/>
        </w:sectPr>
      </w:pPr>
    </w:p>
    <w:p>
      <w:pPr>
        <w:jc w:val="center"/>
        <w:ind w:left="377"/>
        <w:spacing w:after="0"/>
        <w:rPr>
          <w:sz w:val="20"/>
          <w:szCs w:val="20"/>
          <w:color w:val="auto"/>
        </w:rPr>
      </w:pPr>
      <w:r>
        <w:rPr>
          <w:rFonts w:ascii="Times New Roman" w:cs="Times New Roman" w:eastAsia="Times New Roman" w:hAnsi="Times New Roman"/>
          <w:sz w:val="18"/>
          <w:szCs w:val="18"/>
          <w:color w:val="auto"/>
        </w:rPr>
        <w:t>NUMBER OF</w:t>
      </w:r>
    </w:p>
    <w:p>
      <w:pPr>
        <w:spacing w:after="0" w:line="23" w:lineRule="exact"/>
        <w:rPr>
          <w:sz w:val="20"/>
          <w:szCs w:val="20"/>
          <w:color w:val="auto"/>
        </w:rPr>
      </w:pPr>
    </w:p>
    <w:p>
      <w:pPr>
        <w:jc w:val="center"/>
        <w:ind w:left="377"/>
        <w:spacing w:after="0"/>
        <w:rPr>
          <w:sz w:val="20"/>
          <w:szCs w:val="20"/>
          <w:color w:val="auto"/>
        </w:rPr>
      </w:pPr>
      <w:r>
        <w:rPr>
          <w:rFonts w:ascii="Times New Roman" w:cs="Times New Roman" w:eastAsia="Times New Roman" w:hAnsi="Times New Roman"/>
          <w:sz w:val="18"/>
          <w:szCs w:val="18"/>
          <w:color w:val="auto"/>
        </w:rPr>
        <w:t>SHARES</w:t>
      </w:r>
    </w:p>
    <w:p>
      <w:pPr>
        <w:spacing w:after="0" w:line="9" w:lineRule="exact"/>
        <w:rPr>
          <w:sz w:val="20"/>
          <w:szCs w:val="20"/>
          <w:color w:val="auto"/>
        </w:rPr>
      </w:pPr>
    </w:p>
    <w:p>
      <w:pPr>
        <w:jc w:val="center"/>
        <w:ind w:left="377"/>
        <w:spacing w:after="0"/>
        <w:rPr>
          <w:sz w:val="20"/>
          <w:szCs w:val="20"/>
          <w:color w:val="auto"/>
        </w:rPr>
      </w:pPr>
      <w:r>
        <w:rPr>
          <w:rFonts w:ascii="Times New Roman" w:cs="Times New Roman" w:eastAsia="Times New Roman" w:hAnsi="Times New Roman"/>
          <w:sz w:val="17"/>
          <w:szCs w:val="17"/>
          <w:color w:val="auto"/>
        </w:rPr>
        <w:t>BENEFICIALLY</w:t>
      </w:r>
    </w:p>
    <w:p>
      <w:pPr>
        <w:spacing w:after="0" w:line="21" w:lineRule="exact"/>
        <w:rPr>
          <w:sz w:val="20"/>
          <w:szCs w:val="20"/>
          <w:color w:val="auto"/>
        </w:rPr>
      </w:pPr>
    </w:p>
    <w:p>
      <w:pPr>
        <w:jc w:val="center"/>
        <w:ind w:left="377"/>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377"/>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377"/>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377"/>
        <w:spacing w:after="0"/>
        <w:rPr>
          <w:sz w:val="20"/>
          <w:szCs w:val="20"/>
          <w:color w:val="auto"/>
        </w:rPr>
      </w:pPr>
      <w:r>
        <w:rPr>
          <w:rFonts w:ascii="Times New Roman" w:cs="Times New Roman" w:eastAsia="Times New Roman" w:hAnsi="Times New Roman"/>
          <w:sz w:val="18"/>
          <w:szCs w:val="18"/>
          <w:color w:val="auto"/>
        </w:rPr>
        <w:t>PERSON</w:t>
      </w:r>
    </w:p>
    <w:p>
      <w:pPr>
        <w:spacing w:after="0" w:line="9" w:lineRule="exact"/>
        <w:rPr>
          <w:sz w:val="20"/>
          <w:szCs w:val="20"/>
          <w:color w:val="auto"/>
        </w:rPr>
      </w:pPr>
    </w:p>
    <w:p>
      <w:pPr>
        <w:jc w:val="center"/>
        <w:ind w:left="377"/>
        <w:spacing w:after="0"/>
        <w:rPr>
          <w:sz w:val="20"/>
          <w:szCs w:val="20"/>
          <w:color w:val="auto"/>
        </w:rPr>
      </w:pPr>
      <w:r>
        <w:rPr>
          <w:rFonts w:ascii="Times New Roman" w:cs="Times New Roman" w:eastAsia="Times New Roman" w:hAnsi="Times New Roman"/>
          <w:sz w:val="18"/>
          <w:szCs w:val="18"/>
          <w:color w:val="auto"/>
        </w:rPr>
        <w:t>WITH</w:t>
      </w:r>
    </w:p>
    <w:p>
      <w:pPr>
        <w:spacing w:after="0" w:line="20" w:lineRule="exact"/>
        <w:rPr>
          <w:sz w:val="20"/>
          <w:szCs w:val="20"/>
          <w:color w:val="auto"/>
        </w:rPr>
      </w:pPr>
      <w:r>
        <w:rPr>
          <w:sz w:val="20"/>
          <w:szCs w:val="20"/>
          <w:color w:val="auto"/>
        </w:rPr>
        <w:br w:type="column"/>
      </w:r>
    </w:p>
    <w:p>
      <w:pPr>
        <w:ind w:left="457" w:right="6260" w:hanging="457"/>
        <w:spacing w:after="0" w:line="258" w:lineRule="auto"/>
        <w:tabs>
          <w:tab w:leader="none" w:pos="4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457" w:right="5980" w:hanging="457"/>
        <w:spacing w:after="0" w:line="258" w:lineRule="auto"/>
        <w:tabs>
          <w:tab w:leader="none" w:pos="4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1,636,936</w:t>
      </w:r>
    </w:p>
    <w:p>
      <w:pPr>
        <w:ind w:left="457" w:right="5860" w:hanging="457"/>
        <w:spacing w:after="0" w:line="258" w:lineRule="auto"/>
        <w:tabs>
          <w:tab w:leader="none" w:pos="4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457" w:right="5580" w:hanging="457"/>
        <w:spacing w:after="0" w:line="258" w:lineRule="auto"/>
        <w:tabs>
          <w:tab w:leader="none" w:pos="4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1,636,936</w:t>
      </w:r>
    </w:p>
    <w:p>
      <w:pPr>
        <w:spacing w:after="0" w:line="1" w:lineRule="exact"/>
        <w:rPr>
          <w:sz w:val="20"/>
          <w:szCs w:val="20"/>
          <w:color w:val="auto"/>
        </w:rPr>
      </w:pPr>
    </w:p>
    <w:p>
      <w:pPr>
        <w:sectPr>
          <w:pgSz w:w="11900" w:h="16838" w:orient="portrait"/>
          <w:cols w:equalWidth="0" w:num="2">
            <w:col w:w="1903" w:space="720"/>
            <w:col w:w="8617"/>
          </w:cols>
          <w:pgMar w:left="320" w:top="1012" w:right="339" w:bottom="1440" w:gutter="0" w:footer="0" w:header="0"/>
          <w:type w:val="continuous"/>
        </w:sectPr>
      </w:pPr>
    </w:p>
    <w:p>
      <w:pPr>
        <w:ind w:left="920" w:right="3720" w:hanging="498"/>
        <w:spacing w:after="0" w:line="258" w:lineRule="auto"/>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1,636,936</w:t>
      </w:r>
    </w:p>
    <w:p>
      <w:pPr>
        <w:ind w:left="920" w:right="1360" w:hanging="543"/>
        <w:spacing w:after="0" w:line="258" w:lineRule="auto"/>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 [ ]</w:t>
      </w:r>
    </w:p>
    <w:p>
      <w:pPr>
        <w:ind w:left="920" w:right="5200" w:hanging="540"/>
        <w:spacing w:after="0" w:line="258" w:lineRule="auto"/>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6.4%</w:t>
      </w:r>
    </w:p>
    <w:p>
      <w:pPr>
        <w:ind w:left="920" w:right="5940" w:hanging="543"/>
        <w:spacing w:after="0" w:line="276" w:lineRule="auto"/>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Page 4 of 6 Pages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Item 1(a)</w:t>
            </w:r>
          </w:p>
        </w:tc>
        <w:tc>
          <w:tcPr>
            <w:tcW w:w="1022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Name of Issuer:</w:t>
            </w:r>
          </w:p>
        </w:tc>
      </w:tr>
      <w:tr>
        <w:trPr>
          <w:trHeight w:val="414"/>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OPAL Fuels Inc.</w:t>
            </w:r>
          </w:p>
        </w:tc>
      </w:tr>
      <w:tr>
        <w:trPr>
          <w:trHeight w:val="2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14"/>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One North Lexington Avenue, Suite 1450, White Plains, New York 10601</w:t>
            </w:r>
          </w:p>
        </w:tc>
      </w:tr>
      <w:tr>
        <w:trPr>
          <w:trHeight w:val="2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2(a)</w:t>
            </w: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414"/>
        </w:trPr>
        <w:tc>
          <w:tcPr>
            <w:tcW w:w="1020" w:type="dxa"/>
            <w:vAlign w:val="bottom"/>
          </w:tcPr>
          <w:p>
            <w:pPr>
              <w:spacing w:after="0"/>
              <w:rPr>
                <w:sz w:val="24"/>
                <w:szCs w:val="24"/>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This statement is filed by:</w:t>
            </w:r>
          </w:p>
        </w:tc>
      </w:tr>
      <w:tr>
        <w:trPr>
          <w:trHeight w:val="414"/>
        </w:trPr>
        <w:tc>
          <w:tcPr>
            <w:tcW w:w="1020" w:type="dxa"/>
            <w:vAlign w:val="bottom"/>
          </w:tcPr>
          <w:p>
            <w:pPr>
              <w:spacing w:after="0"/>
              <w:rPr>
                <w:sz w:val="24"/>
                <w:szCs w:val="24"/>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w:t>
            </w:r>
          </w:p>
        </w:tc>
        <w:tc>
          <w:tcPr>
            <w:tcW w:w="9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Meteora Capital, LLC, a Delaware limited liability company (“Meteora Capital”) with respect to the common stock (as defined in</w:t>
            </w:r>
          </w:p>
        </w:tc>
      </w:tr>
      <w:tr>
        <w:trPr>
          <w:trHeight w:val="216"/>
        </w:trPr>
        <w:tc>
          <w:tcPr>
            <w:tcW w:w="1020" w:type="dxa"/>
            <w:vAlign w:val="bottom"/>
          </w:tcPr>
          <w:p>
            <w:pPr>
              <w:spacing w:after="0"/>
              <w:rPr>
                <w:sz w:val="18"/>
                <w:szCs w:val="18"/>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2(d)) held by certain funds and managed accounts to which Meteora Capital serves as investment manager (collectively, the</w:t>
            </w:r>
          </w:p>
        </w:tc>
      </w:tr>
      <w:tr>
        <w:trPr>
          <w:trHeight w:val="234"/>
        </w:trPr>
        <w:tc>
          <w:tcPr>
            <w:tcW w:w="1020" w:type="dxa"/>
            <w:vAlign w:val="bottom"/>
          </w:tcPr>
          <w:p>
            <w:pPr>
              <w:spacing w:after="0"/>
              <w:rPr>
                <w:sz w:val="20"/>
                <w:szCs w:val="20"/>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“Meteora Funds”); and</w:t>
            </w:r>
          </w:p>
        </w:tc>
      </w:tr>
      <w:tr>
        <w:trPr>
          <w:trHeight w:val="432"/>
        </w:trPr>
        <w:tc>
          <w:tcPr>
            <w:tcW w:w="1020" w:type="dxa"/>
            <w:vAlign w:val="bottom"/>
          </w:tcPr>
          <w:p>
            <w:pPr>
              <w:spacing w:after="0"/>
              <w:rPr>
                <w:sz w:val="24"/>
                <w:szCs w:val="24"/>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(ii) Vik Mittal, who serves as the Managing Member of Meteora Capital, with respect to the common stock held by the Meteora Funds.</w:t>
            </w:r>
          </w:p>
        </w:tc>
      </w:tr>
      <w:tr>
        <w:trPr>
          <w:trHeight w:val="432"/>
        </w:trPr>
        <w:tc>
          <w:tcPr>
            <w:tcW w:w="1020" w:type="dxa"/>
            <w:vAlign w:val="bottom"/>
          </w:tcPr>
          <w:p>
            <w:pPr>
              <w:spacing w:after="0"/>
              <w:rPr>
                <w:sz w:val="24"/>
                <w:szCs w:val="24"/>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foregoing persons are hereinafter sometimes collectively referred to as the "Reporting Persons."</w:t>
            </w:r>
          </w:p>
        </w:tc>
      </w:tr>
      <w:tr>
        <w:trPr>
          <w:trHeight w:val="414"/>
        </w:trPr>
        <w:tc>
          <w:tcPr>
            <w:tcW w:w="1020" w:type="dxa"/>
            <w:vAlign w:val="bottom"/>
          </w:tcPr>
          <w:p>
            <w:pPr>
              <w:spacing w:after="0"/>
              <w:rPr>
                <w:sz w:val="24"/>
                <w:szCs w:val="24"/>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filing of this statement should not be construed as an admission that any of the Reporting Persons is, for the purposes of Section 13</w:t>
            </w:r>
          </w:p>
        </w:tc>
      </w:tr>
      <w:tr>
        <w:trPr>
          <w:trHeight w:val="234"/>
        </w:trPr>
        <w:tc>
          <w:tcPr>
            <w:tcW w:w="1020" w:type="dxa"/>
            <w:vAlign w:val="bottom"/>
            <w:tcBorders>
              <w:bottom w:val="single" w:sz="8" w:color="auto"/>
            </w:tcBorders>
          </w:tcPr>
          <w:p>
            <w:pPr>
              <w:spacing w:after="0"/>
              <w:rPr>
                <w:sz w:val="20"/>
                <w:szCs w:val="20"/>
                <w:color w:val="auto"/>
              </w:rPr>
            </w:pPr>
          </w:p>
        </w:tc>
        <w:tc>
          <w:tcPr>
            <w:tcW w:w="1022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of the Act, the beneficial owner of the common stock reported herein.</w:t>
            </w:r>
          </w:p>
        </w:tc>
      </w:tr>
      <w:tr>
        <w:trPr>
          <w:trHeight w:val="2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r>
      <w:tr>
        <w:trPr>
          <w:trHeight w:val="414"/>
        </w:trPr>
        <w:tc>
          <w:tcPr>
            <w:tcW w:w="1020" w:type="dxa"/>
            <w:vAlign w:val="bottom"/>
          </w:tcPr>
          <w:p>
            <w:pPr>
              <w:spacing w:after="0"/>
              <w:rPr>
                <w:sz w:val="24"/>
                <w:szCs w:val="24"/>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address of the principal business office for each of the Reporting Persons is:</w:t>
            </w:r>
          </w:p>
        </w:tc>
      </w:tr>
      <w:tr>
        <w:trPr>
          <w:trHeight w:val="432"/>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840 Park Drive East, Boca Raton, FL 33444</w:t>
            </w:r>
          </w:p>
        </w:tc>
      </w:tr>
      <w:tr>
        <w:trPr>
          <w:trHeight w:val="2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Citizenship:</w:t>
            </w:r>
          </w:p>
        </w:tc>
      </w:tr>
      <w:tr>
        <w:trPr>
          <w:trHeight w:val="414"/>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Meteora Capital is a Delaware limited liability company. Vik Mittal is a United States citizen.</w:t>
            </w:r>
          </w:p>
        </w:tc>
      </w:tr>
      <w:tr>
        <w:trPr>
          <w:trHeight w:val="2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2(d)</w:t>
            </w: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414"/>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Class A Common stock, par value $0.0001 (the “common stock”)</w:t>
            </w:r>
          </w:p>
        </w:tc>
      </w:tr>
      <w:tr>
        <w:trPr>
          <w:trHeight w:val="2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2(e)</w:t>
            </w: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CUSIP Number:</w:t>
            </w:r>
          </w:p>
        </w:tc>
      </w:tr>
      <w:tr>
        <w:trPr>
          <w:trHeight w:val="414"/>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68347P103</w:t>
            </w:r>
          </w:p>
        </w:tc>
      </w:tr>
      <w:tr>
        <w:trPr>
          <w:trHeight w:val="22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If This Statement is Filed Pursuant to Rule 13d-1(b), or 13d-2(b) or (c), Check Whether the Person Filing is a:</w:t>
            </w:r>
          </w:p>
        </w:tc>
      </w:tr>
      <w:tr>
        <w:trPr>
          <w:trHeight w:val="414"/>
        </w:trPr>
        <w:tc>
          <w:tcPr>
            <w:tcW w:w="1020" w:type="dxa"/>
            <w:vAlign w:val="bottom"/>
          </w:tcPr>
          <w:p>
            <w:pPr>
              <w:spacing w:after="0"/>
              <w:rPr>
                <w:sz w:val="24"/>
                <w:szCs w:val="24"/>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 □ Broker or dealer registered under section 15 of the Act (15 U.S.C. 78o);</w:t>
            </w:r>
          </w:p>
        </w:tc>
      </w:tr>
      <w:tr>
        <w:trPr>
          <w:trHeight w:val="432"/>
        </w:trPr>
        <w:tc>
          <w:tcPr>
            <w:tcW w:w="1020" w:type="dxa"/>
            <w:vAlign w:val="bottom"/>
          </w:tcPr>
          <w:p>
            <w:pPr>
              <w:spacing w:after="0"/>
              <w:rPr>
                <w:sz w:val="24"/>
                <w:szCs w:val="24"/>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 □ Bank as defined in section 3(a)(6) of the Act (15 U.S.C. 78c);</w:t>
            </w:r>
          </w:p>
        </w:tc>
      </w:tr>
      <w:tr>
        <w:trPr>
          <w:trHeight w:val="432"/>
        </w:trPr>
        <w:tc>
          <w:tcPr>
            <w:tcW w:w="1020" w:type="dxa"/>
            <w:vAlign w:val="bottom"/>
          </w:tcPr>
          <w:p>
            <w:pPr>
              <w:spacing w:after="0"/>
              <w:rPr>
                <w:sz w:val="24"/>
                <w:szCs w:val="24"/>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 □ Insurance company as defined in section 3(a)(19) of the Act (15 U.S.C. 78c);</w:t>
            </w:r>
          </w:p>
        </w:tc>
      </w:tr>
      <w:tr>
        <w:trPr>
          <w:trHeight w:val="432"/>
        </w:trPr>
        <w:tc>
          <w:tcPr>
            <w:tcW w:w="1020" w:type="dxa"/>
            <w:vAlign w:val="bottom"/>
          </w:tcPr>
          <w:p>
            <w:pPr>
              <w:spacing w:after="0"/>
              <w:rPr>
                <w:sz w:val="24"/>
                <w:szCs w:val="24"/>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 □ Investment company registered under Section 8 of the Investment Company Act of 1940 (15 U.S.C. 80a-8);</w:t>
            </w:r>
          </w:p>
        </w:tc>
      </w:tr>
      <w:tr>
        <w:trPr>
          <w:trHeight w:val="452"/>
        </w:trPr>
        <w:tc>
          <w:tcPr>
            <w:tcW w:w="1020" w:type="dxa"/>
            <w:vAlign w:val="bottom"/>
          </w:tcPr>
          <w:p>
            <w:pPr>
              <w:spacing w:after="0"/>
              <w:rPr>
                <w:sz w:val="24"/>
                <w:szCs w:val="24"/>
                <w:color w:val="auto"/>
              </w:rPr>
            </w:pPr>
          </w:p>
        </w:tc>
        <w:tc>
          <w:tcPr>
            <w:tcW w:w="10220" w:type="dxa"/>
            <w:vAlign w:val="bottom"/>
            <w:gridSpan w:val="2"/>
          </w:tcPr>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tc>
      </w:tr>
      <w:tr>
        <w:trPr>
          <w:trHeight w:val="412"/>
        </w:trPr>
        <w:tc>
          <w:tcPr>
            <w:tcW w:w="1020" w:type="dxa"/>
            <w:vAlign w:val="bottom"/>
          </w:tcPr>
          <w:p>
            <w:pPr>
              <w:spacing w:after="0"/>
              <w:rPr>
                <w:sz w:val="24"/>
                <w:szCs w:val="24"/>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 □ An employee benefit plan or endowment fund in accordance with 240.13d-1(b)(1)(ii)(F);</w:t>
            </w:r>
          </w:p>
        </w:tc>
      </w:tr>
      <w:tr>
        <w:trPr>
          <w:trHeight w:val="452"/>
        </w:trPr>
        <w:tc>
          <w:tcPr>
            <w:tcW w:w="1020" w:type="dxa"/>
            <w:vAlign w:val="bottom"/>
          </w:tcPr>
          <w:p>
            <w:pPr>
              <w:spacing w:after="0"/>
              <w:rPr>
                <w:sz w:val="24"/>
                <w:szCs w:val="24"/>
                <w:color w:val="auto"/>
              </w:rPr>
            </w:pPr>
          </w:p>
        </w:tc>
        <w:tc>
          <w:tcPr>
            <w:tcW w:w="10220" w:type="dxa"/>
            <w:vAlign w:val="bottom"/>
            <w:gridSpan w:val="2"/>
          </w:tcPr>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tc>
      </w:tr>
      <w:tr>
        <w:trPr>
          <w:trHeight w:val="412"/>
        </w:trPr>
        <w:tc>
          <w:tcPr>
            <w:tcW w:w="1020" w:type="dxa"/>
            <w:vAlign w:val="bottom"/>
          </w:tcPr>
          <w:p>
            <w:pPr>
              <w:spacing w:after="0"/>
              <w:rPr>
                <w:sz w:val="24"/>
                <w:szCs w:val="24"/>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(h) □ A savings association as defined in Section 3(b) of the Federal Deposit Insurance Act (12 U.S.C. 1813);</w:t>
            </w:r>
          </w:p>
        </w:tc>
      </w:tr>
      <w:tr>
        <w:trPr>
          <w:trHeight w:val="414"/>
        </w:trPr>
        <w:tc>
          <w:tcPr>
            <w:tcW w:w="1020" w:type="dxa"/>
            <w:vAlign w:val="bottom"/>
          </w:tcPr>
          <w:p>
            <w:pPr>
              <w:spacing w:after="0"/>
              <w:rPr>
                <w:sz w:val="24"/>
                <w:szCs w:val="24"/>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 □ A church plan that is excluded from the definition of an investment company under section 3(c)(14) of the Investment Company</w:t>
            </w:r>
          </w:p>
        </w:tc>
      </w:tr>
      <w:tr>
        <w:trPr>
          <w:trHeight w:val="234"/>
        </w:trPr>
        <w:tc>
          <w:tcPr>
            <w:tcW w:w="1020" w:type="dxa"/>
            <w:vAlign w:val="bottom"/>
          </w:tcPr>
          <w:p>
            <w:pPr>
              <w:spacing w:after="0"/>
              <w:rPr>
                <w:sz w:val="20"/>
                <w:szCs w:val="20"/>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Act (15 U.S.C. 80a-3);</w:t>
            </w:r>
          </w:p>
        </w:tc>
      </w:tr>
      <w:tr>
        <w:trPr>
          <w:trHeight w:val="432"/>
        </w:trPr>
        <w:tc>
          <w:tcPr>
            <w:tcW w:w="1020" w:type="dxa"/>
            <w:vAlign w:val="bottom"/>
          </w:tcPr>
          <w:p>
            <w:pPr>
              <w:spacing w:after="0"/>
              <w:rPr>
                <w:sz w:val="24"/>
                <w:szCs w:val="24"/>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 □ A non-U.S. institution in accordance with 240.13d-1(b)(1)(ii)(J);</w:t>
            </w:r>
          </w:p>
        </w:tc>
      </w:tr>
      <w:tr>
        <w:trPr>
          <w:trHeight w:val="432"/>
        </w:trPr>
        <w:tc>
          <w:tcPr>
            <w:tcW w:w="1020" w:type="dxa"/>
            <w:vAlign w:val="bottom"/>
          </w:tcPr>
          <w:p>
            <w:pPr>
              <w:spacing w:after="0"/>
              <w:rPr>
                <w:sz w:val="24"/>
                <w:szCs w:val="24"/>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(k) □ Group, in accordance with 240.13d-1(b)(1)(ii)(K).</w:t>
            </w:r>
          </w:p>
        </w:tc>
      </w:tr>
      <w:tr>
        <w:trPr>
          <w:trHeight w:val="432"/>
        </w:trPr>
        <w:tc>
          <w:tcPr>
            <w:tcW w:w="1020" w:type="dxa"/>
            <w:vAlign w:val="bottom"/>
          </w:tcPr>
          <w:p>
            <w:pPr>
              <w:spacing w:after="0"/>
              <w:rPr>
                <w:sz w:val="24"/>
                <w:szCs w:val="24"/>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w:t>
            </w:r>
          </w:p>
        </w:tc>
      </w:tr>
      <w:tr>
        <w:trPr>
          <w:trHeight w:val="216"/>
        </w:trPr>
        <w:tc>
          <w:tcPr>
            <w:tcW w:w="1020" w:type="dxa"/>
            <w:vAlign w:val="bottom"/>
            <w:tcBorders>
              <w:bottom w:val="single" w:sz="8" w:color="auto"/>
            </w:tcBorders>
          </w:tcPr>
          <w:p>
            <w:pPr>
              <w:spacing w:after="0"/>
              <w:rPr>
                <w:sz w:val="18"/>
                <w:szCs w:val="18"/>
                <w:color w:val="auto"/>
              </w:rPr>
            </w:pPr>
          </w:p>
        </w:tc>
        <w:tc>
          <w:tcPr>
            <w:tcW w:w="10220" w:type="dxa"/>
            <w:vAlign w:val="bottom"/>
            <w:tcBorders>
              <w:bottom w:val="single" w:sz="8" w:color="auto"/>
            </w:tcBorders>
            <w:gridSpan w:val="2"/>
          </w:tcPr>
          <w:p>
            <w:pPr>
              <w:spacing w:after="0"/>
              <w:rPr>
                <w:sz w:val="18"/>
                <w:szCs w:val="18"/>
                <w:color w:val="auto"/>
              </w:rPr>
            </w:pPr>
          </w:p>
        </w:tc>
      </w:tr>
      <w:tr>
        <w:trPr>
          <w:trHeight w:val="209"/>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Item 4.</w:t>
            </w:r>
          </w:p>
        </w:tc>
        <w:tc>
          <w:tcPr>
            <w:tcW w:w="1022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Ownership</w:t>
            </w:r>
          </w:p>
        </w:tc>
      </w:tr>
      <w:tr>
        <w:trPr>
          <w:trHeight w:val="191"/>
        </w:trPr>
        <w:tc>
          <w:tcPr>
            <w:tcW w:w="1020" w:type="dxa"/>
            <w:vAlign w:val="bottom"/>
          </w:tcPr>
          <w:p>
            <w:pPr>
              <w:spacing w:after="0"/>
              <w:rPr>
                <w:sz w:val="16"/>
                <w:szCs w:val="16"/>
                <w:color w:val="auto"/>
              </w:rPr>
            </w:pPr>
          </w:p>
        </w:tc>
        <w:tc>
          <w:tcPr>
            <w:tcW w:w="10220" w:type="dxa"/>
            <w:vAlign w:val="bottom"/>
            <w:gridSpan w:val="2"/>
          </w:tcPr>
          <w:p>
            <w:pPr>
              <w:ind w:left="340"/>
              <w:spacing w:after="0" w:line="191" w:lineRule="exact"/>
              <w:rPr>
                <w:sz w:val="20"/>
                <w:szCs w:val="20"/>
                <w:color w:val="auto"/>
              </w:rPr>
            </w:pPr>
            <w:r>
              <w:rPr>
                <w:rFonts w:ascii="Times New Roman" w:cs="Times New Roman" w:eastAsia="Times New Roman" w:hAnsi="Times New Roman"/>
                <w:sz w:val="18"/>
                <w:szCs w:val="18"/>
                <w:color w:val="auto"/>
              </w:rPr>
              <w:t>The information required by Items 4(a) – (c) is set forth in Rows (5) – (11) of the cover page for each Reporting Person hereto and is</w:t>
            </w:r>
          </w:p>
        </w:tc>
      </w:tr>
      <w:tr>
        <w:trPr>
          <w:trHeight w:val="234"/>
        </w:trPr>
        <w:tc>
          <w:tcPr>
            <w:tcW w:w="1020" w:type="dxa"/>
            <w:vAlign w:val="bottom"/>
          </w:tcPr>
          <w:p>
            <w:pPr>
              <w:spacing w:after="0"/>
              <w:rPr>
                <w:sz w:val="20"/>
                <w:szCs w:val="20"/>
                <w:color w:val="auto"/>
              </w:rPr>
            </w:pPr>
          </w:p>
        </w:tc>
        <w:tc>
          <w:tcPr>
            <w:tcW w:w="10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incorporated herein by reference for each such Reporting Person.</w:t>
            </w:r>
          </w:p>
        </w:tc>
      </w:tr>
      <w:tr>
        <w:trPr>
          <w:trHeight w:val="756"/>
        </w:trPr>
        <w:tc>
          <w:tcPr>
            <w:tcW w:w="1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298"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Page 5 of 6 Pages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Item 5.</w:t>
            </w:r>
          </w:p>
        </w:tc>
        <w:tc>
          <w:tcPr>
            <w:tcW w:w="102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Ownership of Five Percent or Less of a Class.</w:t>
            </w:r>
          </w:p>
        </w:tc>
      </w:tr>
      <w:tr>
        <w:trPr>
          <w:trHeight w:val="389"/>
        </w:trPr>
        <w:tc>
          <w:tcPr>
            <w:tcW w:w="980" w:type="dxa"/>
            <w:vAlign w:val="bottom"/>
          </w:tcPr>
          <w:p>
            <w:pPr>
              <w:spacing w:after="0"/>
              <w:rPr>
                <w:sz w:val="24"/>
                <w:szCs w:val="24"/>
                <w:color w:val="auto"/>
              </w:rPr>
            </w:pPr>
          </w:p>
        </w:tc>
        <w:tc>
          <w:tcPr>
            <w:tcW w:w="10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w:t>
            </w:r>
          </w:p>
        </w:tc>
      </w:tr>
      <w:tr>
        <w:trPr>
          <w:trHeight w:val="234"/>
        </w:trPr>
        <w:tc>
          <w:tcPr>
            <w:tcW w:w="980" w:type="dxa"/>
            <w:vAlign w:val="bottom"/>
            <w:tcBorders>
              <w:bottom w:val="single" w:sz="8" w:color="auto"/>
            </w:tcBorders>
          </w:tcPr>
          <w:p>
            <w:pPr>
              <w:spacing w:after="0"/>
              <w:rPr>
                <w:sz w:val="20"/>
                <w:szCs w:val="20"/>
                <w:color w:val="auto"/>
              </w:rPr>
            </w:pPr>
          </w:p>
        </w:tc>
        <w:tc>
          <w:tcPr>
            <w:tcW w:w="102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more than 5 percent of the class of securities, check the following [  ].</w:t>
            </w:r>
          </w:p>
        </w:tc>
      </w:tr>
      <w:tr>
        <w:trPr>
          <w:trHeight w:val="22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0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Ownership of More than Five Percent on Behalf of Another Person.</w:t>
            </w:r>
          </w:p>
        </w:tc>
      </w:tr>
      <w:tr>
        <w:trPr>
          <w:trHeight w:val="414"/>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191"/>
        </w:trPr>
        <w:tc>
          <w:tcPr>
            <w:tcW w:w="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Item 7.</w:t>
            </w:r>
          </w:p>
        </w:tc>
        <w:tc>
          <w:tcPr>
            <w:tcW w:w="10260" w:type="dxa"/>
            <w:vAlign w:val="bottom"/>
          </w:tcPr>
          <w:p>
            <w:pPr>
              <w:ind w:left="380"/>
              <w:spacing w:after="0" w:line="191" w:lineRule="exact"/>
              <w:rPr>
                <w:sz w:val="20"/>
                <w:szCs w:val="20"/>
                <w:color w:val="auto"/>
              </w:rPr>
            </w:pP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w:t>
            </w:r>
          </w:p>
        </w:tc>
      </w:tr>
      <w:tr>
        <w:trPr>
          <w:trHeight w:val="234"/>
        </w:trPr>
        <w:tc>
          <w:tcPr>
            <w:tcW w:w="980" w:type="dxa"/>
            <w:vAlign w:val="bottom"/>
          </w:tcPr>
          <w:p>
            <w:pPr>
              <w:spacing w:after="0"/>
              <w:rPr>
                <w:sz w:val="20"/>
                <w:szCs w:val="20"/>
                <w:color w:val="auto"/>
              </w:rPr>
            </w:pPr>
          </w:p>
        </w:tc>
        <w:tc>
          <w:tcPr>
            <w:tcW w:w="10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Control Person.</w:t>
            </w:r>
          </w:p>
        </w:tc>
      </w:tr>
      <w:tr>
        <w:trPr>
          <w:trHeight w:val="432"/>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2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10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Identification and Classification of Members of the Group.</w:t>
            </w:r>
          </w:p>
        </w:tc>
      </w:tr>
      <w:tr>
        <w:trPr>
          <w:trHeight w:val="414"/>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2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10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Notice of Dissolution of Group.</w:t>
            </w:r>
          </w:p>
        </w:tc>
      </w:tr>
      <w:tr>
        <w:trPr>
          <w:trHeight w:val="414"/>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2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10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Certifications.</w:t>
            </w:r>
          </w:p>
        </w:tc>
      </w:tr>
      <w:tr>
        <w:trPr>
          <w:trHeight w:val="395"/>
        </w:trPr>
        <w:tc>
          <w:tcPr>
            <w:tcW w:w="980" w:type="dxa"/>
            <w:vAlign w:val="bottom"/>
          </w:tcPr>
          <w:p>
            <w:pPr>
              <w:spacing w:after="0"/>
              <w:rPr>
                <w:sz w:val="24"/>
                <w:szCs w:val="24"/>
                <w:color w:val="auto"/>
              </w:rPr>
            </w:pPr>
          </w:p>
        </w:tc>
        <w:tc>
          <w:tcPr>
            <w:tcW w:w="10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w:t>
            </w:r>
          </w:p>
        </w:tc>
      </w:tr>
      <w:tr>
        <w:trPr>
          <w:trHeight w:val="216"/>
        </w:trPr>
        <w:tc>
          <w:tcPr>
            <w:tcW w:w="980" w:type="dxa"/>
            <w:vAlign w:val="bottom"/>
          </w:tcPr>
          <w:p>
            <w:pPr>
              <w:spacing w:after="0"/>
              <w:rPr>
                <w:sz w:val="18"/>
                <w:szCs w:val="18"/>
                <w:color w:val="auto"/>
              </w:rPr>
            </w:pPr>
          </w:p>
        </w:tc>
        <w:tc>
          <w:tcPr>
            <w:tcW w:w="10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ordinary course of business and were not acquired and are not held for the purpose of or with the effect of changing or influencing the</w:t>
            </w:r>
          </w:p>
        </w:tc>
      </w:tr>
      <w:tr>
        <w:trPr>
          <w:trHeight w:val="216"/>
        </w:trPr>
        <w:tc>
          <w:tcPr>
            <w:tcW w:w="980" w:type="dxa"/>
            <w:vAlign w:val="bottom"/>
          </w:tcPr>
          <w:p>
            <w:pPr>
              <w:spacing w:after="0"/>
              <w:rPr>
                <w:sz w:val="18"/>
                <w:szCs w:val="18"/>
                <w:color w:val="auto"/>
              </w:rPr>
            </w:pPr>
          </w:p>
        </w:tc>
        <w:tc>
          <w:tcPr>
            <w:tcW w:w="10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control of the issuer of the securities and were not acquired and are not held in connection with or as a participant in any transaction</w:t>
            </w:r>
          </w:p>
        </w:tc>
      </w:tr>
      <w:tr>
        <w:trPr>
          <w:trHeight w:val="234"/>
        </w:trPr>
        <w:tc>
          <w:tcPr>
            <w:tcW w:w="980" w:type="dxa"/>
            <w:vAlign w:val="bottom"/>
            <w:tcBorders>
              <w:bottom w:val="single" w:sz="8" w:color="auto"/>
            </w:tcBorders>
          </w:tcPr>
          <w:p>
            <w:pPr>
              <w:spacing w:after="0"/>
              <w:rPr>
                <w:sz w:val="20"/>
                <w:szCs w:val="20"/>
                <w:color w:val="auto"/>
              </w:rPr>
            </w:pPr>
          </w:p>
        </w:tc>
        <w:tc>
          <w:tcPr>
            <w:tcW w:w="102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having that purpose or effect.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Page 6 of 6 Pages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2023</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Meteora Capital, LLC</w:t>
      </w:r>
    </w:p>
    <w:p>
      <w:pPr>
        <w:spacing w:after="0" w:line="200" w:lineRule="exact"/>
        <w:rPr>
          <w:sz w:val="20"/>
          <w:szCs w:val="20"/>
          <w:color w:val="auto"/>
        </w:rPr>
      </w:pPr>
    </w:p>
    <w:p>
      <w:pPr>
        <w:spacing w:after="0" w:line="24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Vik Mittal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Vik Mittal</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Vik Mittal</w:t>
      </w:r>
    </w:p>
    <w:p>
      <w:pPr>
        <w:spacing w:after="0" w:line="200" w:lineRule="exact"/>
        <w:rPr>
          <w:sz w:val="20"/>
          <w:szCs w:val="20"/>
          <w:color w:val="auto"/>
        </w:rPr>
      </w:pPr>
    </w:p>
    <w:p>
      <w:pPr>
        <w:spacing w:after="0" w:line="24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Vik Mittal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Vik Mittal</w:t>
      </w:r>
    </w:p>
    <w:p>
      <w:pPr>
        <w:sectPr>
          <w:pgSz w:w="11900" w:h="16838" w:orient="portrait"/>
          <w:cols w:equalWidth="0" w:num="1">
            <w:col w:w="11240"/>
          </w:cols>
          <w:pgMar w:left="320" w:top="1012"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u w:val="single" w:color="auto"/>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and in accordance with the Securities Exchange Act of 1934, as amended, and the rules and regulations thereunder (the “Exchange Act”) the undersigned hereby agree to the joint filing on behalf of each of them of any filing required by such party under Section 13 of the Exchange Act or any rule or regulation thereunder (including any amendment, restatement, supplement, and/or exhibit thereto) with respect to securities of OPAL Fuels Inc., a Delaware corporation, and further agree to the filing, furnishing, and/or incorporation by reference of this Agreement as an exhibit thereto. Each of the undersigned is responsible for the timely filing of such filings and any amendments thereto, and for the completeness and accuracy of the information concerning such person contained therein; but none of the undersigned is responsible for the completeness or accuracy of the information concerning the other persons making the filing, unless such person knows or has reason to believe that such information is inaccurate.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 The undersigned, being duly authorized, have executed this Joint Filing Agreement this 16th day of February, 2023.</w:t>
      </w:r>
    </w:p>
    <w:p>
      <w:pPr>
        <w:spacing w:after="0" w:line="200" w:lineRule="exact"/>
        <w:rPr>
          <w:sz w:val="20"/>
          <w:szCs w:val="20"/>
          <w:color w:val="auto"/>
        </w:rPr>
      </w:pPr>
    </w:p>
    <w:p>
      <w:pPr>
        <w:spacing w:after="0" w:line="21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Meteora Capital, LLC</w:t>
      </w:r>
    </w:p>
    <w:p>
      <w:pPr>
        <w:spacing w:after="0" w:line="200" w:lineRule="exact"/>
        <w:rPr>
          <w:sz w:val="20"/>
          <w:szCs w:val="20"/>
          <w:color w:val="auto"/>
        </w:rPr>
      </w:pPr>
    </w:p>
    <w:p>
      <w:pPr>
        <w:spacing w:after="0" w:line="24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Vik Mittal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Vik Mittal</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Vik Mittal</w:t>
      </w:r>
    </w:p>
    <w:p>
      <w:pPr>
        <w:spacing w:after="0" w:line="200" w:lineRule="exact"/>
        <w:rPr>
          <w:sz w:val="20"/>
          <w:szCs w:val="20"/>
          <w:color w:val="auto"/>
        </w:rPr>
      </w:pPr>
    </w:p>
    <w:p>
      <w:pPr>
        <w:spacing w:after="0" w:line="24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Vik Mittal                          </w:t>
      </w: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Vik Mittal</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Meteora Capital, LLC</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
      <w:numFmt w:val="bullet"/>
      <w:start w:val="1"/>
    </w:lvl>
  </w:abstractNum>
  <w:abstractNum w:abstractNumId="1">
    <w:nsid w:val="1190CDE7"/>
    <w:multiLevelType w:val="hybridMultilevel"/>
    <w:lvl w:ilvl="0">
      <w:lvlJc w:val="left"/>
      <w:lvlText w:val="1"/>
      <w:numFmt w:val="bullet"/>
      <w:start w:val="1"/>
    </w:lvl>
  </w:abstractNum>
  <w:abstractNum w:abstractNumId="2">
    <w:nsid w:val="66EF438D"/>
    <w:multiLevelType w:val="hybridMultilevel"/>
    <w:lvl w:ilvl="0">
      <w:lvlJc w:val="left"/>
      <w:lvlText w:val="2"/>
      <w:numFmt w:val="bullet"/>
      <w:start w:val="1"/>
    </w:lvl>
    <w:lvl w:ilvl="1">
      <w:lvlJc w:val="left"/>
      <w:lvlText w:val="(%2)"/>
      <w:numFmt w:val="lowerLetter"/>
      <w:start w:val="1"/>
    </w:lvl>
  </w:abstractNum>
  <w:abstractNum w:abstractNumId="3">
    <w:nsid w:val="140E0F76"/>
    <w:multiLevelType w:val="hybridMultilevel"/>
    <w:lvl w:ilvl="0">
      <w:lvlJc w:val="left"/>
      <w:lvlText w:val="3"/>
      <w:numFmt w:val="bullet"/>
      <w:start w:val="1"/>
    </w:lvl>
  </w:abstractNum>
  <w:abstractNum w:abstractNumId="4">
    <w:nsid w:val="3352255A"/>
    <w:multiLevelType w:val="hybridMultilevel"/>
    <w:lvl w:ilvl="0">
      <w:lvlJc w:val="left"/>
      <w:lvlText w:val="4"/>
      <w:numFmt w:val="bullet"/>
      <w:start w:val="1"/>
    </w:lvl>
  </w:abstractNum>
  <w:abstractNum w:abstractNumId="5">
    <w:nsid w:val="109CF92E"/>
    <w:multiLevelType w:val="hybridMultilevel"/>
    <w:lvl w:ilvl="0">
      <w:lvlJc w:val="left"/>
      <w:lvlText w:val="5"/>
      <w:numFmt w:val="bullet"/>
      <w:start w:val="1"/>
    </w:lvl>
  </w:abstractNum>
  <w:abstractNum w:abstractNumId="6">
    <w:nsid w:val="DED7263"/>
    <w:multiLevelType w:val="hybridMultilevel"/>
    <w:lvl w:ilvl="0">
      <w:lvlJc w:val="left"/>
      <w:lvlText w:val="6"/>
      <w:numFmt w:val="bullet"/>
      <w:start w:val="1"/>
    </w:lvl>
  </w:abstractNum>
  <w:abstractNum w:abstractNumId="7">
    <w:nsid w:val="7FDCC233"/>
    <w:multiLevelType w:val="hybridMultilevel"/>
    <w:lvl w:ilvl="0">
      <w:lvlJc w:val="left"/>
      <w:lvlText w:val="7"/>
      <w:numFmt w:val="bullet"/>
      <w:start w:val="1"/>
    </w:lvl>
  </w:abstractNum>
  <w:abstractNum w:abstractNumId="8">
    <w:nsid w:val="1BEFD79F"/>
    <w:multiLevelType w:val="hybridMultilevel"/>
    <w:lvl w:ilvl="0">
      <w:lvlJc w:val="left"/>
      <w:lvlText w:val="8"/>
      <w:numFmt w:val="bullet"/>
      <w:start w:val="1"/>
    </w:lvl>
  </w:abstractNum>
  <w:abstractNum w:abstractNumId="9">
    <w:nsid w:val="41A7C4C9"/>
    <w:multiLevelType w:val="hybridMultilevel"/>
    <w:lvl w:ilvl="0">
      <w:lvlJc w:val="left"/>
      <w:lvlText w:val="9"/>
      <w:numFmt w:val="bullet"/>
      <w:start w:val="1"/>
    </w:lvl>
  </w:abstractNum>
  <w:abstractNum w:abstractNumId="10">
    <w:nsid w:val="6B68079A"/>
    <w:multiLevelType w:val="hybridMultilevel"/>
    <w:lvl w:ilvl="0">
      <w:lvlJc w:val="left"/>
      <w:lvlText w:val="%1"/>
      <w:numFmt w:val="decimal"/>
      <w:start w:val="10"/>
    </w:lvl>
  </w:abstractNum>
  <w:abstractNum w:abstractNumId="11">
    <w:nsid w:val="4E6AFB66"/>
    <w:multiLevelType w:val="hybridMultilevel"/>
    <w:lvl w:ilvl="0">
      <w:lvlJc w:val="left"/>
      <w:lvlText w:val="1"/>
      <w:numFmt w:val="bullet"/>
      <w:start w:val="1"/>
    </w:lvl>
  </w:abstractNum>
  <w:abstractNum w:abstractNumId="12">
    <w:nsid w:val="25E45D32"/>
    <w:multiLevelType w:val="hybridMultilevel"/>
    <w:lvl w:ilvl="0">
      <w:lvlJc w:val="left"/>
      <w:lvlText w:val="2"/>
      <w:numFmt w:val="bullet"/>
      <w:start w:val="1"/>
    </w:lvl>
    <w:lvl w:ilvl="1">
      <w:lvlJc w:val="left"/>
      <w:lvlText w:val="(%2)"/>
      <w:numFmt w:val="lowerLetter"/>
      <w:start w:val="1"/>
    </w:lvl>
  </w:abstractNum>
  <w:abstractNum w:abstractNumId="13">
    <w:nsid w:val="519B500D"/>
    <w:multiLevelType w:val="hybridMultilevel"/>
    <w:lvl w:ilvl="0">
      <w:lvlJc w:val="left"/>
      <w:lvlText w:val="3"/>
      <w:numFmt w:val="bullet"/>
      <w:start w:val="1"/>
    </w:lvl>
  </w:abstractNum>
  <w:abstractNum w:abstractNumId="14">
    <w:nsid w:val="431BD7B7"/>
    <w:multiLevelType w:val="hybridMultilevel"/>
    <w:lvl w:ilvl="0">
      <w:lvlJc w:val="left"/>
      <w:lvlText w:val="4"/>
      <w:numFmt w:val="bullet"/>
      <w:start w:val="1"/>
    </w:lvl>
  </w:abstractNum>
  <w:abstractNum w:abstractNumId="15">
    <w:nsid w:val="3F2DBA31"/>
    <w:multiLevelType w:val="hybridMultilevel"/>
    <w:lvl w:ilvl="0">
      <w:lvlJc w:val="left"/>
      <w:lvlText w:val="5"/>
      <w:numFmt w:val="bullet"/>
      <w:start w:val="1"/>
    </w:lvl>
  </w:abstractNum>
  <w:abstractNum w:abstractNumId="16">
    <w:nsid w:val="7C83E458"/>
    <w:multiLevelType w:val="hybridMultilevel"/>
    <w:lvl w:ilvl="0">
      <w:lvlJc w:val="left"/>
      <w:lvlText w:val="6"/>
      <w:numFmt w:val="bullet"/>
      <w:start w:val="1"/>
    </w:lvl>
  </w:abstractNum>
  <w:abstractNum w:abstractNumId="17">
    <w:nsid w:val="257130A3"/>
    <w:multiLevelType w:val="hybridMultilevel"/>
    <w:lvl w:ilvl="0">
      <w:lvlJc w:val="left"/>
      <w:lvlText w:val="7"/>
      <w:numFmt w:val="bullet"/>
      <w:start w:val="1"/>
    </w:lvl>
  </w:abstractNum>
  <w:abstractNum w:abstractNumId="18">
    <w:nsid w:val="62BBD95A"/>
    <w:multiLevelType w:val="hybridMultilevel"/>
    <w:lvl w:ilvl="0">
      <w:lvlJc w:val="left"/>
      <w:lvlText w:val="8"/>
      <w:numFmt w:val="bullet"/>
      <w:start w:val="1"/>
    </w:lvl>
  </w:abstractNum>
  <w:abstractNum w:abstractNumId="19">
    <w:nsid w:val="436C6125"/>
    <w:multiLevelType w:val="hybridMultilevel"/>
    <w:lvl w:ilvl="0">
      <w:lvlJc w:val="left"/>
      <w:lvlText w:val="9"/>
      <w:numFmt w:val="bullet"/>
      <w:start w:val="1"/>
    </w:lvl>
  </w:abstractNum>
  <w:abstractNum w:abstractNumId="20">
    <w:nsid w:val="628C895D"/>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2023-02-16T17:45:44Z</dcterms:created>
  <dcterms:modified xsi:type="dcterms:W3CDTF">2023-02-16T17:45:44Z</dcterms:modified>
</cp:coreProperties>
</file>