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2"/>
        <w:rPr/>
      </w:pPr>
      <w:r>
        <w:rPr/>
      </w:r>
    </w:p>
    <w:p>
      <w:pPr>
        <w:pStyle w:val="TextBody"/>
        <w:spacing w:lineRule="auto" w:line="288" w:before="0" w:after="0"/>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spacing w:lineRule="auto" w:line="288" w:before="54" w:after="283"/>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spacing w:lineRule="auto" w:line="288" w:before="120" w:after="283"/>
        <w:jc w:val="center"/>
        <w:rPr>
          <w:rFonts w:ascii="Times New Roman;sans-serif" w:hAnsi="Times New Roman;sans-serif"/>
          <w:b/>
          <w:color w:val="000000"/>
          <w:sz w:val="28"/>
        </w:rPr>
      </w:pPr>
      <w:r>
        <w:rPr>
          <w:rFonts w:ascii="Times New Roman;sans-serif" w:hAnsi="Times New Roman;sans-serif"/>
          <w:b/>
          <w:color w:val="000000"/>
          <w:sz w:val="28"/>
        </w:rPr>
        <w:t>FORM 8-K</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 Securities Exchange Act of 1934</w:t>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pPr>
      <w:r>
        <w:rPr>
          <w:rFonts w:ascii="Times New Roman;sans-serif" w:hAnsi="Times New Roman;sans-serif"/>
          <w:b w:val="false"/>
          <w:color w:val="000000"/>
          <w:sz w:val="20"/>
        </w:rPr>
        <w:t>Date of Report (Date of earliest event reported):</w:t>
      </w:r>
      <w:r>
        <w:rPr>
          <w:color w:val="000000"/>
        </w:rPr>
        <w:t xml:space="preserve"> </w:t>
      </w:r>
      <w:r>
        <w:rPr>
          <w:rFonts w:ascii="Times New Roman;sans-serif" w:hAnsi="Times New Roman;sans-serif"/>
          <w:b/>
          <w:color w:val="000000"/>
          <w:sz w:val="20"/>
        </w:rPr>
        <w:t xml:space="preserve">May 2, 2023 </w:t>
      </w:r>
    </w:p>
    <w:p>
      <w:pPr>
        <w:pStyle w:val="TextBody"/>
        <w:spacing w:before="0" w:after="0"/>
        <w:jc w:val="center"/>
        <w:rPr/>
      </w:pPr>
      <w:r>
        <w:rPr/>
      </w:r>
    </w:p>
    <w:p>
      <w:pPr>
        <w:pStyle w:val="TextBody"/>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spacing w:lineRule="auto" w:line="288" w:before="54" w:after="283"/>
        <w:jc w:val="center"/>
        <w:rPr>
          <w:rFonts w:ascii="Times New Roman;sans-serif" w:hAnsi="Times New Roman;sans-serif"/>
          <w:b/>
          <w:color w:val="000000"/>
          <w:sz w:val="32"/>
        </w:rPr>
      </w:pPr>
      <w:r>
        <w:rPr>
          <w:rFonts w:ascii="Times New Roman;sans-serif" w:hAnsi="Times New Roman;sans-serif"/>
          <w:b/>
          <w:color w:val="000000"/>
          <w:sz w:val="32"/>
        </w:rPr>
        <w:t>OPAL Fuels Inc.</w:t>
      </w:r>
    </w:p>
    <w:p>
      <w:pPr>
        <w:pStyle w:val="TextBody"/>
        <w:spacing w:lineRule="auto" w:line="288" w:before="54"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spacing w:lineRule="auto" w:line="288" w:before="54"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spacing w:before="0" w:after="0"/>
        <w:rPr/>
      </w:pPr>
      <w:r>
        <w:rPr/>
      </w:r>
    </w:p>
    <w:tbl>
      <w:tblPr>
        <w:tblW w:w="8789" w:type="dxa"/>
        <w:jc w:val="left"/>
        <w:tblInd w:w="0" w:type="dxa"/>
        <w:tblCellMar>
          <w:top w:w="28" w:type="dxa"/>
          <w:left w:w="28" w:type="dxa"/>
          <w:bottom w:w="28" w:type="dxa"/>
          <w:right w:w="28" w:type="dxa"/>
        </w:tblCellMar>
      </w:tblPr>
      <w:tblGrid>
        <w:gridCol w:w="1303"/>
        <w:gridCol w:w="1147"/>
        <w:gridCol w:w="1150"/>
        <w:gridCol w:w="764"/>
        <w:gridCol w:w="764"/>
        <w:gridCol w:w="766"/>
        <w:gridCol w:w="847"/>
        <w:gridCol w:w="847"/>
        <w:gridCol w:w="1201"/>
      </w:tblGrid>
      <w:tr>
        <w:trPr/>
        <w:tc>
          <w:tcPr>
            <w:tcW w:w="1303" w:type="dxa"/>
            <w:tcBorders/>
            <w:shd w:fill="auto" w:val="clear"/>
            <w:vAlign w:val="center"/>
          </w:tcPr>
          <w:p>
            <w:pPr>
              <w:pStyle w:val="TableContents"/>
              <w:spacing w:before="0" w:after="283"/>
              <w:rPr>
                <w:sz w:val="4"/>
                <w:szCs w:val="4"/>
              </w:rPr>
            </w:pPr>
            <w:r>
              <w:rPr>
                <w:sz w:val="4"/>
                <w:szCs w:val="4"/>
              </w:rPr>
            </w:r>
          </w:p>
        </w:tc>
        <w:tc>
          <w:tcPr>
            <w:tcW w:w="1147"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1201" w:type="dxa"/>
            <w:tcBorders/>
            <w:shd w:fill="auto" w:val="clear"/>
            <w:vAlign w:val="center"/>
          </w:tcPr>
          <w:p>
            <w:pPr>
              <w:pStyle w:val="TableContents"/>
              <w:spacing w:before="0" w:after="283"/>
              <w:rPr>
                <w:sz w:val="4"/>
                <w:szCs w:val="4"/>
              </w:rPr>
            </w:pPr>
            <w:r>
              <w:rPr>
                <w:sz w:val="4"/>
                <w:szCs w:val="4"/>
              </w:rPr>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of </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incorporation) </w:t>
            </w:r>
          </w:p>
        </w:tc>
        <w:tc>
          <w:tcPr>
            <w:tcW w:w="2294" w:type="dxa"/>
            <w:gridSpan w:val="3"/>
            <w:tcBorders/>
            <w:shd w:fill="auto" w:val="clear"/>
            <w:tcMar>
              <w:top w:w="0" w:type="dxa"/>
              <w:left w:w="0" w:type="dxa"/>
              <w:bottom w:w="0" w:type="dxa"/>
              <w:right w:w="0" w:type="dxa"/>
            </w:tcMar>
            <w:vAlign w:val="center"/>
          </w:tcPr>
          <w:p>
            <w:pPr>
              <w:pStyle w:val="TableContents"/>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001-40272</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2895" w:type="dxa"/>
            <w:gridSpan w:val="3"/>
            <w:tcBorders/>
            <w:shd w:fill="auto" w:val="clear"/>
            <w:tcMar>
              <w:top w:w="0" w:type="dxa"/>
              <w:left w:w="0" w:type="dxa"/>
              <w:bottom w:w="0" w:type="dxa"/>
              <w:right w:w="0" w:type="dxa"/>
            </w:tcMar>
            <w:vAlign w:val="center"/>
          </w:tcPr>
          <w:p>
            <w:pPr>
              <w:pStyle w:val="TableContents"/>
              <w:spacing w:lineRule="auto" w:line="300" w:before="0" w:after="0"/>
              <w:jc w:val="center"/>
              <w:rPr>
                <w:rFonts w:ascii="Times New Roman;sans-serif" w:hAnsi="Times New Roman;sans-serif"/>
                <w:b/>
                <w:color w:val="000000"/>
                <w:sz w:val="20"/>
              </w:rPr>
            </w:pPr>
            <w:r>
              <w:rPr>
                <w:rFonts w:ascii="Times New Roman;sans-serif" w:hAnsi="Times New Roman;sans-serif"/>
                <w:b/>
                <w:color w:val="000000"/>
                <w:sz w:val="20"/>
              </w:rPr>
              <w:t>98-1578357</w:t>
            </w:r>
          </w:p>
          <w:p>
            <w:pPr>
              <w:pStyle w:val="TableContents"/>
              <w:spacing w:lineRule="auto" w:line="300" w:before="0" w:after="2"/>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Times New Roman;sans-serif" w:hAnsi="Times New Roman;sans-serif"/>
                <w:b/>
                <w:color w:val="000000"/>
                <w:sz w:val="20"/>
              </w:rPr>
              <w:t>One North Lexington Avenue</w:t>
            </w:r>
            <w:r>
              <w:rPr>
                <w:rFonts w:ascii="Helvetica;sans-serif" w:hAnsi="Helvetica;sans-serif"/>
                <w:b/>
                <w:color w:val="3051F2"/>
                <w:sz w:val="20"/>
              </w:rPr>
              <w:t xml:space="preserve">, </w:t>
            </w:r>
            <w:r>
              <w:rPr>
                <w:rFonts w:ascii="Times New Roman;sans-serif" w:hAnsi="Times New Roman;sans-serif"/>
                <w:b/>
                <w:color w:val="000000"/>
                <w:sz w:val="20"/>
              </w:rPr>
              <w:t>Suite 1450</w:t>
            </w:r>
          </w:p>
          <w:p>
            <w:pPr>
              <w:pStyle w:val="TableContents"/>
              <w:spacing w:lineRule="auto" w:line="288" w:before="0" w:after="2"/>
              <w:jc w:val="center"/>
              <w:rPr>
                <w:rFonts w:ascii="Times New Roman;sans-serif" w:hAnsi="Times New Roman;sans-serif"/>
                <w:b/>
                <w:color w:val="000000"/>
                <w:sz w:val="20"/>
              </w:rPr>
            </w:pPr>
            <w:r>
              <w:rPr>
                <w:rFonts w:ascii="Times New Roman;sans-serif" w:hAnsi="Times New Roman;sans-serif"/>
                <w:b/>
                <w:color w:val="000000"/>
                <w:sz w:val="20"/>
              </w:rPr>
              <w:t xml:space="preserve">White Plains, New York </w:t>
            </w:r>
          </w:p>
        </w:tc>
        <w:tc>
          <w:tcPr>
            <w:tcW w:w="22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10601</w:t>
            </w:r>
          </w:p>
        </w:tc>
      </w:tr>
      <w:tr>
        <w:trPr/>
        <w:tc>
          <w:tcPr>
            <w:tcW w:w="3600"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22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5"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r>
        <w:trPr/>
        <w:tc>
          <w:tcPr>
            <w:tcW w:w="36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789" w:type="dxa"/>
            <w:gridSpan w:val="9"/>
            <w:tcBorders/>
            <w:shd w:fill="auto" w:val="clear"/>
            <w:tcMar>
              <w:top w:w="0" w:type="dxa"/>
              <w:left w:w="0" w:type="dxa"/>
              <w:bottom w:w="0" w:type="dxa"/>
              <w:right w:w="0" w:type="dxa"/>
            </w:tcMar>
            <w:vAlign w:val="center"/>
          </w:tcPr>
          <w:p>
            <w:pPr>
              <w:pStyle w:val="TableContents"/>
              <w:spacing w:lineRule="auto" w:line="288" w:before="0" w:after="2"/>
              <w:jc w:val="center"/>
              <w:rPr/>
            </w:pPr>
            <w:r>
              <w:rPr>
                <w:rFonts w:ascii="Times New Roman;sans-serif" w:hAnsi="Times New Roman;sans-serif"/>
                <w:b w:val="false"/>
                <w:color w:val="000000"/>
                <w:sz w:val="20"/>
              </w:rPr>
              <w:t>Registrant's telephone number, including area code:</w:t>
            </w:r>
            <w:r>
              <w:rPr>
                <w:color w:val="000000"/>
              </w:rPr>
              <w:t xml:space="preserve"> </w:t>
            </w:r>
            <w:r>
              <w:rPr>
                <w:rFonts w:ascii="Times New Roman;sans-serif" w:hAnsi="Times New Roman;sans-serif"/>
                <w:b/>
                <w:color w:val="000000"/>
                <w:sz w:val="20"/>
              </w:rPr>
              <w:t>(914) 705-4000</w:t>
            </w:r>
          </w:p>
        </w:tc>
      </w:tr>
      <w:tr>
        <w:trPr/>
        <w:tc>
          <w:tcPr>
            <w:tcW w:w="36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789"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tc>
      </w:tr>
      <w:tr>
        <w:trPr/>
        <w:tc>
          <w:tcPr>
            <w:tcW w:w="8789" w:type="dxa"/>
            <w:gridSpan w:val="9"/>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tc>
      </w:tr>
    </w:tbl>
    <w:p>
      <w:pPr>
        <w:pStyle w:val="TextBody"/>
        <w:spacing w:lineRule="auto" w:line="288" w:before="54" w:after="12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w:t>
      </w:r>
    </w:p>
    <w:p>
      <w:pPr>
        <w:pStyle w:val="TextBody"/>
        <w:spacing w:lineRule="auto" w:line="288" w:before="216" w:after="283"/>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spacing w:before="0" w:after="0"/>
        <w:rPr/>
      </w:pPr>
      <w:r>
        <w:rPr/>
      </w:r>
    </w:p>
    <w:tbl>
      <w:tblPr>
        <w:tblW w:w="9522" w:type="dxa"/>
        <w:jc w:val="left"/>
        <w:tblInd w:w="0" w:type="dxa"/>
        <w:tblCellMar>
          <w:top w:w="28" w:type="dxa"/>
          <w:left w:w="28" w:type="dxa"/>
          <w:bottom w:w="28" w:type="dxa"/>
          <w:right w:w="28" w:type="dxa"/>
        </w:tblCellMar>
      </w:tblPr>
      <w:tblGrid>
        <w:gridCol w:w="124"/>
        <w:gridCol w:w="109"/>
        <w:gridCol w:w="109"/>
        <w:gridCol w:w="2685"/>
        <w:gridCol w:w="2685"/>
        <w:gridCol w:w="381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5" w:type="dxa"/>
            <w:tcBorders/>
            <w:shd w:fill="auto" w:val="clear"/>
            <w:vAlign w:val="center"/>
          </w:tcPr>
          <w:p>
            <w:pPr>
              <w:pStyle w:val="TableContents"/>
              <w:spacing w:before="0" w:after="283"/>
              <w:rPr>
                <w:sz w:val="4"/>
                <w:szCs w:val="4"/>
              </w:rPr>
            </w:pPr>
            <w:r>
              <w:rPr>
                <w:sz w:val="4"/>
                <w:szCs w:val="4"/>
              </w:rPr>
            </w:r>
          </w:p>
        </w:tc>
        <w:tc>
          <w:tcPr>
            <w:tcW w:w="2685" w:type="dxa"/>
            <w:tcBorders/>
            <w:shd w:fill="auto" w:val="clear"/>
            <w:vAlign w:val="center"/>
          </w:tcPr>
          <w:p>
            <w:pPr>
              <w:pStyle w:val="TableContents"/>
              <w:spacing w:before="0" w:after="283"/>
              <w:rPr>
                <w:sz w:val="4"/>
                <w:szCs w:val="4"/>
              </w:rPr>
            </w:pPr>
            <w:r>
              <w:rPr>
                <w:sz w:val="4"/>
                <w:szCs w:val="4"/>
              </w:rPr>
            </w:r>
          </w:p>
        </w:tc>
        <w:tc>
          <w:tcPr>
            <w:tcW w:w="381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color w:val="000000"/>
              </w:rPr>
            </w:pPr>
            <w:r>
              <w:rPr>
                <w:color w:val="000000"/>
              </w:rPr>
              <w:t>☐</w:t>
            </w:r>
          </w:p>
        </w:tc>
        <w:tc>
          <w:tcPr>
            <w:tcW w:w="918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color w:val="000000"/>
              </w:rPr>
            </w:pPr>
            <w:r>
              <w:rPr>
                <w:color w:val="000000"/>
              </w:rPr>
              <w:t>☐</w:t>
            </w:r>
          </w:p>
        </w:tc>
        <w:tc>
          <w:tcPr>
            <w:tcW w:w="918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color w:val="000000"/>
              </w:rPr>
            </w:pPr>
            <w:r>
              <w:rPr>
                <w:color w:val="000000"/>
              </w:rPr>
              <w:t>☐</w:t>
            </w:r>
          </w:p>
        </w:tc>
        <w:tc>
          <w:tcPr>
            <w:tcW w:w="918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color w:val="000000"/>
              </w:rPr>
            </w:pPr>
            <w:r>
              <w:rPr>
                <w:color w:val="000000"/>
              </w:rPr>
              <w:t>☐</w:t>
            </w:r>
          </w:p>
        </w:tc>
        <w:tc>
          <w:tcPr>
            <w:tcW w:w="918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tbl>
      <w:tblPr>
        <w:tblW w:w="9658" w:type="dxa"/>
        <w:jc w:val="left"/>
        <w:tblInd w:w="0" w:type="dxa"/>
        <w:tblCellMar>
          <w:top w:w="28" w:type="dxa"/>
          <w:left w:w="28" w:type="dxa"/>
          <w:bottom w:w="28" w:type="dxa"/>
          <w:right w:w="28" w:type="dxa"/>
        </w:tblCellMar>
      </w:tblPr>
      <w:tblGrid>
        <w:gridCol w:w="1555"/>
        <w:gridCol w:w="1367"/>
        <w:gridCol w:w="1367"/>
        <w:gridCol w:w="515"/>
        <w:gridCol w:w="515"/>
        <w:gridCol w:w="515"/>
        <w:gridCol w:w="1120"/>
        <w:gridCol w:w="1120"/>
        <w:gridCol w:w="1584"/>
      </w:tblGrid>
      <w:tr>
        <w:trPr/>
        <w:tc>
          <w:tcPr>
            <w:tcW w:w="1555" w:type="dxa"/>
            <w:tcBorders/>
            <w:shd w:fill="auto" w:val="clear"/>
            <w:vAlign w:val="center"/>
          </w:tcPr>
          <w:p>
            <w:pPr>
              <w:pStyle w:val="TableContents"/>
              <w:spacing w:before="0" w:after="283"/>
              <w:rPr>
                <w:sz w:val="4"/>
                <w:szCs w:val="4"/>
              </w:rPr>
            </w:pPr>
            <w:r>
              <w:rPr>
                <w:sz w:val="4"/>
                <w:szCs w:val="4"/>
              </w:rPr>
            </w:r>
          </w:p>
        </w:tc>
        <w:tc>
          <w:tcPr>
            <w:tcW w:w="1367" w:type="dxa"/>
            <w:tcBorders/>
            <w:shd w:fill="auto" w:val="clear"/>
            <w:vAlign w:val="center"/>
          </w:tcPr>
          <w:p>
            <w:pPr>
              <w:pStyle w:val="TableContents"/>
              <w:spacing w:before="0" w:after="283"/>
              <w:rPr>
                <w:sz w:val="4"/>
                <w:szCs w:val="4"/>
              </w:rPr>
            </w:pPr>
            <w:r>
              <w:rPr>
                <w:sz w:val="4"/>
                <w:szCs w:val="4"/>
              </w:rPr>
            </w:r>
          </w:p>
        </w:tc>
        <w:tc>
          <w:tcPr>
            <w:tcW w:w="1367"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c>
          <w:tcPr>
            <w:tcW w:w="1584" w:type="dxa"/>
            <w:tcBorders/>
            <w:shd w:fill="auto" w:val="clear"/>
            <w:vAlign w:val="center"/>
          </w:tcPr>
          <w:p>
            <w:pPr>
              <w:pStyle w:val="TableContents"/>
              <w:spacing w:before="0" w:after="283"/>
              <w:rPr>
                <w:sz w:val="4"/>
                <w:szCs w:val="4"/>
              </w:rPr>
            </w:pPr>
            <w:r>
              <w:rPr>
                <w:sz w:val="4"/>
                <w:szCs w:val="4"/>
              </w:rPr>
            </w:r>
          </w:p>
        </w:tc>
      </w:tr>
      <w:tr>
        <w:trPr/>
        <w:tc>
          <w:tcPr>
            <w:tcW w:w="9658" w:type="dxa"/>
            <w:gridSpan w:val="9"/>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c>
      </w:tr>
      <w:tr>
        <w:trPr/>
        <w:tc>
          <w:tcPr>
            <w:tcW w:w="428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1545" w:type="dxa"/>
            <w:gridSpan w:val="3"/>
            <w:tcBorders/>
            <w:shd w:fill="auto" w:val="clear"/>
            <w:tcMar>
              <w:top w:w="0" w:type="dxa"/>
              <w:left w:w="0" w:type="dxa"/>
              <w:bottom w:w="0" w:type="dxa"/>
              <w:right w:w="0" w:type="dxa"/>
            </w:tcMar>
            <w:vAlign w:val="center"/>
          </w:tcPr>
          <w:p>
            <w:pPr>
              <w:pStyle w:val="TableContents"/>
              <w:spacing w:lineRule="auto" w:line="300" w:before="0" w:after="0"/>
              <w:jc w:val="left"/>
              <w:rPr>
                <w:rFonts w:ascii="Calibri;sans-serif" w:hAnsi="Calibri;sans-serif"/>
                <w:b/>
                <w:color w:val="000000"/>
                <w:sz w:val="20"/>
              </w:rPr>
            </w:pPr>
            <w:r>
              <w:rPr>
                <w:rFonts w:ascii="Calibri;sans-serif" w:hAnsi="Calibri;sans-serif"/>
                <w:b/>
                <w:color w:val="000000"/>
                <w:sz w:val="20"/>
              </w:rPr>
              <w:t>Trading Symbol(s)</w:t>
            </w:r>
          </w:p>
        </w:tc>
        <w:tc>
          <w:tcPr>
            <w:tcW w:w="382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4289"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$0.0001 per share</w:t>
            </w:r>
          </w:p>
        </w:tc>
        <w:tc>
          <w:tcPr>
            <w:tcW w:w="1545"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OPAL</w:t>
            </w:r>
          </w:p>
        </w:tc>
        <w:tc>
          <w:tcPr>
            <w:tcW w:w="3824" w:type="dxa"/>
            <w:gridSpan w:val="3"/>
            <w:tcBorders/>
            <w:shd w:fill="auto" w:val="clear"/>
            <w:tcMar>
              <w:top w:w="0" w:type="dxa"/>
              <w:left w:w="0" w:type="dxa"/>
              <w:bottom w:w="0" w:type="dxa"/>
              <w:right w:w="0" w:type="dxa"/>
            </w:tcMar>
            <w:vAlign w:val="center"/>
          </w:tcPr>
          <w:p>
            <w:pPr>
              <w:pStyle w:val="TableContents"/>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spacing w:lineRule="auto" w:line="288" w:before="0" w:after="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r>
        <w:rPr>
          <w:color w:val="000000"/>
        </w:rPr>
        <w:t xml:space="preserve"> </w:t>
      </w:r>
    </w:p>
    <w:p>
      <w:pPr>
        <w:pStyle w:val="TextBody"/>
        <w:spacing w:lineRule="auto" w:line="288" w:before="108" w:after="283"/>
        <w:jc w:val="both"/>
        <w:rPr/>
      </w:pPr>
      <w:r>
        <w:rPr>
          <w:rFonts w:ascii="Times New Roman;sans-serif" w:hAnsi="Times New Roman;sans-serif"/>
          <w:b w:val="false"/>
          <w:color w:val="000000"/>
          <w:sz w:val="20"/>
        </w:rPr>
        <w:t>Emerging growth company</w:t>
      </w:r>
      <w:r>
        <w:rPr>
          <w:color w:val="000000"/>
        </w:rPr>
        <w:t>    ☒</w:t>
      </w: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before="0" w:after="2"/>
        <w:rPr/>
      </w:pPr>
      <w:r>
        <w:rPr/>
      </w:r>
    </w:p>
    <w:p>
      <w:pPr>
        <w:pStyle w:val="TextBody"/>
        <w:spacing w:lineRule="auto" w:line="288" w:before="108" w:after="283"/>
        <w:jc w:val="both"/>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sans-serif" w:hAnsi="Times New Roman;sans-serif"/>
          <w:b/>
          <w:color w:val="000000"/>
          <w:sz w:val="20"/>
        </w:rPr>
        <w:t>. ☐</w:t>
      </w:r>
    </w:p>
    <w:p>
      <w:pPr>
        <w:pStyle w:val="TextBody"/>
        <w:spacing w:before="0" w:after="2"/>
        <w:rPr/>
      </w:pPr>
      <w:r>
        <w:rPr/>
      </w: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before="0" w:after="2"/>
        <w:rPr/>
      </w:pPr>
      <w:r>
        <w:rPr/>
      </w:r>
    </w:p>
    <w:p>
      <w:pPr>
        <w:pStyle w:val="TextBody"/>
        <w:spacing w:lineRule="auto" w:line="268" w:before="0" w:after="0"/>
        <w:rPr>
          <w:rFonts w:ascii="Times New Roman;sans-serif" w:hAnsi="Times New Roman;sans-serif"/>
          <w:b/>
          <w:color w:val="000000"/>
          <w:sz w:val="20"/>
        </w:rPr>
      </w:pPr>
      <w:r>
        <w:rPr>
          <w:rFonts w:ascii="Times New Roman;sans-serif" w:hAnsi="Times New Roman;sans-serif"/>
          <w:b/>
          <w:color w:val="000000"/>
          <w:sz w:val="20"/>
        </w:rPr>
        <w:t>Item 1.01. Entry into a Material Definitive Agreement.</w:t>
      </w:r>
    </w:p>
    <w:p>
      <w:pPr>
        <w:pStyle w:val="TextBody"/>
        <w:spacing w:before="0" w:after="2"/>
        <w:rPr/>
      </w:pPr>
      <w:r>
        <w:rPr/>
      </w:r>
    </w:p>
    <w:p>
      <w:pPr>
        <w:pStyle w:val="TextBody"/>
        <w:spacing w:lineRule="auto" w:line="300" w:before="0" w:after="2"/>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Landfill gas purchase and sale agreement</w:t>
      </w:r>
    </w:p>
    <w:p>
      <w:pPr>
        <w:pStyle w:val="TextBody"/>
        <w:spacing w:before="0" w:after="2"/>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On May 2, 2023, a wholly-owned subsidiary of OPAL Fuels Inc. (referred to herein as the “</w:t>
      </w:r>
      <w:r>
        <w:rPr>
          <w:rFonts w:ascii="Times New Roman;sans-serif" w:hAnsi="Times New Roman;sans-serif"/>
          <w:b/>
          <w:color w:val="000000"/>
          <w:sz w:val="20"/>
        </w:rPr>
        <w:t>Company</w:t>
      </w:r>
      <w:r>
        <w:rPr>
          <w:color w:val="000000"/>
        </w:rPr>
        <w:t>”</w:t>
      </w:r>
      <w:r>
        <w:rPr>
          <w:rFonts w:ascii="Times New Roman;sans-serif" w:hAnsi="Times New Roman;sans-serif"/>
          <w:b w:val="false"/>
          <w:color w:val="000000"/>
          <w:sz w:val="20"/>
        </w:rPr>
        <w:t>) entered into a Landfill Gas Purchase Agreement (the “</w:t>
      </w:r>
      <w:r>
        <w:rPr>
          <w:rFonts w:ascii="Times New Roman;sans-serif" w:hAnsi="Times New Roman;sans-serif"/>
          <w:b/>
          <w:color w:val="000000"/>
          <w:sz w:val="20"/>
        </w:rPr>
        <w:t>Agreement</w:t>
      </w:r>
      <w:r>
        <w:rPr>
          <w:color w:val="000000"/>
        </w:rPr>
        <w:t>”</w:t>
      </w:r>
      <w:r>
        <w:rPr>
          <w:rFonts w:ascii="Times New Roman;sans-serif" w:hAnsi="Times New Roman;sans-serif"/>
          <w:b w:val="false"/>
          <w:color w:val="000000"/>
          <w:sz w:val="20"/>
        </w:rPr>
        <w:t>) with Polk County, a political subdivision of the State of Florida (“</w:t>
      </w:r>
      <w:r>
        <w:rPr>
          <w:rFonts w:ascii="Times New Roman;sans-serif" w:hAnsi="Times New Roman;sans-serif"/>
          <w:b/>
          <w:color w:val="000000"/>
          <w:sz w:val="20"/>
        </w:rPr>
        <w:t>Polk County</w:t>
      </w:r>
      <w:r>
        <w:rPr>
          <w:color w:val="000000"/>
        </w:rPr>
        <w:t>”</w:t>
      </w:r>
      <w:r>
        <w:rPr>
          <w:rFonts w:ascii="Times New Roman;sans-serif" w:hAnsi="Times New Roman;sans-serif"/>
          <w:b w:val="false"/>
          <w:color w:val="000000"/>
          <w:sz w:val="20"/>
        </w:rPr>
        <w:t>). The Agreement provides the Company with the right to purchase landfill gas (“</w:t>
      </w:r>
      <w:r>
        <w:rPr>
          <w:rFonts w:ascii="Times New Roman;sans-serif" w:hAnsi="Times New Roman;sans-serif"/>
          <w:b/>
          <w:color w:val="000000"/>
          <w:sz w:val="20"/>
        </w:rPr>
        <w:t>LFG</w:t>
      </w:r>
      <w:r>
        <w:rPr>
          <w:color w:val="000000"/>
        </w:rPr>
        <w:t>”</w:t>
      </w:r>
      <w:r>
        <w:rPr>
          <w:rFonts w:ascii="Times New Roman;sans-serif" w:hAnsi="Times New Roman;sans-serif"/>
          <w:b w:val="false"/>
          <w:color w:val="000000"/>
          <w:sz w:val="20"/>
        </w:rPr>
        <w:t>) from the Polk County North Central Landfill located in Winter Haven, Florida. The Agreement anticipates a site lease (“</w:t>
      </w:r>
      <w:r>
        <w:rPr>
          <w:rFonts w:ascii="Times New Roman;sans-serif" w:hAnsi="Times New Roman;sans-serif"/>
          <w:b/>
          <w:color w:val="000000"/>
          <w:sz w:val="20"/>
        </w:rPr>
        <w:t>Site Lease</w:t>
      </w:r>
      <w:r>
        <w:rPr>
          <w:color w:val="000000"/>
        </w:rPr>
        <w:t>”</w:t>
      </w:r>
      <w:r>
        <w:rPr>
          <w:rFonts w:ascii="Times New Roman;sans-serif" w:hAnsi="Times New Roman;sans-serif"/>
          <w:b w:val="false"/>
          <w:color w:val="000000"/>
          <w:sz w:val="20"/>
        </w:rPr>
        <w:t>) to be entered into between the Company and Polk County that would provide the Company with the right to build and operate a facility (the “</w:t>
      </w:r>
      <w:r>
        <w:rPr>
          <w:rFonts w:ascii="Times New Roman;sans-serif" w:hAnsi="Times New Roman;sans-serif"/>
          <w:b/>
          <w:color w:val="000000"/>
          <w:sz w:val="20"/>
        </w:rPr>
        <w:t>Facility</w:t>
      </w:r>
      <w:r>
        <w:rPr>
          <w:color w:val="000000"/>
        </w:rPr>
        <w:t>”</w:t>
      </w:r>
      <w:r>
        <w:rPr>
          <w:rFonts w:ascii="Times New Roman;sans-serif" w:hAnsi="Times New Roman;sans-serif"/>
          <w:b w:val="false"/>
          <w:color w:val="000000"/>
          <w:sz w:val="20"/>
        </w:rPr>
        <w:t>) on a parcel of real property located at or near the landfill to process the LFG into renewable natural gas (“</w:t>
      </w:r>
      <w:r>
        <w:rPr>
          <w:rFonts w:ascii="Times New Roman;sans-serif" w:hAnsi="Times New Roman;sans-serif"/>
          <w:b/>
          <w:color w:val="000000"/>
          <w:sz w:val="20"/>
        </w:rPr>
        <w:t>RNG</w:t>
      </w:r>
      <w:r>
        <w:rPr>
          <w:color w:val="000000"/>
        </w:rPr>
        <w:t>”</w:t>
      </w:r>
      <w:r>
        <w:rPr>
          <w:rFonts w:ascii="Times New Roman;sans-serif" w:hAnsi="Times New Roman;sans-serif"/>
          <w:b w:val="false"/>
          <w:color w:val="000000"/>
          <w:sz w:val="20"/>
        </w:rPr>
        <w:t>). There is no assurance that the Site Lease will be fully executed. Per the terms and conditions of the Agreement, Polk County will receive certain payments and royalties from the sale of RNG produced by the Facility, including with respect to the sale of environmental credits or other attributes associated with the RNG. Unless earlier terminated or extended per the terms and conditions of the Agreement, the term of the Agreement expires on April 26, 2042.</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representations, warranties, and covenants contained in the Agreement were made solely for the benefit of the Company and Polk County and are subject to limitations agreed upon by the parties therein. </w:t>
      </w:r>
    </w:p>
    <w:p>
      <w:pPr>
        <w:pStyle w:val="TextBody"/>
        <w:spacing w:before="0" w:after="2"/>
        <w:rPr/>
      </w:pPr>
      <w:r>
        <w:rPr/>
      </w:r>
    </w:p>
    <w:p>
      <w:pPr>
        <w:pStyle w:val="TextBody"/>
        <w:spacing w:lineRule="auto" w:line="300" w:before="0" w:after="2"/>
        <w:rPr>
          <w:rFonts w:ascii="Times New Roman;sans-serif" w:hAnsi="Times New Roman;sans-serif"/>
          <w:b/>
          <w:color w:val="000000"/>
          <w:sz w:val="20"/>
        </w:rPr>
      </w:pPr>
      <w:r>
        <w:rPr>
          <w:rFonts w:ascii="Times New Roman;sans-serif" w:hAnsi="Times New Roman;sans-serif"/>
          <w:b/>
          <w:color w:val="000000"/>
          <w:sz w:val="20"/>
        </w:rPr>
        <w:t>Cautionary Statement Regarding Forward-Looking Statements</w:t>
      </w:r>
    </w:p>
    <w:p>
      <w:pPr>
        <w:pStyle w:val="TextBody"/>
        <w:spacing w:before="0" w:after="2"/>
        <w:rPr/>
      </w:pPr>
      <w:r>
        <w:rPr/>
      </w:r>
    </w:p>
    <w:p>
      <w:pPr>
        <w:pStyle w:val="TextBody"/>
        <w:spacing w:lineRule="auto" w:line="300" w:before="0" w:after="2"/>
        <w:jc w:val="both"/>
        <w:rPr>
          <w:rFonts w:ascii="Times New Roman;sans-serif" w:hAnsi="Times New Roman;sans-serif"/>
          <w:b w:val="false"/>
          <w:color w:val="000000"/>
          <w:sz w:val="20"/>
        </w:rPr>
      </w:pPr>
      <w:r>
        <w:rPr>
          <w:rFonts w:ascii="Times New Roman;sans-serif" w:hAnsi="Times New Roman;sans-serif"/>
          <w:b w:val="false"/>
          <w:color w:val="000000"/>
          <w:sz w:val="20"/>
        </w:rPr>
        <w:t>This Current Report on Form 8-K contains forward-looking statements within the meaning of the federal securities laws. These forward-looking statements generally are identified by the words “believe,” “project,” “expect,” “anticipate,” “estimate,” “intend,” “strategy,” “future,” “opportunity,” “plan,” “may,” “should,” “will,” “would,” “will be,” “will continue,” “will likely result,” and similar expressions, but the absence of these words does not mean that a statement is not forward-looking.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Current Report on Form 8-K, including, but not limited to those described under the section entitled “Risk Factors” in the Company’s Annual Report on Form 10-K for the year ended December 31, 2022, filed on March 29, 2023, as such factors may be updated from time to time in the Company’s periodic filings with the SEC, which are accessible on the SEC’s website at www.sec.gov.</w:t>
      </w:r>
    </w:p>
    <w:p>
      <w:pPr>
        <w:pStyle w:val="TextBody"/>
        <w:spacing w:before="0" w:after="2"/>
        <w:jc w:val="both"/>
        <w:rPr/>
      </w:pPr>
      <w:r>
        <w:rPr/>
      </w:r>
    </w:p>
    <w:p>
      <w:pPr>
        <w:pStyle w:val="TextBody"/>
        <w:spacing w:lineRule="auto" w:line="300" w:before="0" w:after="2"/>
        <w:jc w:val="both"/>
        <w:rPr>
          <w:rFonts w:ascii="Times New Roman;sans-serif" w:hAnsi="Times New Roman;sans-serif"/>
          <w:b w:val="false"/>
          <w:color w:val="000000"/>
          <w:sz w:val="20"/>
        </w:rPr>
      </w:pPr>
      <w:r>
        <w:rPr>
          <w:rFonts w:ascii="Times New Roman;sans-serif" w:hAnsi="Times New Roman;sans-serif"/>
          <w:b w:val="false"/>
          <w:color w:val="000000"/>
          <w:sz w:val="20"/>
        </w:rPr>
        <w:t>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Current Report on Form 8-K may not occur and actual results could differ materially and adversely from those anticipated.</w:t>
      </w:r>
    </w:p>
    <w:p>
      <w:pPr>
        <w:pStyle w:val="TextBody"/>
        <w:spacing w:before="0" w:after="2"/>
        <w:jc w:val="both"/>
        <w:rPr/>
      </w:pPr>
      <w:r>
        <w:rPr/>
      </w:r>
    </w:p>
    <w:p>
      <w:pPr>
        <w:pStyle w:val="TextBody"/>
        <w:spacing w:lineRule="auto" w:line="300" w:before="0" w:after="2"/>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 We do not give any assurance that we will achieve our expectations.</w:t>
      </w:r>
    </w:p>
    <w:p>
      <w:pPr>
        <w:pStyle w:val="TextBody"/>
        <w:spacing w:before="0" w:after="2"/>
        <w:rPr/>
      </w:pPr>
      <w:r>
        <w:rPr/>
      </w:r>
    </w:p>
    <w:p>
      <w:pPr>
        <w:pStyle w:val="TextBody"/>
        <w:spacing w:lineRule="auto" w:line="268" w:before="0" w:after="120"/>
        <w:jc w:val="both"/>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spacing w:before="0" w:after="120"/>
        <w:rPr/>
      </w:pPr>
      <w:r>
        <w:rPr/>
      </w:r>
    </w:p>
    <w:tbl>
      <w:tblPr>
        <w:tblW w:w="4616" w:type="dxa"/>
        <w:jc w:val="left"/>
        <w:tblInd w:w="0" w:type="dxa"/>
        <w:tblCellMar>
          <w:top w:w="28" w:type="dxa"/>
          <w:left w:w="28" w:type="dxa"/>
          <w:bottom w:w="28" w:type="dxa"/>
          <w:right w:w="28" w:type="dxa"/>
        </w:tblCellMar>
      </w:tblPr>
      <w:tblGrid>
        <w:gridCol w:w="531"/>
        <w:gridCol w:w="468"/>
        <w:gridCol w:w="470"/>
        <w:gridCol w:w="109"/>
        <w:gridCol w:w="109"/>
        <w:gridCol w:w="109"/>
        <w:gridCol w:w="826"/>
        <w:gridCol w:w="826"/>
        <w:gridCol w:w="1168"/>
      </w:tblGrid>
      <w:tr>
        <w:trPr/>
        <w:tc>
          <w:tcPr>
            <w:tcW w:w="531"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168" w:type="dxa"/>
            <w:tcBorders/>
            <w:shd w:fill="auto" w:val="clear"/>
            <w:vAlign w:val="center"/>
          </w:tcPr>
          <w:p>
            <w:pPr>
              <w:pStyle w:val="TableContents"/>
              <w:spacing w:before="0" w:after="283"/>
              <w:rPr>
                <w:sz w:val="4"/>
                <w:szCs w:val="4"/>
              </w:rPr>
            </w:pPr>
            <w:r>
              <w:rPr>
                <w:sz w:val="4"/>
                <w:szCs w:val="4"/>
              </w:rPr>
            </w:r>
          </w:p>
        </w:tc>
      </w:tr>
      <w:tr>
        <w:trPr/>
        <w:tc>
          <w:tcPr>
            <w:tcW w:w="146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Exhibit Number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r>
      <w:tr>
        <w:trPr/>
        <w:tc>
          <w:tcPr>
            <w:tcW w:w="14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6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0" w:type="dxa"/>
            <w:gridSpan w:val="3"/>
            <w:tcBorders/>
            <w:shd w:fill="auto" w:val="clear"/>
            <w:tcMar>
              <w:top w:w="0" w:type="dxa"/>
              <w:left w:w="0" w:type="dxa"/>
              <w:bottom w:w="0" w:type="dxa"/>
              <w:right w:w="0" w:type="dxa"/>
            </w:tcMar>
            <w:vAlign w:val="center"/>
          </w:tcPr>
          <w:p>
            <w:pPr>
              <w:pStyle w:val="TableContents"/>
              <w:spacing w:lineRule="auto" w:line="30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w:t>
            </w:r>
          </w:p>
        </w:tc>
      </w:tr>
    </w:tbl>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before="0" w:after="2"/>
        <w:rPr/>
      </w:pPr>
      <w:r>
        <w:rPr/>
      </w:r>
    </w:p>
    <w:p>
      <w:pPr>
        <w:pStyle w:val="TextBody"/>
        <w:spacing w:before="0" w:after="0"/>
        <w:jc w:val="center"/>
        <w:rPr/>
      </w:pPr>
      <w:r>
        <w:rPr/>
      </w:r>
    </w:p>
    <w:p>
      <w:pPr>
        <w:pStyle w:val="TextBody"/>
        <w:spacing w:lineRule="auto" w:line="300" w:before="0" w:after="2"/>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r>
    </w:p>
    <w:p>
      <w:pPr>
        <w:pStyle w:val="TextBody"/>
        <w:spacing w:before="0" w:after="2"/>
        <w:rPr/>
      </w:pPr>
      <w:r>
        <w:rPr/>
      </w:r>
    </w:p>
    <w:p>
      <w:pPr>
        <w:pStyle w:val="TextBody"/>
        <w:spacing w:lineRule="auto" w:line="300" w:before="0" w:after="2"/>
        <w:rPr>
          <w:rFonts w:ascii="Times New Roman;sans-serif" w:hAnsi="Times New Roman;sans-serif"/>
          <w:b w:val="false"/>
          <w:color w:val="000000"/>
          <w:sz w:val="22"/>
        </w:rPr>
      </w:pPr>
      <w:r>
        <w:rPr>
          <w:rFonts w:ascii="Times New Roman;sans-serif" w:hAnsi="Times New Roman;sans-serif"/>
          <w:b w:val="false"/>
          <w:color w:val="000000"/>
          <w:sz w:val="22"/>
        </w:rPr>
        <w:t>Date: May 8, 2023</w:t>
      </w:r>
    </w:p>
    <w:tbl>
      <w:tblPr>
        <w:tblW w:w="2867" w:type="dxa"/>
        <w:jc w:val="right"/>
        <w:tblInd w:w="0" w:type="dxa"/>
        <w:tblCellMar>
          <w:top w:w="28" w:type="dxa"/>
          <w:left w:w="28" w:type="dxa"/>
          <w:bottom w:w="28" w:type="dxa"/>
          <w:right w:w="28" w:type="dxa"/>
        </w:tblCellMar>
      </w:tblPr>
      <w:tblGrid>
        <w:gridCol w:w="312"/>
        <w:gridCol w:w="273"/>
        <w:gridCol w:w="273"/>
        <w:gridCol w:w="584"/>
        <w:gridCol w:w="584"/>
        <w:gridCol w:w="841"/>
      </w:tblGrid>
      <w:tr>
        <w:trPr/>
        <w:tc>
          <w:tcPr>
            <w:tcW w:w="312"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r>
      <w:tr>
        <w:trPr/>
        <w:tc>
          <w:tcPr>
            <w:tcW w:w="2867" w:type="dxa"/>
            <w:gridSpan w:val="6"/>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color w:val="000000"/>
                <w:sz w:val="22"/>
              </w:rPr>
            </w:pPr>
            <w:r>
              <w:rPr>
                <w:rFonts w:ascii="Times New Roman;sans-serif" w:hAnsi="Times New Roman;sans-serif"/>
                <w:b/>
                <w:color w:val="000000"/>
                <w:sz w:val="22"/>
              </w:rPr>
              <w:t>OPAL Fuels Inc.</w:t>
            </w:r>
          </w:p>
        </w:tc>
      </w:tr>
      <w:tr>
        <w:trPr/>
        <w:tc>
          <w:tcPr>
            <w:tcW w:w="8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Ann Anthony</w:t>
            </w:r>
          </w:p>
        </w:tc>
      </w:tr>
      <w:tr>
        <w:trPr/>
        <w:tc>
          <w:tcPr>
            <w:tcW w:w="85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 Anthony</w:t>
            </w:r>
          </w:p>
        </w:tc>
      </w:tr>
      <w:tr>
        <w:trPr/>
        <w:tc>
          <w:tcPr>
            <w:tcW w:w="85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09"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spacing w:before="0" w:after="283"/>
        <w:rPr/>
      </w:pPr>
      <w:r>
        <w:br w:type="page"/>
      </w: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Helvetica">
    <w:altName w:val="Arial"/>
    <w:charset w:val="00"/>
    <w:family w:val="auto"/>
    <w:pitch w:val="default"/>
  </w:font>
  <w:font w:name="Calibri">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953</Words>
  <CharactersWithSpaces>6227</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