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68347P 103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Christine M. Miller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ArcLight CTC Holdings II,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200 Clarendon St, 55th Floor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Julian J. Seiguer, P.C.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609 Main Street</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Jennifer Wu</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401 Congress Avenue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(512) 678-9100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15, 2023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68347P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57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59" w:lineRule="exact"/>
        <w:rPr>
          <w:sz w:val="20"/>
          <w:szCs w:val="20"/>
          <w:color w:val="auto"/>
        </w:rPr>
      </w:pPr>
    </w:p>
    <w:p>
      <w:pPr>
        <w:ind w:left="860" w:right="8080" w:hanging="508"/>
        <w:spacing w:after="0" w:line="312" w:lineRule="auto"/>
        <w:tabs>
          <w:tab w:leader="none" w:pos="8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ArcLight CTC Holdings II, L.P.</w:t>
      </w:r>
    </w:p>
    <w:p>
      <w:pPr>
        <w:spacing w:after="0" w:line="4" w:lineRule="exact"/>
        <w:rPr>
          <w:rFonts w:ascii="Times New Roman" w:cs="Times New Roman" w:eastAsia="Times New Roman" w:hAnsi="Times New Roman"/>
          <w:sz w:val="17"/>
          <w:szCs w:val="17"/>
          <w:color w:val="auto"/>
        </w:rPr>
      </w:pPr>
    </w:p>
    <w:p>
      <w:pPr>
        <w:ind w:left="860" w:hanging="50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8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860" w:right="7740" w:hanging="508"/>
        <w:spacing w:after="0" w:line="27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3"/>
        </w:trPr>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1"/>
        </w:trPr>
        <w:tc>
          <w:tcPr>
            <w:tcW w:w="206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780" w:type="dxa"/>
            <w:vAlign w:val="bottom"/>
            <w:tcBorders>
              <w:right w:val="single" w:sz="8" w:color="auto"/>
            </w:tcBorders>
          </w:tcPr>
          <w:p>
            <w:pPr>
              <w:spacing w:after="0"/>
              <w:rPr>
                <w:sz w:val="9"/>
                <w:szCs w:val="9"/>
                <w:color w:val="auto"/>
              </w:rPr>
            </w:pPr>
          </w:p>
        </w:tc>
        <w:tc>
          <w:tcPr>
            <w:tcW w:w="8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60" w:type="dxa"/>
            <w:vAlign w:val="bottom"/>
            <w:tcBorders>
              <w:right w:val="single" w:sz="8" w:color="auto"/>
            </w:tcBorders>
            <w:vMerge w:val="continue"/>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0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5"/>
                <w:szCs w:val="15"/>
                <w:color w:val="auto"/>
              </w:rPr>
            </w:pPr>
          </w:p>
        </w:tc>
        <w:tc>
          <w:tcPr>
            <w:tcW w:w="8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2"/>
                <w:szCs w:val="22"/>
                <w:color w:val="auto"/>
              </w:rPr>
            </w:pPr>
          </w:p>
        </w:tc>
        <w:tc>
          <w:tcPr>
            <w:tcW w:w="8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1,395,135*</w:t>
            </w:r>
          </w:p>
        </w:tc>
        <w:tc>
          <w:tcPr>
            <w:tcW w:w="0" w:type="dxa"/>
            <w:vAlign w:val="bottom"/>
          </w:tcPr>
          <w:p>
            <w:pPr>
              <w:spacing w:after="0"/>
              <w:rPr>
                <w:sz w:val="1"/>
                <w:szCs w:val="1"/>
                <w:color w:val="auto"/>
              </w:rPr>
            </w:pPr>
          </w:p>
        </w:tc>
      </w:tr>
      <w:tr>
        <w:trPr>
          <w:trHeight w:val="189"/>
        </w:trPr>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7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84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780" w:type="dxa"/>
            <w:vAlign w:val="bottom"/>
            <w:tcBorders>
              <w:right w:val="single" w:sz="8" w:color="auto"/>
            </w:tcBorders>
          </w:tcPr>
          <w:p>
            <w:pPr>
              <w:spacing w:after="0"/>
              <w:rPr>
                <w:sz w:val="18"/>
                <w:szCs w:val="18"/>
                <w:color w:val="auto"/>
              </w:rPr>
            </w:pP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1,395,135*</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60" w:right="5580" w:hanging="549"/>
        <w:spacing w:after="0" w:line="282" w:lineRule="auto"/>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1,395,135*</w:t>
      </w:r>
    </w:p>
    <w:p>
      <w:pPr>
        <w:spacing w:after="0" w:line="26"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8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71"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0" w:lineRule="exact"/>
        <w:rPr>
          <w:rFonts w:ascii="Times New Roman" w:cs="Times New Roman" w:eastAsia="Times New Roman" w:hAnsi="Times New Roman"/>
          <w:sz w:val="18"/>
          <w:szCs w:val="18"/>
          <w:color w:val="auto"/>
        </w:rPr>
      </w:pPr>
    </w:p>
    <w:p>
      <w:pPr>
        <w:ind w:left="340" w:righ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(the “Reported Securities”) consists of shares of Class A common stock, par value $0.001 per share, of the Issuer (“Class A Shares”).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27,975,206 Class A Shares outstanding as of November 11, 2023 as reported on Issuer’s Quarterly Report on Form 10-Q, filed on November 14, 2023 (the “Quarterly Report”), and plus (ii) 144,399,037 Class A Shares to be issued upon conversion of all the Class B common units of OPAL Fuels LLC (the “Class B Units”) and Class D Shares outstanding as of November 11, 2023 as reported on the Quarterly Report. In accordance with the SEC’s rules for calculating “beneficial ownership,” which requires the Reporting Person to disregard the conversion or exercise of the Class D Shares or Warrants (as defined below) not held by the Reporting Person, the Reporting Person would be deemed to beneficially own approximately 5.0% of the outstanding Class A Shares. This percentage is calculated with a numerator of 1,395,135 and a denominator of 27,975,206. Notwithstanding the foregoing, because a Class B Unit and Class D Share are economically equivalent to a Class A Share and further, the Class D Shares vote together with the Class A Shares, the reported 0.8% reflects the Reporting Person’s actual economic and voting interest in the Issuer.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860" w:right="8440" w:hanging="508"/>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t>Name of Reporting Person Daniel R. Revers</w:t>
      </w:r>
    </w:p>
    <w:p>
      <w:pPr>
        <w:spacing w:after="0" w:line="26"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8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860" w:right="7740" w:hanging="508"/>
        <w:spacing w:after="0" w:line="27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3"/>
        </w:trPr>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1,000,713*</w:t>
            </w: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780" w:type="dxa"/>
            <w:vAlign w:val="bottom"/>
            <w:tcBorders>
              <w:right w:val="single" w:sz="8" w:color="auto"/>
            </w:tcBorders>
          </w:tcPr>
          <w:p>
            <w:pPr>
              <w:spacing w:after="0"/>
              <w:rPr>
                <w:sz w:val="9"/>
                <w:szCs w:val="9"/>
                <w:color w:val="auto"/>
              </w:rPr>
            </w:pPr>
          </w:p>
        </w:tc>
        <w:tc>
          <w:tcPr>
            <w:tcW w:w="8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60" w:type="dxa"/>
            <w:vAlign w:val="bottom"/>
            <w:tcBorders>
              <w:right w:val="single" w:sz="8" w:color="auto"/>
            </w:tcBorders>
            <w:vMerge w:val="continue"/>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0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5"/>
                <w:szCs w:val="15"/>
                <w:color w:val="auto"/>
              </w:rPr>
            </w:pPr>
          </w:p>
        </w:tc>
        <w:tc>
          <w:tcPr>
            <w:tcW w:w="8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2"/>
                <w:szCs w:val="22"/>
                <w:color w:val="auto"/>
              </w:rPr>
            </w:pPr>
          </w:p>
        </w:tc>
        <w:tc>
          <w:tcPr>
            <w:tcW w:w="8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1,395,135*</w:t>
            </w:r>
          </w:p>
        </w:tc>
        <w:tc>
          <w:tcPr>
            <w:tcW w:w="0" w:type="dxa"/>
            <w:vAlign w:val="bottom"/>
          </w:tcPr>
          <w:p>
            <w:pPr>
              <w:spacing w:after="0"/>
              <w:rPr>
                <w:sz w:val="1"/>
                <w:szCs w:val="1"/>
                <w:color w:val="auto"/>
              </w:rPr>
            </w:pPr>
          </w:p>
        </w:tc>
      </w:tr>
      <w:tr>
        <w:trPr>
          <w:trHeight w:val="189"/>
        </w:trPr>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7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84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780" w:type="dxa"/>
            <w:vAlign w:val="bottom"/>
            <w:tcBorders>
              <w:right w:val="single" w:sz="8" w:color="auto"/>
            </w:tcBorders>
          </w:tcPr>
          <w:p>
            <w:pPr>
              <w:spacing w:after="0"/>
              <w:rPr>
                <w:sz w:val="18"/>
                <w:szCs w:val="18"/>
                <w:color w:val="auto"/>
              </w:rPr>
            </w:pP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1,000,713*</w:t>
            </w:r>
          </w:p>
        </w:tc>
        <w:tc>
          <w:tcPr>
            <w:tcW w:w="0" w:type="dxa"/>
            <w:vAlign w:val="bottom"/>
          </w:tcPr>
          <w:p>
            <w:pPr>
              <w:spacing w:after="0"/>
              <w:rPr>
                <w:sz w:val="1"/>
                <w:szCs w:val="1"/>
                <w:color w:val="auto"/>
              </w:rPr>
            </w:pPr>
          </w:p>
        </w:tc>
      </w:tr>
      <w:tr>
        <w:trPr>
          <w:trHeight w:val="88"/>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1,395,135*</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60" w:right="5580" w:hanging="549"/>
        <w:spacing w:after="0" w:line="282" w:lineRule="auto"/>
        <w:tabs>
          <w:tab w:leader="none" w:pos="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2,395,848*</w:t>
      </w:r>
    </w:p>
    <w:p>
      <w:pPr>
        <w:spacing w:after="0" w:line="26"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8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71" w:lineRule="exact"/>
        <w:rPr>
          <w:rFonts w:ascii="Times New Roman" w:cs="Times New Roman" w:eastAsia="Times New Roman" w:hAnsi="Times New Roman"/>
          <w:sz w:val="18"/>
          <w:szCs w:val="18"/>
          <w:color w:val="auto"/>
        </w:rPr>
      </w:pPr>
    </w:p>
    <w:p>
      <w:pPr>
        <w:ind w:left="860" w:hanging="553"/>
        <w:spacing w:after="0"/>
        <w:tabs>
          <w:tab w:leader="none" w:pos="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consists of Class A Shares.</w:t>
      </w:r>
    </w:p>
    <w:p>
      <w:pPr>
        <w:spacing w:after="0" w:line="225" w:lineRule="exact"/>
        <w:rPr>
          <w:rFonts w:ascii="Times New Roman" w:cs="Times New Roman" w:eastAsia="Times New Roman" w:hAnsi="Times New Roman"/>
          <w:sz w:val="18"/>
          <w:szCs w:val="18"/>
          <w:color w:val="auto"/>
        </w:rPr>
      </w:pPr>
    </w:p>
    <w:p>
      <w:pPr>
        <w:ind w:left="340" w:hanging="332"/>
        <w:spacing w:after="0" w:line="273"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based on (i) 27,975,206 Class A Shares outstanding as of November 11, 2023 as reported on the Quarterly Report, and plus (ii) 144,399,037 Class A Shares to be issued upon conversion of all the Class B Units and Class D Shares outstanding as of November 11, 2023 as reported on the Quarterly Report. In accordance with the SEC’s rules for calculating “beneficial ownership,” which requires the Reporting Person to disregard the conversion or exercise of the Class D Shares or Warrants not held by the Reporting Person, the Reporting Person would be deemed to beneficially own approximately 8.6% of the outstanding Class A Shares. This percentage is calculated with a numerator of 2,395,848 and a denominator of 27,975,206. Notwithstanding the foregoing, because a Class B Unit and Class D Share are economically equivalent to a Class A Share and further, the Class D Shares vote together with the Class A Shares, the reported 1.4% reflects the Reporting Person’s actual economic and voting interest in the Issuer.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 TO 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Amendment No. 4 (“Amendment No. 4”) amends and supplements the Schedule 13D filed on August 1, 2022, as amended by that certain Amendment No. 1 to the Original Schedule 13D, filed on December 23, 2022, as further amended by that certain Amendment No. 2 filed on February 1, 2023 and as further amended by that certain Amendment No. 3 filed on May 1, 2023 (as so amended, the “Original Schedule 13D”). Except as specifically amended by this Amendment No. 4, the Schedule 13D remains in full force and effect. Capitalized terms used but not otherwise defined herein shall have the respective meanings previously ascribed to them in the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as follows: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(a)-(b) The information contained on the cover pages to this Schedule 13D is incorporated herein by reference. As noted on the cover pages, the beneficial ownership reflected in Box 13 of each cover page is calculated based on (i) 27,975,206 Class A Shares outstanding as of November 11, 2023 as reported on Issuer’s Quarterly Report, as increased by (ii) 144,399,037 Class A Shares to be issued upon conversion of all the Class B Units and Class D Shares outstanding as of November 11, 2023 as reported on the Quarterly Report. In accordance with the SEC’s rules for calculating “beneficial ownership,” which requires the Reporting Persons to disregard the conversion or exercise of the Class D Shares or warrants to acquire Class A Shares (“Warrants”) not held by the Reporting Persons, the Reporting Persons would be deemed to beneficially own approximately 8.6% of the outstanding Class A Shares. This percentage is calculated with a numerator of 2,395,848 and a denominator of 27,975,206. Notwithstanding the foregoing, because a Class B Unit and Class D Share are economically equivalent to a Class A Share and further, the Class D Shares vote together with the Class A Shares, the reported 1.4% reflects the Reporting Person’s actual economic and voting interest in the Issuer.</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Reported Securities consists of (i) 1,395,135 Class A Shares held directly by the Sponsor, (ii) 619,731 Class A Shares held directly by Daniel R. Revers, (iii) 322,227 Class A Shares held directly by ACHP B, L.P., a Delaware limited partnership (“ACHP B”) and (iv) 58,755 Class A Shares held directly by ACTC Holdings GP II, LLC, a Delaware limited liability company and general partner of the Sponsor (“ACTC GP”). Mr. Revers has voting power and investment discretion with respect to the securities held by the Sponsor, ACHP B and ACTC GP, and thus may be deemed to have beneficial ownership of the Reported Securities. The filing of this statement shall not be construed as an admission by either Reporting Person that such person is, for the purposes of sections 13(d) or 13(g) of the Exchange Act, the beneficial owner of any securities covered by this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t>The Reported Securities include 763,908 Class A Shares that are subject to forfeiture (the “Sponsor Earn-Out”) pursuant to that certain Sponsor Letter Agreement, by and among the Sponsor, OPAL Fuels and certain parties thereto, dated as of December 2, 2021 (as amended from time to time, the “Sponsor Letter Agreement”). Pursuant to the Sponsor Letter Agreement, up to 10% of the Class A Shares beneficially owned by the Reporting Person as of July 21, 2022 will be subject to forfeiture if, during the 60 months following July 21, 2022, the following vesting conditions are not satisfied:</w:t>
      </w:r>
    </w:p>
    <w:p>
      <w:pPr>
        <w:spacing w:after="0" w:line="180" w:lineRule="exact"/>
        <w:rPr>
          <w:sz w:val="20"/>
          <w:szCs w:val="20"/>
          <w:color w:val="auto"/>
        </w:rPr>
      </w:pPr>
    </w:p>
    <w:p>
      <w:pPr>
        <w:ind w:left="660" w:right="100" w:hanging="328"/>
        <w:spacing w:after="0" w:line="23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 $12.50 per share; or (B) a Sale (as defined below) is consummated in which the Class A Shares are valued at greater than or equal to $12.50 per share,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 and</w:t>
      </w:r>
    </w:p>
    <w:p>
      <w:pPr>
        <w:spacing w:after="0" w:line="197" w:lineRule="exact"/>
        <w:rPr>
          <w:rFonts w:ascii="Times New Roman" w:cs="Times New Roman" w:eastAsia="Times New Roman" w:hAnsi="Times New Roman"/>
          <w:sz w:val="18"/>
          <w:szCs w:val="18"/>
          <w:color w:val="auto"/>
        </w:rPr>
      </w:pPr>
    </w:p>
    <w:p>
      <w:pPr>
        <w:ind w:left="660" w:right="120" w:hanging="328"/>
        <w:spacing w:after="0" w:line="23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 $15.00 per share; or (B) a Sale is consummated in which the Class A Shares are valued at greater than or equal to $15.00 per share the remaining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used with respect to the Sponsor Earn-Out, “Sale” means (A) (1) a direct or indirect sale, lease, exchange or other transfer (regardless of the form of the transaction) in one transaction or a series of related transactions of a majority of the Issuer’s assets, as determined on a consolidated basis, to a third party or third parties acting as a “group” (as defined in Section 13(d)(3) of the Exchange Act) or (2) any transaction or series of transactions that results, directly or indirectly, in the shareholders of the Issuer as of immediately prior to such transactions holding, in the aggregate, less than 50% of the voting equity securities of the Issuer (or any successor of the Issuer) immediately after the consummation thereof (excluding any Sponsor Earnout Shares), in the case of each of clause (1) or (2), whether by amalgamation, merger, consolidation, arrangement, tender offer, recapitalization, purchase, issuance, sale or transfer of equity securities or assets or otherwise.</w:t>
      </w:r>
    </w:p>
    <w:p>
      <w:pPr>
        <w:spacing w:after="0" w:line="189"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 5(c), the Reporting Persons have not effected any transaction in Class A Shares during the past sixty days.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2023</w:t>
            </w: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ArcLight CTC Holdings II, L.P.</w:t>
            </w:r>
          </w:p>
        </w:tc>
      </w:tr>
      <w:tr>
        <w:trPr>
          <w:trHeight w:val="410"/>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ACTC Holdings GP II, LLC, its</w:t>
            </w:r>
          </w:p>
        </w:tc>
      </w:tr>
      <w:tr>
        <w:trPr>
          <w:trHeight w:val="238"/>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General Partner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ArcLight Capital Holdings, LLC, its Manager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ACHP II, L.P., its Managing Member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ACH GP, LLC, its General Partner</w:t>
            </w:r>
          </w:p>
        </w:tc>
      </w:tr>
      <w:tr>
        <w:trPr>
          <w:trHeight w:val="439"/>
        </w:trPr>
        <w:tc>
          <w:tcPr>
            <w:tcW w:w="3720" w:type="dxa"/>
            <w:vAlign w:val="bottom"/>
          </w:tcPr>
          <w:p>
            <w:pPr>
              <w:spacing w:after="0"/>
              <w:rPr>
                <w:sz w:val="24"/>
                <w:szCs w:val="24"/>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198"/>
        </w:trPr>
        <w:tc>
          <w:tcPr>
            <w:tcW w:w="3720" w:type="dxa"/>
            <w:vAlign w:val="bottom"/>
          </w:tcPr>
          <w:p>
            <w:pPr>
              <w:spacing w:after="0"/>
              <w:rPr>
                <w:sz w:val="17"/>
                <w:szCs w:val="17"/>
                <w:color w:val="auto"/>
              </w:rPr>
            </w:pPr>
          </w:p>
        </w:tc>
        <w:tc>
          <w:tcPr>
            <w:tcW w:w="3600" w:type="dxa"/>
            <w:vAlign w:val="bottom"/>
          </w:tcPr>
          <w:p>
            <w:pPr>
              <w:ind w:left="3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R. Revers</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9"/>
        </w:trPr>
        <w:tc>
          <w:tcPr>
            <w:tcW w:w="3720" w:type="dxa"/>
            <w:vAlign w:val="bottom"/>
          </w:tcPr>
          <w:p>
            <w:pPr>
              <w:spacing w:after="0"/>
              <w:rPr>
                <w:sz w:val="24"/>
                <w:szCs w:val="24"/>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Daniel R. Revers</w:t>
            </w:r>
          </w:p>
        </w:tc>
      </w:tr>
      <w:tr>
        <w:trPr>
          <w:trHeight w:val="637"/>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sets forth information with respect to each transaction in Class A Shares that was effectuated by the Reporting Person.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5"/>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40" w:type="dxa"/>
            <w:vAlign w:val="bottom"/>
            <w:gridSpan w:val="2"/>
          </w:tcPr>
          <w:p>
            <w:pPr>
              <w:jc w:val="right"/>
              <w:ind w:right="445"/>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7.00</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13,899,879</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12/22/2022</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1,809,506</w:t>
            </w:r>
            <w:r>
              <w:rPr>
                <w:rFonts w:ascii="Times New Roman" w:cs="Times New Roman" w:eastAsia="Times New Roman" w:hAnsi="Times New Roman"/>
                <w:sz w:val="25"/>
                <w:szCs w:val="25"/>
                <w:color w:val="auto"/>
                <w:vertAlign w:val="superscript"/>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1/17/2023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9,045</w:t>
            </w:r>
            <w:r>
              <w:rPr>
                <w:rFonts w:ascii="Times New Roman" w:cs="Times New Roman" w:eastAsia="Times New Roman" w:hAnsi="Times New Roman"/>
                <w:sz w:val="25"/>
                <w:szCs w:val="25"/>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62,953</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1/18/2023</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2,055</w:t>
            </w:r>
            <w:r>
              <w:rPr>
                <w:rFonts w:ascii="Times New Roman" w:cs="Times New Roman" w:eastAsia="Times New Roman" w:hAnsi="Times New Roman"/>
                <w:sz w:val="25"/>
                <w:szCs w:val="25"/>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14,303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1/19/2023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9,300</w:t>
            </w:r>
            <w:r>
              <w:rPr>
                <w:rFonts w:ascii="Times New Roman" w:cs="Times New Roman" w:eastAsia="Times New Roman" w:hAnsi="Times New Roman"/>
                <w:sz w:val="25"/>
                <w:szCs w:val="25"/>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64,821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1/20/2023</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1,300</w:t>
            </w:r>
            <w:r>
              <w:rPr>
                <w:rFonts w:ascii="Times New Roman" w:cs="Times New Roman" w:eastAsia="Times New Roman" w:hAnsi="Times New Roman"/>
                <w:sz w:val="25"/>
                <w:szCs w:val="25"/>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7,300</w:t>
            </w:r>
            <w:r>
              <w:rPr>
                <w:rFonts w:ascii="Times New Roman" w:cs="Times New Roman" w:eastAsia="Times New Roman" w:hAnsi="Times New Roman"/>
                <w:sz w:val="25"/>
                <w:szCs w:val="25"/>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50,881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1/24/2023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257,200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line="216" w:lineRule="exact"/>
              <w:rPr>
                <w:sz w:val="20"/>
                <w:szCs w:val="20"/>
                <w:color w:val="auto"/>
              </w:rPr>
            </w:pPr>
            <w:r>
              <w:rPr>
                <w:rFonts w:ascii="Times New Roman" w:cs="Times New Roman" w:eastAsia="Times New Roman" w:hAnsi="Times New Roman"/>
                <w:sz w:val="16"/>
                <w:szCs w:val="16"/>
                <w:color w:val="auto"/>
              </w:rPr>
              <w:t>7.00</w:t>
            </w:r>
            <w:r>
              <w:rPr>
                <w:rFonts w:ascii="Times New Roman" w:cs="Times New Roman" w:eastAsia="Times New Roman" w:hAnsi="Times New Roman"/>
                <w:sz w:val="25"/>
                <w:szCs w:val="25"/>
                <w:color w:val="auto"/>
                <w:vertAlign w:val="superscript"/>
              </w:rPr>
              <w:t>(5)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1,787,540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251,500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line="216" w:lineRule="exact"/>
              <w:rPr>
                <w:sz w:val="20"/>
                <w:szCs w:val="20"/>
                <w:color w:val="auto"/>
              </w:rPr>
            </w:pPr>
            <w:r>
              <w:rPr>
                <w:rFonts w:ascii="Times New Roman" w:cs="Times New Roman" w:eastAsia="Times New Roman" w:hAnsi="Times New Roman"/>
                <w:sz w:val="16"/>
                <w:szCs w:val="16"/>
                <w:color w:val="auto"/>
              </w:rPr>
              <w:t>7.00</w:t>
            </w:r>
            <w:r>
              <w:rPr>
                <w:rFonts w:ascii="Times New Roman" w:cs="Times New Roman" w:eastAsia="Times New Roman" w:hAnsi="Times New Roman"/>
                <w:sz w:val="25"/>
                <w:szCs w:val="25"/>
                <w:color w:val="auto"/>
                <w:vertAlign w:val="superscript"/>
              </w:rPr>
              <w:t>(6)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1,747,925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1/26/2023</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r>
              <w:rPr>
                <w:rFonts w:ascii="Times New Roman" w:cs="Times New Roman" w:eastAsia="Times New Roman" w:hAnsi="Times New Roman"/>
                <w:sz w:val="14"/>
                <w:szCs w:val="14"/>
                <w:color w:val="auto"/>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1,800</w:t>
            </w:r>
            <w:r>
              <w:rPr>
                <w:rFonts w:ascii="Times New Roman" w:cs="Times New Roman" w:eastAsia="Times New Roman" w:hAnsi="Times New Roman"/>
                <w:sz w:val="25"/>
                <w:szCs w:val="25"/>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12,528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1/30/2023</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12,200</w:t>
            </w:r>
            <w:r>
              <w:rPr>
                <w:rFonts w:ascii="Times New Roman" w:cs="Times New Roman" w:eastAsia="Times New Roman" w:hAnsi="Times New Roman"/>
                <w:sz w:val="25"/>
                <w:szCs w:val="25"/>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197,258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1/31/2023</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14,700</w:t>
            </w:r>
            <w:r>
              <w:rPr>
                <w:rFonts w:ascii="Times New Roman" w:cs="Times New Roman" w:eastAsia="Times New Roman" w:hAnsi="Times New Roman"/>
                <w:sz w:val="25"/>
                <w:szCs w:val="25"/>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107,604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258,600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line="216" w:lineRule="exact"/>
              <w:rPr>
                <w:sz w:val="20"/>
                <w:szCs w:val="20"/>
                <w:color w:val="auto"/>
              </w:rPr>
            </w:pPr>
            <w:r>
              <w:rPr>
                <w:rFonts w:ascii="Times New Roman" w:cs="Times New Roman" w:eastAsia="Times New Roman" w:hAnsi="Times New Roman"/>
                <w:sz w:val="16"/>
                <w:szCs w:val="16"/>
                <w:color w:val="auto"/>
              </w:rPr>
              <w:t>7.01</w:t>
            </w:r>
            <w:r>
              <w:rPr>
                <w:rFonts w:ascii="Times New Roman" w:cs="Times New Roman" w:eastAsia="Times New Roman" w:hAnsi="Times New Roman"/>
                <w:sz w:val="25"/>
                <w:szCs w:val="25"/>
                <w:color w:val="auto"/>
                <w:vertAlign w:val="superscript"/>
              </w:rPr>
              <w:t>(8)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1,798,950</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4/27/2023</w:t>
            </w:r>
          </w:p>
        </w:tc>
        <w:tc>
          <w:tcPr>
            <w:tcW w:w="10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5,943,014</w:t>
            </w:r>
            <w:r>
              <w:rPr>
                <w:rFonts w:ascii="Times New Roman" w:cs="Times New Roman" w:eastAsia="Times New Roman" w:hAnsi="Times New Roman"/>
                <w:sz w:val="25"/>
                <w:szCs w:val="25"/>
                <w:color w:val="auto"/>
                <w:vertAlign w:val="superscript"/>
              </w:rPr>
              <w:t>(9)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7.90</w:t>
            </w:r>
            <w:r>
              <w:rPr>
                <w:rFonts w:ascii="Times New Roman" w:cs="Times New Roman" w:eastAsia="Times New Roman" w:hAnsi="Times New Roman"/>
                <w:sz w:val="14"/>
                <w:szCs w:val="14"/>
                <w:color w:val="auto"/>
              </w:rPr>
              <w:t>(10)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46,949,811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4/27/2023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1,839,840</w:t>
            </w:r>
            <w:r>
              <w:rPr>
                <w:rFonts w:ascii="Times New Roman" w:cs="Times New Roman" w:eastAsia="Times New Roman" w:hAnsi="Times New Roman"/>
                <w:sz w:val="25"/>
                <w:szCs w:val="25"/>
                <w:color w:val="auto"/>
                <w:vertAlign w:val="superscript"/>
              </w:rPr>
              <w:t>(9)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40"/>
              <w:spacing w:after="0" w:line="216" w:lineRule="exact"/>
              <w:rPr>
                <w:sz w:val="20"/>
                <w:szCs w:val="20"/>
                <w:color w:val="auto"/>
              </w:rPr>
            </w:pPr>
            <w:r>
              <w:rPr>
                <w:rFonts w:ascii="Times New Roman" w:cs="Times New Roman" w:eastAsia="Times New Roman" w:hAnsi="Times New Roman"/>
                <w:sz w:val="16"/>
                <w:szCs w:val="16"/>
                <w:color w:val="auto"/>
              </w:rPr>
              <w:t>7.90</w:t>
            </w:r>
            <w:r>
              <w:rPr>
                <w:rFonts w:ascii="Times New Roman" w:cs="Times New Roman" w:eastAsia="Times New Roman" w:hAnsi="Times New Roman"/>
                <w:sz w:val="25"/>
                <w:szCs w:val="25"/>
                <w:color w:val="auto"/>
                <w:vertAlign w:val="superscript"/>
              </w:rPr>
              <w:t>(10)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14,534,736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6/6/2023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6/7/2023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6/8/2023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7,274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10/17/2023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35,213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11,466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10/25/2023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47,765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661,444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12/15/2023</w:t>
            </w:r>
          </w:p>
        </w:tc>
        <w:tc>
          <w:tcPr>
            <w:tcW w:w="100" w:type="dxa"/>
            <w:vAlign w:val="bottom"/>
          </w:tcPr>
          <w:p>
            <w:pPr>
              <w:spacing w:after="0"/>
              <w:rPr>
                <w:sz w:val="18"/>
                <w:szCs w:val="18"/>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830,197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excludes commissions and other execution-related costs.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sold in a block sale.</w:t>
      </w:r>
    </w:p>
    <w:p>
      <w:pPr>
        <w:spacing w:after="0" w:line="225"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2022, pursuant to the Issuer’s previously announced exchange offer, the Reporting Persons exchanged 7,238,025 warrants, which previously entitled the Reporting Persons to purchase one Class A Share at a price of $11.50 per whole share at any time commencing on the later of one year from the closing of the Issuer’s initial public offering or 30 days after the completion of an initial business combination of the Company, for 1,809,506 Class A Shares.</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sold pursuant to a Rule 10b5-1 trading plan.</w:t>
      </w:r>
    </w:p>
    <w:p>
      <w:pPr>
        <w:spacing w:after="0" w:line="225"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volume weighted average price (“VWAP”). 250,000 shares were sold pursuant to a block trade for $7.00 per share and 5,200 shares were sold in open market transactions for a VWAP of $6.96 per share, net of commissions and other execution-related costs. The reporting person undertakes to provide the relevant amount of shares sold to the market at each price to the SEC, the Issuer or any stockholder of the Issuer upon request.</w:t>
      </w:r>
    </w:p>
    <w:p>
      <w:pPr>
        <w:spacing w:after="0" w:line="179"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VWAP. 250,000 shares were sold pursuant to a block trade for $7.00 per share and 1,500 shares were sold in open market transactions for a VWAP of $7.01 per share, net of commissions and other execution-related costs. The reporting person undertakes to provide the relevant amount of shares sold to the market at each price to the SEC, the Issuer or any stockholder of the Issuer upon request.</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the Reporting Person forfeited 197,258 Class A Shares.</w:t>
      </w:r>
    </w:p>
    <w:p>
      <w:pPr>
        <w:spacing w:after="0" w:line="252"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250,000 shares were sold pursuant to a block trade for $7.00 per share and 8,600 shares were sold in open market transactions for a VWAP of $7.15 per share, net of commissions and other execution-related costs.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60" w:right="20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2023, the Sponsor transferred for no consideration 5,943,014 Class A Shares to its partners, including (i) 1,339,662 Class A Shares to Mr. Revers, (ii) 331,235 Class A Shares to ACHP B, (iii) 69,572 Class A Shares to ACTC GP and (iv) 99,371 Class A Shares to Special Ops Holdings.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82" w:gutter="0" w:footer="0" w:header="0"/>
        </w:sectPr>
      </w:pPr>
    </w:p>
    <w:bookmarkStart w:id="7" w:name="page8"/>
    <w:bookmarkEnd w:id="7"/>
    <w:p>
      <w:pPr>
        <w:ind w:left="452" w:hanging="452"/>
        <w:spacing w:after="0"/>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reflects the closing price of the Class A Shares as of April 27, 2023.</w:t>
      </w:r>
    </w:p>
    <w:p>
      <w:pPr>
        <w:spacing w:after="0" w:line="25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$6.22 to $6.34,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$6.22 and $6.33,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$6.21 and $6.39,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$6.21 and $6.39,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$6.23 to $6.31,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$6.23 and $6.29,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$7.50 to $8.00,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$7.50 to $8.00,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2023, the reported securities were distributed to an equity owner of the Sponsor (as defined below) for no consideration.</w:t>
      </w:r>
    </w:p>
    <w:p>
      <w:pPr>
        <w:spacing w:after="0" w:line="25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$5.25 to $5.60,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$5.25 to $5.60, inclusive. The reporting person undertakes to provide the relevant amount of shares sold to the market at each price to the SEC, the Issuer or any stockholder of the Issuer upon request.</w:t>
      </w:r>
    </w:p>
    <w:p>
      <w:pPr>
        <w:spacing w:after="0" w:line="202"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The reported securities were sold in open market transactions at prices ranging from $5.25 to $5.60, inclusive. The reporting person undertakes to provide the relevant amount of shares sold to the market at each price to the SEC, the Issuer or any stockholder of the Issuer upon request.</w:t>
      </w:r>
    </w:p>
    <w:p>
      <w:pPr>
        <w:spacing w:after="0" w:line="39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52"/>
      </w:cols>
      <w:pgMar w:left="328" w:top="93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lvl w:ilvl="1">
      <w:lvlJc w:val="left"/>
      <w:lvlText w:val="%2."/>
      <w:numFmt w:val="decimal"/>
      <w:start w:val="1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11"/>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2023-12-19T15:11:45Z</dcterms:created>
  <dcterms:modified xsi:type="dcterms:W3CDTF">2023-12-19T15:11:45Z</dcterms:modified>
</cp:coreProperties>
</file>