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(Amendment No. )*</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ind w:left="100"/>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620" w:right="8960" w:firstLine="6"/>
        <w:spacing w:after="0" w:line="265" w:lineRule="exact"/>
        <w:tabs>
          <w:tab w:leader="none" w:pos="1003"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00" w:hanging="374"/>
        <w:spacing w:after="0"/>
        <w:tabs>
          <w:tab w:leader="none" w:pos="10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(Page 1 of 12 Pages)</w:t>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3" w:lineRule="exact"/>
        <w:rPr>
          <w:sz w:val="24"/>
          <w:szCs w:val="24"/>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440" w:firstLine="648"/>
        <w:spacing w:after="0" w:line="250" w:lineRule="auto"/>
        <w:rPr>
          <w:sz w:val="20"/>
          <w:szCs w:val="20"/>
          <w:color w:val="auto"/>
        </w:rPr>
      </w:pPr>
      <w:r>
        <w:rPr>
          <w:rFonts w:ascii="Arial" w:cs="Arial" w:eastAsia="Arial" w:hAnsi="Arial"/>
          <w:sz w:val="22"/>
          <w:szCs w:val="22"/>
          <w:color w:val="auto"/>
        </w:rPr>
        <w:t>**The Class A Ordinary Shares have no CUSIP number. The CUSIP number for the units which include the Class A Ordinary Shares is G0R21B104.</w:t>
      </w:r>
    </w:p>
    <w:p>
      <w:pPr>
        <w:spacing w:after="0" w:line="148" w:lineRule="exact"/>
        <w:rPr>
          <w:sz w:val="24"/>
          <w:szCs w:val="24"/>
          <w:color w:val="auto"/>
        </w:rPr>
      </w:pPr>
    </w:p>
    <w:p>
      <w:pPr>
        <w:ind w:right="80" w:firstLine="648"/>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ectPr>
          <w:pgSz w:w="11900" w:h="16838" w:orient="portrait"/>
          <w:cols w:equalWidth="0" w:num="1">
            <w:col w:w="11180"/>
          </w:cols>
          <w:pgMar w:left="320" w:top="226"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G0R21B104</w:t>
            </w:r>
          </w:p>
        </w:tc>
        <w:tc>
          <w:tcPr>
            <w:tcW w:w="6240" w:type="dxa"/>
            <w:vAlign w:val="bottom"/>
          </w:tcPr>
          <w:p>
            <w:pPr>
              <w:ind w:left="3560"/>
              <w:spacing w:after="0"/>
              <w:rPr>
                <w:sz w:val="20"/>
                <w:szCs w:val="20"/>
                <w:color w:val="auto"/>
              </w:rPr>
            </w:pPr>
            <w:r>
              <w:rPr>
                <w:rFonts w:ascii="Arial" w:cs="Arial" w:eastAsia="Arial" w:hAnsi="Arial"/>
                <w:sz w:val="22"/>
                <w:szCs w:val="22"/>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341"/>
        </w:trPr>
        <w:tc>
          <w:tcPr>
            <w:tcW w:w="18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4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240" w:type="dxa"/>
            <w:vAlign w:val="bottom"/>
            <w:vMerge w:val="restart"/>
          </w:tcPr>
          <w:p>
            <w:pPr>
              <w:ind w:left="360"/>
              <w:spacing w:after="0"/>
              <w:rPr>
                <w:sz w:val="20"/>
                <w:szCs w:val="20"/>
                <w:color w:val="auto"/>
              </w:rPr>
            </w:pPr>
            <w:r>
              <w:rPr>
                <w:rFonts w:ascii="Arial" w:cs="Arial" w:eastAsia="Arial" w:hAnsi="Arial"/>
                <w:sz w:val="22"/>
                <w:szCs w:val="22"/>
                <w:color w:val="auto"/>
              </w:rPr>
              <w:t>Adage Capital Partners, L.P.</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4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4714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jc w:val="right"/>
              <w:ind w:right="571"/>
              <w:spacing w:after="0" w:line="321"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71"/>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1,750,000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391"/>
              <w:spacing w:after="0"/>
              <w:rPr>
                <w:sz w:val="20"/>
                <w:szCs w:val="20"/>
                <w:color w:val="auto"/>
              </w:rPr>
            </w:pPr>
            <w:r>
              <w:rPr>
                <w:rFonts w:ascii="Arial" w:cs="Arial" w:eastAsia="Arial" w:hAnsi="Arial"/>
                <w:sz w:val="22"/>
                <w:szCs w:val="22"/>
                <w:color w:val="auto"/>
              </w:rPr>
              <w:t>5.62%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PN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G0R21B104</w:t>
            </w:r>
          </w:p>
        </w:tc>
        <w:tc>
          <w:tcPr>
            <w:tcW w:w="6240" w:type="dxa"/>
            <w:vAlign w:val="bottom"/>
          </w:tcPr>
          <w:p>
            <w:pPr>
              <w:ind w:left="3560"/>
              <w:spacing w:after="0"/>
              <w:rPr>
                <w:sz w:val="20"/>
                <w:szCs w:val="20"/>
                <w:color w:val="auto"/>
              </w:rPr>
            </w:pPr>
            <w:r>
              <w:rPr>
                <w:rFonts w:ascii="Arial" w:cs="Arial" w:eastAsia="Arial" w:hAnsi="Arial"/>
                <w:sz w:val="22"/>
                <w:szCs w:val="22"/>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435"/>
        </w:trPr>
        <w:tc>
          <w:tcPr>
            <w:tcW w:w="18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4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240" w:type="dxa"/>
            <w:vAlign w:val="bottom"/>
            <w:vMerge w:val="restart"/>
          </w:tcPr>
          <w:p>
            <w:pPr>
              <w:ind w:left="360"/>
              <w:spacing w:after="0"/>
              <w:rPr>
                <w:sz w:val="20"/>
                <w:szCs w:val="20"/>
                <w:color w:val="auto"/>
              </w:rPr>
            </w:pPr>
            <w:r>
              <w:rPr>
                <w:rFonts w:ascii="Arial" w:cs="Arial" w:eastAsia="Arial" w:hAnsi="Arial"/>
                <w:sz w:val="22"/>
                <w:szCs w:val="22"/>
                <w:color w:val="auto"/>
              </w:rPr>
              <w:t>Adage Capital Partners GP, L.L.C.</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4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4714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jc w:val="right"/>
              <w:ind w:right="571"/>
              <w:spacing w:after="0" w:line="321"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71"/>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1,750,000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391"/>
              <w:spacing w:after="0"/>
              <w:rPr>
                <w:sz w:val="20"/>
                <w:szCs w:val="20"/>
                <w:color w:val="auto"/>
              </w:rPr>
            </w:pPr>
            <w:r>
              <w:rPr>
                <w:rFonts w:ascii="Arial" w:cs="Arial" w:eastAsia="Arial" w:hAnsi="Arial"/>
                <w:sz w:val="22"/>
                <w:szCs w:val="22"/>
                <w:color w:val="auto"/>
              </w:rPr>
              <w:t>5.62%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G0R21B104</w:t>
            </w:r>
          </w:p>
        </w:tc>
        <w:tc>
          <w:tcPr>
            <w:tcW w:w="6240" w:type="dxa"/>
            <w:vAlign w:val="bottom"/>
          </w:tcPr>
          <w:p>
            <w:pPr>
              <w:ind w:left="3560"/>
              <w:spacing w:after="0"/>
              <w:rPr>
                <w:sz w:val="20"/>
                <w:szCs w:val="20"/>
                <w:color w:val="auto"/>
              </w:rPr>
            </w:pPr>
            <w:r>
              <w:rPr>
                <w:rFonts w:ascii="Arial" w:cs="Arial" w:eastAsia="Arial" w:hAnsi="Arial"/>
                <w:sz w:val="22"/>
                <w:szCs w:val="22"/>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584"/>
        </w:trPr>
        <w:tc>
          <w:tcPr>
            <w:tcW w:w="18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4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240" w:type="dxa"/>
            <w:vAlign w:val="bottom"/>
            <w:vMerge w:val="restart"/>
          </w:tcPr>
          <w:p>
            <w:pPr>
              <w:ind w:left="360"/>
              <w:spacing w:after="0"/>
              <w:rPr>
                <w:sz w:val="20"/>
                <w:szCs w:val="20"/>
                <w:color w:val="auto"/>
              </w:rPr>
            </w:pPr>
            <w:r>
              <w:rPr>
                <w:rFonts w:ascii="Arial" w:cs="Arial" w:eastAsia="Arial" w:hAnsi="Arial"/>
                <w:sz w:val="22"/>
                <w:szCs w:val="22"/>
                <w:color w:val="auto"/>
              </w:rPr>
              <w:t>Adage Capital Advisors, L.L.C.</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4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4714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ind w:left="1920" w:hanging="1079"/>
        <w:spacing w:after="0" w:line="189" w:lineRule="auto"/>
        <w:tabs>
          <w:tab w:leader="none" w:pos="192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jc w:val="right"/>
              <w:ind w:right="571"/>
              <w:spacing w:after="0" w:line="321"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71"/>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1,750,000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391"/>
              <w:spacing w:after="0"/>
              <w:rPr>
                <w:sz w:val="20"/>
                <w:szCs w:val="20"/>
                <w:color w:val="auto"/>
              </w:rPr>
            </w:pPr>
            <w:r>
              <w:rPr>
                <w:rFonts w:ascii="Arial" w:cs="Arial" w:eastAsia="Arial" w:hAnsi="Arial"/>
                <w:sz w:val="22"/>
                <w:szCs w:val="22"/>
                <w:color w:val="auto"/>
              </w:rPr>
              <w:t>5.62%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OO</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G0R21B104</w:t>
            </w:r>
          </w:p>
        </w:tc>
        <w:tc>
          <w:tcPr>
            <w:tcW w:w="6240" w:type="dxa"/>
            <w:vAlign w:val="bottom"/>
          </w:tcPr>
          <w:p>
            <w:pPr>
              <w:ind w:left="3560"/>
              <w:spacing w:after="0"/>
              <w:rPr>
                <w:sz w:val="20"/>
                <w:szCs w:val="20"/>
                <w:color w:val="auto"/>
              </w:rPr>
            </w:pPr>
            <w:r>
              <w:rPr>
                <w:rFonts w:ascii="Arial" w:cs="Arial" w:eastAsia="Arial" w:hAnsi="Arial"/>
                <w:sz w:val="22"/>
                <w:szCs w:val="22"/>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584"/>
        </w:trPr>
        <w:tc>
          <w:tcPr>
            <w:tcW w:w="18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4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240" w:type="dxa"/>
            <w:vAlign w:val="bottom"/>
            <w:vMerge w:val="restart"/>
          </w:tcPr>
          <w:p>
            <w:pPr>
              <w:ind w:left="360"/>
              <w:spacing w:after="0"/>
              <w:rPr>
                <w:sz w:val="20"/>
                <w:szCs w:val="20"/>
                <w:color w:val="auto"/>
              </w:rPr>
            </w:pPr>
            <w:r>
              <w:rPr>
                <w:rFonts w:ascii="Arial" w:cs="Arial" w:eastAsia="Arial" w:hAnsi="Arial"/>
                <w:sz w:val="22"/>
                <w:szCs w:val="22"/>
                <w:color w:val="auto"/>
              </w:rPr>
              <w:t>Robert Atchinson</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4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4714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ind w:left="1920" w:hanging="1079"/>
        <w:spacing w:after="0" w:line="189" w:lineRule="auto"/>
        <w:tabs>
          <w:tab w:leader="none" w:pos="192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2"/>
                <w:szCs w:val="22"/>
                <w:color w:val="auto"/>
              </w:rPr>
              <w:t>United States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740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jc w:val="right"/>
              <w:ind w:right="571"/>
              <w:spacing w:after="0" w:line="321"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71"/>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1,750,000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391"/>
              <w:spacing w:after="0"/>
              <w:rPr>
                <w:sz w:val="20"/>
                <w:szCs w:val="20"/>
                <w:color w:val="auto"/>
              </w:rPr>
            </w:pPr>
            <w:r>
              <w:rPr>
                <w:rFonts w:ascii="Arial" w:cs="Arial" w:eastAsia="Arial" w:hAnsi="Arial"/>
                <w:sz w:val="22"/>
                <w:szCs w:val="22"/>
                <w:color w:val="auto"/>
              </w:rPr>
              <w:t>5.62%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IN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4"/>
              </w:rPr>
              <w:t>CUSIP No. G0R21B104</w:t>
            </w:r>
          </w:p>
        </w:tc>
        <w:tc>
          <w:tcPr>
            <w:tcW w:w="6240" w:type="dxa"/>
            <w:vAlign w:val="bottom"/>
          </w:tcPr>
          <w:p>
            <w:pPr>
              <w:ind w:left="3560"/>
              <w:spacing w:after="0"/>
              <w:rPr>
                <w:sz w:val="20"/>
                <w:szCs w:val="20"/>
                <w:color w:val="auto"/>
              </w:rPr>
            </w:pPr>
            <w:r>
              <w:rPr>
                <w:rFonts w:ascii="Arial" w:cs="Arial" w:eastAsia="Arial" w:hAnsi="Arial"/>
                <w:sz w:val="22"/>
                <w:szCs w:val="22"/>
                <w:b w:val="1"/>
                <w:bCs w:val="1"/>
                <w:color w:val="auto"/>
              </w:rPr>
              <w:t>13G</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584"/>
        </w:trPr>
        <w:tc>
          <w:tcPr>
            <w:tcW w:w="18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40" w:type="dxa"/>
            <w:vAlign w:val="bottom"/>
          </w:tcPr>
          <w:p>
            <w:pPr>
              <w:ind w:left="4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80" w:type="dxa"/>
            <w:vAlign w:val="bottom"/>
            <w:vMerge w:val="continue"/>
          </w:tcPr>
          <w:p>
            <w:pPr>
              <w:spacing w:after="0"/>
              <w:rPr>
                <w:sz w:val="15"/>
                <w:szCs w:val="15"/>
                <w:color w:val="auto"/>
              </w:rPr>
            </w:pPr>
          </w:p>
        </w:tc>
        <w:tc>
          <w:tcPr>
            <w:tcW w:w="6240" w:type="dxa"/>
            <w:vAlign w:val="bottom"/>
            <w:vMerge w:val="restart"/>
          </w:tcPr>
          <w:p>
            <w:pPr>
              <w:ind w:left="360"/>
              <w:spacing w:after="0"/>
              <w:rPr>
                <w:sz w:val="20"/>
                <w:szCs w:val="20"/>
                <w:color w:val="auto"/>
              </w:rPr>
            </w:pPr>
            <w:r>
              <w:rPr>
                <w:rFonts w:ascii="Arial" w:cs="Arial" w:eastAsia="Arial" w:hAnsi="Arial"/>
                <w:sz w:val="22"/>
                <w:szCs w:val="22"/>
                <w:color w:val="auto"/>
              </w:rPr>
              <w:t>Phillip Gross</w:t>
            </w:r>
          </w:p>
        </w:tc>
        <w:tc>
          <w:tcPr>
            <w:tcW w:w="3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80" w:type="dxa"/>
            <w:vAlign w:val="bottom"/>
          </w:tcPr>
          <w:p>
            <w:pPr>
              <w:spacing w:after="0"/>
              <w:rPr>
                <w:sz w:val="8"/>
                <w:szCs w:val="8"/>
                <w:color w:val="auto"/>
              </w:rPr>
            </w:pPr>
          </w:p>
        </w:tc>
        <w:tc>
          <w:tcPr>
            <w:tcW w:w="6240" w:type="dxa"/>
            <w:vAlign w:val="bottom"/>
            <w:vMerge w:val="continue"/>
          </w:tcPr>
          <w:p>
            <w:pPr>
              <w:spacing w:after="0"/>
              <w:rPr>
                <w:sz w:val="8"/>
                <w:szCs w:val="8"/>
                <w:color w:val="auto"/>
              </w:rPr>
            </w:pPr>
          </w:p>
        </w:tc>
        <w:tc>
          <w:tcPr>
            <w:tcW w:w="3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80" w:type="dxa"/>
            <w:vAlign w:val="bottom"/>
            <w:tcBorders>
              <w:bottom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40" w:type="dxa"/>
            <w:vAlign w:val="bottom"/>
          </w:tcPr>
          <w:p>
            <w:pPr>
              <w:ind w:left="4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80" w:type="dxa"/>
            <w:vAlign w:val="bottom"/>
            <w:vMerge w:val="continue"/>
          </w:tcPr>
          <w:p>
            <w:pPr>
              <w:spacing w:after="0"/>
              <w:rPr>
                <w:sz w:val="7"/>
                <w:szCs w:val="7"/>
                <w:color w:val="auto"/>
              </w:rPr>
            </w:pPr>
          </w:p>
        </w:tc>
        <w:tc>
          <w:tcPr>
            <w:tcW w:w="624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4714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714875"/>
                    </a:xfrm>
                    <a:prstGeom prst="rect">
                      <a:avLst/>
                    </a:prstGeom>
                    <a:noFill/>
                  </pic:spPr>
                </pic:pic>
              </a:graphicData>
            </a:graphic>
          </wp:anchor>
        </w:drawing>
      </w:r>
    </w:p>
    <w:p>
      <w:pPr>
        <w:ind w:left="1920" w:hanging="1079"/>
        <w:spacing w:after="0" w:line="189" w:lineRule="auto"/>
        <w:tabs>
          <w:tab w:leader="none" w:pos="1920" w:val="left"/>
        </w:tabs>
        <w:numPr>
          <w:ilvl w:val="0"/>
          <w:numId w:val="6"/>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Arial" w:cs="Arial" w:eastAsia="Arial" w:hAnsi="Arial"/>
                <w:sz w:val="22"/>
                <w:szCs w:val="22"/>
                <w:color w:val="auto"/>
              </w:rPr>
              <w:t>United States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7400" w:type="dxa"/>
            <w:vAlign w:val="bottom"/>
            <w:gridSpan w:val="2"/>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jc w:val="right"/>
              <w:ind w:right="571"/>
              <w:spacing w:after="0" w:line="321"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right"/>
              <w:ind w:right="571"/>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571"/>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Arial" w:cs="Arial" w:eastAsia="Arial" w:hAnsi="Arial"/>
                <w:sz w:val="22"/>
                <w:szCs w:val="22"/>
                <w:color w:val="auto"/>
              </w:rPr>
              <w:t>1,750,000</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5900" w:type="dxa"/>
            <w:vAlign w:val="bottom"/>
            <w:vMerge w:val="continue"/>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1,750,000</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jc w:val="right"/>
              <w:ind w:right="391"/>
              <w:spacing w:after="0"/>
              <w:rPr>
                <w:sz w:val="20"/>
                <w:szCs w:val="20"/>
                <w:color w:val="auto"/>
              </w:rPr>
            </w:pPr>
            <w:r>
              <w:rPr>
                <w:rFonts w:ascii="Arial" w:cs="Arial" w:eastAsia="Arial" w:hAnsi="Arial"/>
                <w:sz w:val="22"/>
                <w:szCs w:val="22"/>
                <w:color w:val="auto"/>
              </w:rPr>
              <w:t>5.62%</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Arial" w:cs="Arial" w:eastAsia="Arial" w:hAnsi="Arial"/>
                <w:sz w:val="22"/>
                <w:szCs w:val="22"/>
                <w:color w:val="auto"/>
              </w:rPr>
              <w:t>IN</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8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59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 w:name="page7"/>
    <w:bookmarkEnd w:id="6"/>
    <w:p>
      <w:pPr>
        <w:spacing w:after="0"/>
        <w:tabs>
          <w:tab w:leader="none" w:pos="542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7 of 12 Pages</w:t>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NAME OF ISSUER</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The name of the issuer is ArcLight Clean Transition Corp. II.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9"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21"/>
          <w:szCs w:val="21"/>
          <w:b w:val="1"/>
          <w:bCs w:val="1"/>
          <w:color w:val="auto"/>
        </w:rPr>
        <w:t>ADDRESS OF ISSUER’S PRINCIPAL EXECUTIVE OFFICES</w:t>
      </w:r>
    </w:p>
    <w:p>
      <w:pPr>
        <w:spacing w:after="0" w:line="14" w:lineRule="exact"/>
        <w:rPr>
          <w:sz w:val="20"/>
          <w:szCs w:val="20"/>
          <w:color w:val="auto"/>
        </w:rPr>
      </w:pPr>
    </w:p>
    <w:p>
      <w:pPr>
        <w:ind w:left="1800" w:right="460"/>
        <w:spacing w:after="0" w:line="236" w:lineRule="auto"/>
        <w:rPr>
          <w:sz w:val="20"/>
          <w:szCs w:val="20"/>
          <w:color w:val="auto"/>
        </w:rPr>
      </w:pPr>
      <w:r>
        <w:rPr>
          <w:rFonts w:ascii="Arial" w:cs="Arial" w:eastAsia="Arial" w:hAnsi="Arial"/>
          <w:sz w:val="22"/>
          <w:szCs w:val="22"/>
          <w:color w:val="auto"/>
        </w:rPr>
        <w:t>The Company’s principal executive offices are located at 200 Clarendon Street, 55th Floor, Boston, MA 02116.</w:t>
      </w:r>
    </w:p>
    <w:p>
      <w:pPr>
        <w:spacing w:after="0" w:line="208"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21"/>
          <w:szCs w:val="21"/>
          <w:b w:val="1"/>
          <w:bCs w:val="1"/>
          <w:color w:val="auto"/>
        </w:rPr>
        <w:t>NAME OF PERSON FILING</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This statement is filed by:</w:t>
      </w:r>
    </w:p>
    <w:p>
      <w:pPr>
        <w:spacing w:after="0" w:line="215" w:lineRule="exact"/>
        <w:rPr>
          <w:sz w:val="20"/>
          <w:szCs w:val="20"/>
          <w:color w:val="auto"/>
        </w:rPr>
      </w:pPr>
    </w:p>
    <w:p>
      <w:pPr>
        <w:ind w:left="2580" w:right="420" w:hanging="787"/>
        <w:spacing w:after="0" w:line="250" w:lineRule="auto"/>
        <w:tabs>
          <w:tab w:leader="none" w:pos="2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Adage Capital Partners, L.P., a Delaware limited partnership (“</w:t>
      </w:r>
      <w:r>
        <w:rPr>
          <w:rFonts w:ascii="Arial" w:cs="Arial" w:eastAsia="Arial" w:hAnsi="Arial"/>
          <w:sz w:val="22"/>
          <w:szCs w:val="22"/>
          <w:u w:val="single" w:color="auto"/>
          <w:color w:val="auto"/>
        </w:rPr>
        <w:t>ACP</w:t>
      </w:r>
      <w:r>
        <w:rPr>
          <w:rFonts w:ascii="Arial" w:cs="Arial" w:eastAsia="Arial" w:hAnsi="Arial"/>
          <w:sz w:val="22"/>
          <w:szCs w:val="22"/>
          <w:color w:val="auto"/>
        </w:rPr>
        <w:t>”) with respect to the Class A Ordinary Shares directly owned by it;</w:t>
      </w:r>
    </w:p>
    <w:p>
      <w:pPr>
        <w:spacing w:after="0" w:line="201" w:lineRule="exact"/>
        <w:rPr>
          <w:rFonts w:ascii="Arial" w:cs="Arial" w:eastAsia="Arial" w:hAnsi="Arial"/>
          <w:sz w:val="22"/>
          <w:szCs w:val="22"/>
          <w:color w:val="auto"/>
        </w:rPr>
      </w:pPr>
    </w:p>
    <w:p>
      <w:pPr>
        <w:ind w:left="2580" w:right="140" w:hanging="787"/>
        <w:spacing w:after="0"/>
        <w:tabs>
          <w:tab w:leader="none" w:pos="2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Adage Capital Partners GP, L.L.C., a limited liability company organized under the laws of the State of Delaware (“</w:t>
      </w:r>
      <w:r>
        <w:rPr>
          <w:rFonts w:ascii="Arial" w:cs="Arial" w:eastAsia="Arial" w:hAnsi="Arial"/>
          <w:sz w:val="22"/>
          <w:szCs w:val="22"/>
          <w:u w:val="single" w:color="auto"/>
          <w:color w:val="auto"/>
        </w:rPr>
        <w:t>ACPGP</w:t>
      </w:r>
      <w:r>
        <w:rPr>
          <w:rFonts w:ascii="Arial" w:cs="Arial" w:eastAsia="Arial" w:hAnsi="Arial"/>
          <w:sz w:val="22"/>
          <w:szCs w:val="22"/>
          <w:color w:val="auto"/>
        </w:rPr>
        <w:t>”), as general partner of ACP with respect to the Class A Ordinary Shares directly owned by ACP;</w:t>
      </w:r>
    </w:p>
    <w:p>
      <w:pPr>
        <w:spacing w:after="0" w:line="213" w:lineRule="exact"/>
        <w:rPr>
          <w:rFonts w:ascii="Arial" w:cs="Arial" w:eastAsia="Arial" w:hAnsi="Arial"/>
          <w:sz w:val="22"/>
          <w:szCs w:val="22"/>
          <w:color w:val="auto"/>
        </w:rPr>
      </w:pPr>
    </w:p>
    <w:p>
      <w:pPr>
        <w:ind w:left="2580" w:right="140" w:hanging="787"/>
        <w:spacing w:after="0"/>
        <w:tabs>
          <w:tab w:leader="none" w:pos="2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Adage Capital Advisors, L.L.C., a limited liability company organized under the laws of the State of Delaware (“</w:t>
      </w:r>
      <w:r>
        <w:rPr>
          <w:rFonts w:ascii="Arial" w:cs="Arial" w:eastAsia="Arial" w:hAnsi="Arial"/>
          <w:sz w:val="22"/>
          <w:szCs w:val="22"/>
          <w:u w:val="single" w:color="auto"/>
          <w:color w:val="auto"/>
        </w:rPr>
        <w:t>ACA</w:t>
      </w:r>
      <w:r>
        <w:rPr>
          <w:rFonts w:ascii="Arial" w:cs="Arial" w:eastAsia="Arial" w:hAnsi="Arial"/>
          <w:sz w:val="22"/>
          <w:szCs w:val="22"/>
          <w:color w:val="auto"/>
        </w:rPr>
        <w:t>”), as managing member of ACPGP, general partner of ACP, with respect to the Class A Ordinary Shares directly owned by ACP;</w:t>
      </w:r>
    </w:p>
    <w:p>
      <w:pPr>
        <w:spacing w:after="0" w:line="213" w:lineRule="exact"/>
        <w:rPr>
          <w:rFonts w:ascii="Arial" w:cs="Arial" w:eastAsia="Arial" w:hAnsi="Arial"/>
          <w:sz w:val="22"/>
          <w:szCs w:val="22"/>
          <w:color w:val="auto"/>
        </w:rPr>
      </w:pPr>
    </w:p>
    <w:p>
      <w:pPr>
        <w:ind w:left="2580" w:right="200" w:hanging="787"/>
        <w:spacing w:after="0" w:line="328" w:lineRule="auto"/>
        <w:tabs>
          <w:tab w:leader="none" w:pos="2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Class A Ordinary Shares directly owned by ACP; and</w:t>
      </w:r>
    </w:p>
    <w:p>
      <w:pPr>
        <w:spacing w:after="0" w:line="131" w:lineRule="exact"/>
        <w:rPr>
          <w:rFonts w:ascii="Arial" w:cs="Arial" w:eastAsia="Arial" w:hAnsi="Arial"/>
          <w:sz w:val="19"/>
          <w:szCs w:val="19"/>
          <w:color w:val="auto"/>
        </w:rPr>
      </w:pPr>
    </w:p>
    <w:p>
      <w:pPr>
        <w:ind w:left="2580" w:right="300" w:hanging="787"/>
        <w:spacing w:after="0" w:line="328" w:lineRule="auto"/>
        <w:tabs>
          <w:tab w:leader="none" w:pos="2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Phillip Gross (“</w:t>
      </w:r>
      <w:r>
        <w:rPr>
          <w:rFonts w:ascii="Arial" w:cs="Arial" w:eastAsia="Arial" w:hAnsi="Arial"/>
          <w:sz w:val="19"/>
          <w:szCs w:val="19"/>
          <w:u w:val="single" w:color="auto"/>
          <w:color w:val="auto"/>
        </w:rPr>
        <w:t>Mr. Gross</w:t>
      </w:r>
      <w:r>
        <w:rPr>
          <w:rFonts w:ascii="Arial" w:cs="Arial" w:eastAsia="Arial" w:hAnsi="Arial"/>
          <w:sz w:val="19"/>
          <w:szCs w:val="19"/>
          <w:color w:val="auto"/>
        </w:rPr>
        <w:t>”), as managing member of ACA, managing member of ACPGP, general partner of ACP with respect to the Class A Ordinary Shares directly owned by ACP.</w:t>
      </w:r>
    </w:p>
    <w:p>
      <w:pPr>
        <w:spacing w:after="0" w:line="132" w:lineRule="exact"/>
        <w:rPr>
          <w:sz w:val="20"/>
          <w:szCs w:val="20"/>
          <w:color w:val="auto"/>
        </w:rPr>
      </w:pPr>
    </w:p>
    <w:p>
      <w:pPr>
        <w:ind w:left="1800" w:right="280"/>
        <w:spacing w:after="0"/>
        <w:rPr>
          <w:sz w:val="20"/>
          <w:szCs w:val="20"/>
          <w:color w:val="auto"/>
        </w:rPr>
      </w:pPr>
      <w:r>
        <w:rPr>
          <w:rFonts w:ascii="Arial" w:cs="Arial" w:eastAsia="Arial" w:hAnsi="Arial"/>
          <w:sz w:val="22"/>
          <w:szCs w:val="22"/>
          <w:color w:val="auto"/>
        </w:rPr>
        <w:t>The foregoing persons are hereinafter sometimes collectively referred to as the “</w:t>
      </w:r>
      <w:r>
        <w:rPr>
          <w:rFonts w:ascii="Arial" w:cs="Arial" w:eastAsia="Arial" w:hAnsi="Arial"/>
          <w:sz w:val="22"/>
          <w:szCs w:val="22"/>
          <w:u w:val="single" w:color="auto"/>
          <w:color w:val="auto"/>
        </w:rPr>
        <w:t>Reporting Persons</w:t>
      </w:r>
      <w:r>
        <w:rPr>
          <w:rFonts w:ascii="Arial" w:cs="Arial" w:eastAsia="Arial" w:hAnsi="Arial"/>
          <w:sz w:val="22"/>
          <w:szCs w:val="22"/>
          <w:color w:val="auto"/>
        </w:rPr>
        <w:t>.” Any disclosures herein with respect to persons other than the Reporting Persons are made on information and belief after making inquiry to the appropriate party.</w:t>
      </w:r>
    </w:p>
    <w:p>
      <w:pPr>
        <w:spacing w:after="0" w:line="213" w:lineRule="exact"/>
        <w:rPr>
          <w:sz w:val="20"/>
          <w:szCs w:val="20"/>
          <w:color w:val="auto"/>
        </w:rPr>
      </w:pPr>
    </w:p>
    <w:p>
      <w:pPr>
        <w:ind w:left="1800" w:right="720"/>
        <w:spacing w:after="0" w:line="250" w:lineRule="auto"/>
        <w:rPr>
          <w:sz w:val="20"/>
          <w:szCs w:val="20"/>
          <w:color w:val="auto"/>
        </w:rPr>
      </w:pPr>
      <w:r>
        <w:rPr>
          <w:rFonts w:ascii="Arial" w:cs="Arial" w:eastAsia="Arial" w:hAnsi="Arial"/>
          <w:sz w:val="22"/>
          <w:szCs w:val="22"/>
          <w:color w:val="auto"/>
        </w:rPr>
        <w:t>The filing of this statement should not be construed in and of itself as an admission by any Reporting Person as to beneficial ownership of the securities reported herein.</w:t>
      </w:r>
    </w:p>
    <w:p>
      <w:pPr>
        <w:spacing w:after="0" w:line="19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21"/>
          <w:szCs w:val="21"/>
          <w:b w:val="1"/>
          <w:bCs w:val="1"/>
          <w:color w:val="auto"/>
        </w:rPr>
        <w:t>ADDRESS OF PRINCIPAL BUSINESS OFFICE OR, IF NONE, RESIDENCE</w:t>
      </w:r>
    </w:p>
    <w:p>
      <w:pPr>
        <w:spacing w:after="0" w:line="14" w:lineRule="exact"/>
        <w:rPr>
          <w:sz w:val="20"/>
          <w:szCs w:val="20"/>
          <w:color w:val="auto"/>
        </w:rPr>
      </w:pPr>
    </w:p>
    <w:p>
      <w:pPr>
        <w:ind w:left="1800" w:right="440"/>
        <w:spacing w:after="0" w:line="236" w:lineRule="auto"/>
        <w:rPr>
          <w:sz w:val="20"/>
          <w:szCs w:val="20"/>
          <w:color w:val="auto"/>
        </w:rPr>
      </w:pPr>
      <w:r>
        <w:rPr>
          <w:rFonts w:ascii="Arial" w:cs="Arial" w:eastAsia="Arial" w:hAnsi="Arial"/>
          <w:sz w:val="22"/>
          <w:szCs w:val="22"/>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0" w:right="339" w:bottom="1440" w:gutter="0" w:footer="0" w:header="0"/>
          <w:type w:val="continuous"/>
        </w:sectPr>
      </w:pPr>
    </w:p>
    <w:bookmarkStart w:id="7" w:name="page8"/>
    <w:bookmarkEnd w:id="7"/>
    <w:p>
      <w:pPr>
        <w:spacing w:after="0"/>
        <w:tabs>
          <w:tab w:leader="none" w:pos="542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8 of 12 Pages</w:t>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22"/>
          <w:szCs w:val="22"/>
          <w:b w:val="1"/>
          <w:bCs w:val="1"/>
          <w:color w:val="auto"/>
        </w:rPr>
        <w:t>CITIZENSHIP</w:t>
      </w:r>
    </w:p>
    <w:p>
      <w:pPr>
        <w:spacing w:after="0" w:line="14" w:lineRule="exact"/>
        <w:rPr>
          <w:sz w:val="20"/>
          <w:szCs w:val="20"/>
          <w:color w:val="auto"/>
        </w:rPr>
      </w:pPr>
    </w:p>
    <w:p>
      <w:pPr>
        <w:ind w:left="1800" w:right="580"/>
        <w:spacing w:after="0" w:line="234" w:lineRule="auto"/>
        <w:rPr>
          <w:sz w:val="20"/>
          <w:szCs w:val="20"/>
          <w:color w:val="auto"/>
        </w:rPr>
      </w:pPr>
      <w:r>
        <w:rPr>
          <w:rFonts w:ascii="Arial" w:cs="Arial" w:eastAsia="Arial" w:hAnsi="Arial"/>
          <w:sz w:val="22"/>
          <w:szCs w:val="22"/>
          <w:color w:val="auto"/>
        </w:rPr>
        <w:t>ACP is a limited partnership organized under the laws of the State of Delaware. ACPGP and ACA are limited liability companies organized under the laws of the State of Delaware. Messrs. Gross and Atchinson are citizens of the United States.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9540" w:type="dxa"/>
            <w:vAlign w:val="bottom"/>
            <w:gridSpan w:val="3"/>
          </w:tcPr>
          <w:p>
            <w:pPr>
              <w:ind w:left="400"/>
              <w:spacing w:after="0"/>
              <w:rPr>
                <w:sz w:val="20"/>
                <w:szCs w:val="20"/>
                <w:color w:val="auto"/>
              </w:rPr>
            </w:pPr>
            <w:r>
              <w:rPr>
                <w:rFonts w:ascii="Arial" w:cs="Arial" w:eastAsia="Arial" w:hAnsi="Arial"/>
                <w:sz w:val="22"/>
                <w:szCs w:val="22"/>
                <w:b w:val="1"/>
                <w:bCs w:val="1"/>
                <w:color w:val="auto"/>
              </w:rPr>
              <w:t>TITLE OF CLASS OF SECURITIES</w:t>
            </w:r>
          </w:p>
        </w:tc>
      </w:tr>
      <w:tr>
        <w:trPr>
          <w:trHeight w:val="224"/>
        </w:trPr>
        <w:tc>
          <w:tcPr>
            <w:tcW w:w="1300" w:type="dxa"/>
            <w:vAlign w:val="bottom"/>
          </w:tcPr>
          <w:p>
            <w:pPr>
              <w:spacing w:after="0"/>
              <w:rPr>
                <w:sz w:val="19"/>
                <w:szCs w:val="19"/>
                <w:color w:val="auto"/>
              </w:rPr>
            </w:pPr>
          </w:p>
        </w:tc>
        <w:tc>
          <w:tcPr>
            <w:tcW w:w="9540" w:type="dxa"/>
            <w:vAlign w:val="bottom"/>
            <w:gridSpan w:val="3"/>
          </w:tcPr>
          <w:p>
            <w:pPr>
              <w:ind w:left="400"/>
              <w:spacing w:after="0" w:line="224" w:lineRule="exact"/>
              <w:rPr>
                <w:sz w:val="20"/>
                <w:szCs w:val="20"/>
                <w:color w:val="auto"/>
              </w:rPr>
            </w:pPr>
            <w:r>
              <w:rPr>
                <w:rFonts w:ascii="Arial" w:cs="Arial" w:eastAsia="Arial" w:hAnsi="Arial"/>
                <w:sz w:val="22"/>
                <w:szCs w:val="22"/>
                <w:color w:val="auto"/>
              </w:rPr>
              <w:t>Class A ordinary shares, par value $0.0001 per share (the “Class A Ordinary Shares”).</w:t>
            </w:r>
          </w:p>
        </w:tc>
      </w:tr>
      <w:tr>
        <w:trPr>
          <w:trHeight w:val="485"/>
        </w:trPr>
        <w:tc>
          <w:tcPr>
            <w:tcW w:w="130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5400" w:type="dxa"/>
            <w:vAlign w:val="bottom"/>
          </w:tcPr>
          <w:p>
            <w:pPr>
              <w:ind w:left="400"/>
              <w:spacing w:after="0"/>
              <w:rPr>
                <w:sz w:val="20"/>
                <w:szCs w:val="20"/>
                <w:color w:val="auto"/>
              </w:rPr>
            </w:pPr>
            <w:r>
              <w:rPr>
                <w:rFonts w:ascii="Arial" w:cs="Arial" w:eastAsia="Arial" w:hAnsi="Arial"/>
                <w:sz w:val="22"/>
                <w:szCs w:val="22"/>
                <w:b w:val="1"/>
                <w:bCs w:val="1"/>
                <w:color w:val="auto"/>
              </w:rPr>
              <w:t>CUSIP NUMBER</w:t>
            </w:r>
          </w:p>
        </w:tc>
        <w:tc>
          <w:tcPr>
            <w:tcW w:w="21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9540" w:type="dxa"/>
            <w:vAlign w:val="bottom"/>
            <w:gridSpan w:val="3"/>
          </w:tcPr>
          <w:p>
            <w:pPr>
              <w:ind w:left="400"/>
              <w:spacing w:after="0" w:line="243" w:lineRule="exact"/>
              <w:rPr>
                <w:sz w:val="20"/>
                <w:szCs w:val="20"/>
                <w:color w:val="auto"/>
              </w:rPr>
            </w:pPr>
            <w:r>
              <w:rPr>
                <w:rFonts w:ascii="Arial" w:cs="Arial" w:eastAsia="Arial" w:hAnsi="Arial"/>
                <w:sz w:val="22"/>
                <w:szCs w:val="22"/>
                <w:color w:val="auto"/>
                <w:w w:val="89"/>
              </w:rPr>
              <w:t>The Class A Ordinary Shares have no CUSIP number. The CUSIP number for the units which include the</w:t>
            </w:r>
          </w:p>
        </w:tc>
      </w:tr>
      <w:tr>
        <w:trPr>
          <w:trHeight w:val="274"/>
        </w:trPr>
        <w:tc>
          <w:tcPr>
            <w:tcW w:w="1300" w:type="dxa"/>
            <w:vAlign w:val="bottom"/>
          </w:tcPr>
          <w:p>
            <w:pPr>
              <w:spacing w:after="0"/>
              <w:rPr>
                <w:sz w:val="23"/>
                <w:szCs w:val="23"/>
                <w:color w:val="auto"/>
              </w:rPr>
            </w:pPr>
          </w:p>
        </w:tc>
        <w:tc>
          <w:tcPr>
            <w:tcW w:w="9540" w:type="dxa"/>
            <w:vAlign w:val="bottom"/>
            <w:gridSpan w:val="3"/>
          </w:tcPr>
          <w:p>
            <w:pPr>
              <w:ind w:left="400"/>
              <w:spacing w:after="0"/>
              <w:rPr>
                <w:sz w:val="20"/>
                <w:szCs w:val="20"/>
                <w:color w:val="auto"/>
              </w:rPr>
            </w:pPr>
            <w:r>
              <w:rPr>
                <w:rFonts w:ascii="Arial" w:cs="Arial" w:eastAsia="Arial" w:hAnsi="Arial"/>
                <w:sz w:val="22"/>
                <w:szCs w:val="22"/>
                <w:color w:val="auto"/>
              </w:rPr>
              <w:t>Class A Ordinary Shares is G0R21B104.</w:t>
            </w:r>
          </w:p>
        </w:tc>
      </w:tr>
    </w:tbl>
    <w:p>
      <w:pPr>
        <w:spacing w:after="0" w:line="206" w:lineRule="exact"/>
        <w:rPr>
          <w:sz w:val="20"/>
          <w:szCs w:val="20"/>
          <w:color w:val="auto"/>
        </w:rPr>
      </w:pPr>
    </w:p>
    <w:p>
      <w:pPr>
        <w:ind w:left="1800" w:right="100" w:hanging="1687"/>
        <w:spacing w:after="0" w:line="248" w:lineRule="auto"/>
        <w:tabs>
          <w:tab w:leader="none" w:pos="17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Rules 13d-1(b), OR 13d-2(b) OR (c), CHECK WHETHER THE PERSON FILING IS A:</w:t>
      </w:r>
    </w:p>
    <w:p>
      <w:pPr>
        <w:spacing w:after="0" w:line="1" w:lineRule="exact"/>
        <w:rPr>
          <w:sz w:val="20"/>
          <w:szCs w:val="20"/>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w:t>
      </w:r>
    </w:p>
    <w:p>
      <w:pPr>
        <w:spacing w:after="0" w:line="202" w:lineRule="exact"/>
        <w:rPr>
          <w:rFonts w:ascii="Arial" w:cs="Arial" w:eastAsia="Arial" w:hAnsi="Arial"/>
          <w:sz w:val="22"/>
          <w:szCs w:val="22"/>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2560" w:hanging="767"/>
        <w:spacing w:after="0" w:line="219" w:lineRule="exact"/>
        <w:tabs>
          <w:tab w:leader="none" w:pos="2560" w:val="left"/>
        </w:tabs>
        <w:numPr>
          <w:ilvl w:val="0"/>
          <w:numId w:val="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company registered under Section 8 of the Investment Company Act of 1940;</w:t>
      </w:r>
    </w:p>
    <w:p>
      <w:pPr>
        <w:spacing w:after="0" w:line="254" w:lineRule="exact"/>
        <w:rPr>
          <w:rFonts w:ascii="Arial" w:cs="Arial" w:eastAsia="Arial" w:hAnsi="Arial"/>
          <w:sz w:val="19"/>
          <w:szCs w:val="19"/>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investment adviser in accordance with Rule 13d-1(b)(1)(ii)(E);</w:t>
      </w:r>
    </w:p>
    <w:p>
      <w:pPr>
        <w:spacing w:after="0" w:line="219" w:lineRule="exact"/>
        <w:rPr>
          <w:rFonts w:ascii="Arial" w:cs="Arial" w:eastAsia="Arial" w:hAnsi="Arial"/>
          <w:sz w:val="22"/>
          <w:szCs w:val="22"/>
          <w:color w:val="auto"/>
        </w:rPr>
      </w:pPr>
    </w:p>
    <w:p>
      <w:pPr>
        <w:ind w:left="2560" w:hanging="767"/>
        <w:spacing w:after="0" w:line="242" w:lineRule="exact"/>
        <w:tabs>
          <w:tab w:leader="none" w:pos="2560" w:val="left"/>
        </w:tabs>
        <w:numPr>
          <w:ilvl w:val="0"/>
          <w:numId w:val="8"/>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An employee benefit plan or endowment fund in accordance with Rule 13d-1(b)(1)(ii)(F);</w:t>
      </w:r>
    </w:p>
    <w:p>
      <w:pPr>
        <w:spacing w:after="0" w:line="244" w:lineRule="exact"/>
        <w:rPr>
          <w:rFonts w:ascii="Arial" w:cs="Arial" w:eastAsia="Arial" w:hAnsi="Arial"/>
          <w:sz w:val="21"/>
          <w:szCs w:val="21"/>
          <w:color w:val="auto"/>
        </w:rPr>
      </w:pPr>
    </w:p>
    <w:p>
      <w:pPr>
        <w:ind w:left="2560" w:hanging="767"/>
        <w:spacing w:after="0" w:line="242" w:lineRule="exact"/>
        <w:tabs>
          <w:tab w:leader="none" w:pos="2560" w:val="left"/>
        </w:tabs>
        <w:numPr>
          <w:ilvl w:val="0"/>
          <w:numId w:val="8"/>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parent holding company or control person in accordance with Rule 13d-1(b)(1)(ii)(G);</w:t>
      </w:r>
    </w:p>
    <w:p>
      <w:pPr>
        <w:spacing w:after="0" w:line="231" w:lineRule="exact"/>
        <w:rPr>
          <w:rFonts w:ascii="Arial" w:cs="Arial" w:eastAsia="Arial" w:hAnsi="Arial"/>
          <w:sz w:val="21"/>
          <w:szCs w:val="21"/>
          <w:color w:val="auto"/>
        </w:rPr>
      </w:pPr>
    </w:p>
    <w:p>
      <w:pPr>
        <w:ind w:left="2560" w:hanging="767"/>
        <w:spacing w:after="0" w:line="242" w:lineRule="exact"/>
        <w:tabs>
          <w:tab w:leader="none" w:pos="2560" w:val="left"/>
        </w:tabs>
        <w:numPr>
          <w:ilvl w:val="0"/>
          <w:numId w:val="8"/>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A savings association as defined in Section 3(b) of the Federal Deposit Insurance Act;</w:t>
      </w:r>
    </w:p>
    <w:p>
      <w:pPr>
        <w:spacing w:after="0" w:line="244" w:lineRule="exact"/>
        <w:rPr>
          <w:rFonts w:ascii="Arial" w:cs="Arial" w:eastAsia="Arial" w:hAnsi="Arial"/>
          <w:sz w:val="21"/>
          <w:szCs w:val="21"/>
          <w:color w:val="auto"/>
        </w:rPr>
      </w:pPr>
    </w:p>
    <w:p>
      <w:pPr>
        <w:ind w:left="3040" w:right="300" w:hanging="1247"/>
        <w:spacing w:after="0" w:line="272" w:lineRule="exact"/>
        <w:tabs>
          <w:tab w:leader="none" w:pos="2565"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w:t>
      </w:r>
    </w:p>
    <w:p>
      <w:pPr>
        <w:spacing w:after="0" w:line="185" w:lineRule="exact"/>
        <w:rPr>
          <w:rFonts w:ascii="Arial" w:cs="Arial" w:eastAsia="Arial" w:hAnsi="Arial"/>
          <w:sz w:val="22"/>
          <w:szCs w:val="22"/>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non-U.S. institution in accordance with Rule 13d-1(b)(1)(ii)(J);</w:t>
      </w:r>
    </w:p>
    <w:p>
      <w:pPr>
        <w:spacing w:after="0" w:line="219" w:lineRule="exact"/>
        <w:rPr>
          <w:rFonts w:ascii="Arial" w:cs="Arial" w:eastAsia="Arial" w:hAnsi="Arial"/>
          <w:sz w:val="22"/>
          <w:szCs w:val="22"/>
          <w:color w:val="auto"/>
        </w:rPr>
      </w:pPr>
    </w:p>
    <w:p>
      <w:pPr>
        <w:ind w:left="2560" w:hanging="767"/>
        <w:spacing w:after="0" w:line="253" w:lineRule="exact"/>
        <w:tabs>
          <w:tab w:leader="none" w:pos="256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13d-1(b)(1)(ii)(K).</w:t>
      </w:r>
    </w:p>
    <w:p>
      <w:pPr>
        <w:spacing w:after="0" w:line="273" w:lineRule="exact"/>
        <w:rPr>
          <w:sz w:val="20"/>
          <w:szCs w:val="20"/>
          <w:color w:val="auto"/>
        </w:rPr>
      </w:pPr>
    </w:p>
    <w:p>
      <w:pPr>
        <w:ind w:left="1800" w:right="620"/>
        <w:spacing w:after="0" w:line="250" w:lineRule="auto"/>
        <w:rPr>
          <w:sz w:val="20"/>
          <w:szCs w:val="20"/>
          <w:color w:val="auto"/>
        </w:rPr>
      </w:pPr>
      <w:r>
        <w:rPr>
          <w:rFonts w:ascii="Arial" w:cs="Arial" w:eastAsia="Arial" w:hAnsi="Arial"/>
          <w:sz w:val="22"/>
          <w:szCs w:val="22"/>
          <w:color w:val="auto"/>
        </w:rPr>
        <w:t xml:space="preserve">If filing as a non-U.S. institution in accordance with Rule 13d-1(b)(1)(ii)(J), please specify the type of institution: </w:t>
      </w:r>
      <w:r>
        <w:rPr>
          <w:rFonts w:ascii="Arial" w:cs="Arial" w:eastAsia="Arial" w:hAnsi="Arial"/>
          <w:sz w:val="22"/>
          <w:szCs w:val="22"/>
          <w:u w:val="single" w:color="auto"/>
          <w:color w:val="auto"/>
        </w:rPr>
        <w:t>Not applicable</w:t>
      </w:r>
      <w:r>
        <w:rPr>
          <w:rFonts w:ascii="Arial" w:cs="Arial" w:eastAsia="Arial" w:hAnsi="Arial"/>
          <w:sz w:val="22"/>
          <w:szCs w:val="22"/>
          <w:color w:val="auto"/>
        </w:rPr>
        <w:t>.</w:t>
      </w:r>
    </w:p>
    <w:p>
      <w:pPr>
        <w:sectPr>
          <w:pgSz w:w="11900" w:h="16838" w:orient="portrait"/>
          <w:cols w:equalWidth="0" w:num="1">
            <w:col w:w="11240"/>
          </w:cols>
          <w:pgMar w:left="320" w:top="220" w:right="339" w:bottom="1440" w:gutter="0" w:footer="0" w:header="0"/>
          <w:type w:val="continuous"/>
        </w:sectPr>
      </w:pPr>
    </w:p>
    <w:bookmarkStart w:id="8" w:name="page9"/>
    <w:bookmarkEnd w:id="8"/>
    <w:p>
      <w:pPr>
        <w:spacing w:after="0"/>
        <w:tabs>
          <w:tab w:leader="none" w:pos="542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9 of 12 Pages</w:t>
      </w:r>
    </w:p>
    <w:p>
      <w:pPr>
        <w:sectPr>
          <w:pgSz w:w="11900" w:h="16838" w:orient="portrait"/>
          <w:cols w:equalWidth="0" w:num="1">
            <w:col w:w="11240"/>
          </w:cols>
          <w:pgMar w:left="320" w:top="220" w:right="339" w:bottom="1440" w:gutter="0" w:footer="0" w:header="0"/>
        </w:sectPr>
      </w:pPr>
    </w:p>
    <w:p>
      <w:pPr>
        <w:spacing w:after="0" w:line="341"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OWNERSHIP</w:t>
      </w:r>
    </w:p>
    <w:p>
      <w:pPr>
        <w:spacing w:after="0" w:line="14" w:lineRule="exact"/>
        <w:rPr>
          <w:sz w:val="20"/>
          <w:szCs w:val="20"/>
          <w:color w:val="auto"/>
        </w:rPr>
      </w:pPr>
    </w:p>
    <w:p>
      <w:pPr>
        <w:ind w:left="1700" w:hanging="792"/>
        <w:spacing w:after="0"/>
        <w:tabs>
          <w:tab w:leader="none" w:pos="1700" w:val="left"/>
        </w:tabs>
        <w:numPr>
          <w:ilvl w:val="0"/>
          <w:numId w:val="9"/>
        </w:numPr>
        <w:rPr>
          <w:rFonts w:ascii="Arial" w:cs="Arial" w:eastAsia="Arial" w:hAnsi="Arial"/>
          <w:sz w:val="21"/>
          <w:szCs w:val="21"/>
          <w:color w:val="auto"/>
        </w:rPr>
      </w:pPr>
      <w:r>
        <w:rPr>
          <w:rFonts w:ascii="Arial" w:cs="Arial" w:eastAsia="Arial" w:hAnsi="Arial"/>
          <w:sz w:val="21"/>
          <w:szCs w:val="21"/>
          <w:color w:val="auto"/>
        </w:rPr>
        <w:t>Adage Capital Partners, L.P., Adage Capital Partners GP, L.L.C. and Adage Capital Advisors, L.L.C.</w:t>
      </w:r>
    </w:p>
    <w:p>
      <w:pPr>
        <w:spacing w:after="0" w:line="267" w:lineRule="exact"/>
        <w:rPr>
          <w:rFonts w:ascii="Arial" w:cs="Arial" w:eastAsia="Arial" w:hAnsi="Arial"/>
          <w:sz w:val="21"/>
          <w:szCs w:val="21"/>
          <w:color w:val="auto"/>
        </w:rPr>
      </w:pPr>
    </w:p>
    <w:p>
      <w:pPr>
        <w:ind w:left="2260" w:hanging="556"/>
        <w:spacing w:after="0"/>
        <w:tabs>
          <w:tab w:leader="none" w:pos="2260" w:val="left"/>
        </w:tabs>
        <w:numPr>
          <w:ilvl w:val="1"/>
          <w:numId w:val="9"/>
        </w:numPr>
        <w:rPr>
          <w:rFonts w:ascii="Arial" w:cs="Arial" w:eastAsia="Arial" w:hAnsi="Arial"/>
          <w:sz w:val="22"/>
          <w:szCs w:val="22"/>
          <w:color w:val="auto"/>
        </w:rPr>
      </w:pPr>
      <w:r>
        <w:rPr>
          <w:rFonts w:ascii="Arial" w:cs="Arial" w:eastAsia="Arial" w:hAnsi="Arial"/>
          <w:sz w:val="22"/>
          <w:szCs w:val="22"/>
          <w:color w:val="auto"/>
        </w:rPr>
        <w:t>Amount beneficially owned: 1,750,000</w:t>
      </w:r>
    </w:p>
    <w:p>
      <w:pPr>
        <w:spacing w:after="0" w:line="8" w:lineRule="exact"/>
        <w:rPr>
          <w:rFonts w:ascii="Arial" w:cs="Arial" w:eastAsia="Arial" w:hAnsi="Arial"/>
          <w:sz w:val="22"/>
          <w:szCs w:val="22"/>
          <w:color w:val="auto"/>
        </w:rPr>
      </w:pPr>
    </w:p>
    <w:p>
      <w:pPr>
        <w:ind w:left="2260" w:right="660" w:hanging="556"/>
        <w:spacing w:after="0" w:line="246" w:lineRule="auto"/>
        <w:tabs>
          <w:tab w:leader="none" w:pos="2260" w:val="left"/>
        </w:tabs>
        <w:numPr>
          <w:ilvl w:val="1"/>
          <w:numId w:val="9"/>
        </w:numPr>
        <w:rPr>
          <w:rFonts w:ascii="Arial" w:cs="Arial" w:eastAsia="Arial" w:hAnsi="Arial"/>
          <w:sz w:val="21"/>
          <w:szCs w:val="21"/>
          <w:color w:val="auto"/>
        </w:rPr>
      </w:pPr>
      <w:r>
        <w:rPr>
          <w:rFonts w:ascii="Arial" w:cs="Arial" w:eastAsia="Arial" w:hAnsi="Arial"/>
          <w:sz w:val="21"/>
          <w:szCs w:val="21"/>
          <w:color w:val="auto"/>
        </w:rPr>
        <w:t>Percent of class: 5.62%. The percentage set forth in this Schedule 13G is calculated based upon 31,116,305 Class A Ordinary Shares outstanding as of May 16, 2022, as reported on the Issuer’s Quarterly Report on Form 10-Q for the quarterly period ended on March 31, 2022filed with the Security Exchange Commission on May 16, 2022.</w:t>
      </w:r>
    </w:p>
    <w:p>
      <w:pPr>
        <w:spacing w:after="0" w:line="4" w:lineRule="exact"/>
        <w:rPr>
          <w:rFonts w:ascii="Arial" w:cs="Arial" w:eastAsia="Arial" w:hAnsi="Arial"/>
          <w:sz w:val="21"/>
          <w:szCs w:val="21"/>
          <w:color w:val="auto"/>
        </w:rPr>
      </w:pPr>
    </w:p>
    <w:p>
      <w:pPr>
        <w:ind w:left="2260" w:hanging="556"/>
        <w:spacing w:after="0"/>
        <w:tabs>
          <w:tab w:leader="none" w:pos="2260" w:val="left"/>
        </w:tabs>
        <w:numPr>
          <w:ilvl w:val="1"/>
          <w:numId w:val="9"/>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Sole power to vote or direct the vote: 0</w:t>
      </w:r>
    </w:p>
    <w:p>
      <w:pPr>
        <w:spacing w:after="0" w:line="8" w:lineRule="exact"/>
        <w:rPr>
          <w:rFonts w:ascii="Arial" w:cs="Arial" w:eastAsia="Arial" w:hAnsi="Arial"/>
          <w:sz w:val="22"/>
          <w:szCs w:val="22"/>
          <w:color w:val="auto"/>
        </w:rPr>
      </w:pPr>
    </w:p>
    <w:p>
      <w:pPr>
        <w:ind w:left="3040" w:hanging="782"/>
        <w:spacing w:after="0" w:line="230" w:lineRule="auto"/>
        <w:tabs>
          <w:tab w:leader="none" w:pos="3040" w:val="left"/>
        </w:tabs>
        <w:numPr>
          <w:ilvl w:val="2"/>
          <w:numId w:val="9"/>
        </w:numPr>
        <w:rPr>
          <w:rFonts w:ascii="Arial" w:cs="Arial" w:eastAsia="Arial" w:hAnsi="Arial"/>
          <w:sz w:val="22"/>
          <w:szCs w:val="22"/>
          <w:color w:val="auto"/>
        </w:rPr>
      </w:pPr>
      <w:r>
        <w:rPr>
          <w:rFonts w:ascii="Arial" w:cs="Arial" w:eastAsia="Arial" w:hAnsi="Arial"/>
          <w:sz w:val="22"/>
          <w:szCs w:val="22"/>
          <w:color w:val="auto"/>
        </w:rPr>
        <w:t>Shared power to vote or direct the vote: 1,750,000</w:t>
      </w:r>
    </w:p>
    <w:p>
      <w:pPr>
        <w:ind w:left="3040" w:hanging="782"/>
        <w:spacing w:after="0" w:line="230" w:lineRule="auto"/>
        <w:tabs>
          <w:tab w:leader="none" w:pos="3040" w:val="left"/>
        </w:tabs>
        <w:numPr>
          <w:ilvl w:val="2"/>
          <w:numId w:val="9"/>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ind w:left="3040" w:hanging="782"/>
        <w:spacing w:after="0"/>
        <w:tabs>
          <w:tab w:leader="none" w:pos="3040" w:val="left"/>
        </w:tabs>
        <w:numPr>
          <w:ilvl w:val="2"/>
          <w:numId w:val="9"/>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of: 1,750,000</w:t>
      </w:r>
    </w:p>
    <w:p>
      <w:pPr>
        <w:spacing w:after="0" w:line="215" w:lineRule="exact"/>
        <w:rPr>
          <w:sz w:val="20"/>
          <w:szCs w:val="20"/>
          <w:color w:val="auto"/>
        </w:rPr>
      </w:pPr>
    </w:p>
    <w:p>
      <w:pPr>
        <w:ind w:left="120" w:right="160"/>
        <w:spacing w:after="0" w:line="287" w:lineRule="auto"/>
        <w:rPr>
          <w:sz w:val="20"/>
          <w:szCs w:val="20"/>
          <w:color w:val="auto"/>
        </w:rPr>
      </w:pPr>
      <w:r>
        <w:rPr>
          <w:rFonts w:ascii="Arial" w:cs="Arial" w:eastAsia="Arial" w:hAnsi="Arial"/>
          <w:sz w:val="19"/>
          <w:szCs w:val="19"/>
          <w:color w:val="auto"/>
        </w:rPr>
        <w:t>ACP has the power to dispose of and the power to vote the Class A Ordinary Shares beneficially owned by it, which power may be exercised by its general partner, ACPGP. ACA, as managing member of ACPGP, directs ACPGP’s operations. Neither ACPGP nor ACA directly own any Class A Ordinary Shares.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170" w:lineRule="exact"/>
        <w:rPr>
          <w:sz w:val="20"/>
          <w:szCs w:val="20"/>
          <w:color w:val="auto"/>
        </w:rPr>
      </w:pPr>
    </w:p>
    <w:p>
      <w:pPr>
        <w:ind w:left="1700" w:hanging="792"/>
        <w:spacing w:after="0"/>
        <w:tabs>
          <w:tab w:leader="none" w:pos="17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Robert Atchinson and Phillip Gross</w:t>
      </w:r>
    </w:p>
    <w:p>
      <w:pPr>
        <w:spacing w:after="0" w:line="30" w:lineRule="exact"/>
        <w:rPr>
          <w:rFonts w:ascii="Arial" w:cs="Arial" w:eastAsia="Arial" w:hAnsi="Arial"/>
          <w:sz w:val="22"/>
          <w:szCs w:val="22"/>
          <w:color w:val="auto"/>
        </w:rPr>
      </w:pPr>
    </w:p>
    <w:p>
      <w:pPr>
        <w:ind w:left="2260" w:hanging="556"/>
        <w:spacing w:after="0"/>
        <w:tabs>
          <w:tab w:leader="none" w:pos="22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Amount beneficially owned: 1,750,000</w:t>
      </w:r>
    </w:p>
    <w:p>
      <w:pPr>
        <w:spacing w:after="0" w:line="8" w:lineRule="exact"/>
        <w:rPr>
          <w:rFonts w:ascii="Arial" w:cs="Arial" w:eastAsia="Arial" w:hAnsi="Arial"/>
          <w:sz w:val="22"/>
          <w:szCs w:val="22"/>
          <w:color w:val="auto"/>
        </w:rPr>
      </w:pPr>
    </w:p>
    <w:p>
      <w:pPr>
        <w:ind w:left="2260" w:hanging="556"/>
        <w:spacing w:after="0" w:line="230" w:lineRule="auto"/>
        <w:tabs>
          <w:tab w:leader="none" w:pos="22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Percent of class: 5.62%</w:t>
      </w:r>
    </w:p>
    <w:p>
      <w:pPr>
        <w:ind w:left="2260" w:hanging="556"/>
        <w:spacing w:after="0"/>
        <w:tabs>
          <w:tab w:leader="none" w:pos="22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w:t>
      </w:r>
      <w:r>
        <w:rPr>
          <w:rFonts w:ascii="Arial" w:cs="Arial" w:eastAsia="Arial" w:hAnsi="Arial"/>
          <w:sz w:val="19"/>
          <w:szCs w:val="19"/>
          <w:color w:val="auto"/>
        </w:rPr>
        <w:t>Sole power to vote or direct the vote: 0</w:t>
      </w:r>
    </w:p>
    <w:p>
      <w:pPr>
        <w:ind w:left="3040" w:hanging="788"/>
        <w:spacing w:after="0" w:line="230" w:lineRule="auto"/>
        <w:tabs>
          <w:tab w:leader="none" w:pos="3040" w:val="left"/>
        </w:tabs>
        <w:numPr>
          <w:ilvl w:val="2"/>
          <w:numId w:val="10"/>
        </w:numPr>
        <w:rPr>
          <w:rFonts w:ascii="Arial" w:cs="Arial" w:eastAsia="Arial" w:hAnsi="Arial"/>
          <w:sz w:val="22"/>
          <w:szCs w:val="22"/>
          <w:color w:val="auto"/>
        </w:rPr>
      </w:pPr>
      <w:r>
        <w:rPr>
          <w:rFonts w:ascii="Arial" w:cs="Arial" w:eastAsia="Arial" w:hAnsi="Arial"/>
          <w:sz w:val="22"/>
          <w:szCs w:val="22"/>
          <w:color w:val="auto"/>
        </w:rPr>
        <w:t>Shared power to vote or direct the vote: 1,750,000</w:t>
      </w:r>
    </w:p>
    <w:p>
      <w:pPr>
        <w:ind w:left="3040" w:hanging="788"/>
        <w:spacing w:after="0" w:line="230" w:lineRule="auto"/>
        <w:tabs>
          <w:tab w:leader="none" w:pos="3040" w:val="left"/>
        </w:tabs>
        <w:numPr>
          <w:ilvl w:val="2"/>
          <w:numId w:val="10"/>
        </w:numPr>
        <w:rPr>
          <w:rFonts w:ascii="Arial" w:cs="Arial" w:eastAsia="Arial" w:hAnsi="Arial"/>
          <w:sz w:val="22"/>
          <w:szCs w:val="22"/>
          <w:color w:val="auto"/>
        </w:rPr>
      </w:pPr>
      <w:r>
        <w:rPr>
          <w:rFonts w:ascii="Arial" w:cs="Arial" w:eastAsia="Arial" w:hAnsi="Arial"/>
          <w:sz w:val="22"/>
          <w:szCs w:val="22"/>
          <w:color w:val="auto"/>
        </w:rPr>
        <w:t>Sole power to dispose or direct the disposition: 0</w:t>
      </w:r>
    </w:p>
    <w:p>
      <w:pPr>
        <w:ind w:left="3040" w:hanging="788"/>
        <w:spacing w:after="0"/>
        <w:tabs>
          <w:tab w:leader="none" w:pos="3040" w:val="left"/>
        </w:tabs>
        <w:numPr>
          <w:ilvl w:val="2"/>
          <w:numId w:val="10"/>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1,750,000</w:t>
      </w:r>
    </w:p>
    <w:p>
      <w:pPr>
        <w:spacing w:after="0" w:line="215" w:lineRule="exact"/>
        <w:rPr>
          <w:sz w:val="20"/>
          <w:szCs w:val="20"/>
          <w:color w:val="auto"/>
        </w:rPr>
      </w:pPr>
    </w:p>
    <w:p>
      <w:pPr>
        <w:ind w:left="120" w:right="320"/>
        <w:spacing w:after="0" w:line="297" w:lineRule="auto"/>
        <w:rPr>
          <w:sz w:val="20"/>
          <w:szCs w:val="20"/>
          <w:color w:val="auto"/>
        </w:rPr>
      </w:pPr>
      <w:r>
        <w:rPr>
          <w:rFonts w:ascii="Arial" w:cs="Arial" w:eastAsia="Arial" w:hAnsi="Arial"/>
          <w:sz w:val="19"/>
          <w:szCs w:val="19"/>
          <w:color w:val="auto"/>
        </w:rPr>
        <w:t>Messrs. Atchinson and Gross, as managing members of ACA, have shared power to vote the Class A Ordinary Shares beneficially owned by ACP. Neither Mr. Atchinson nor Mr. Gross directly own any Class A Ordinary Shares. By reason of the provisions of Rule 13d-3 of the Act, each may be deemed to beneficially own the shares beneficially owned by ACP.</w:t>
      </w:r>
    </w:p>
    <w:p>
      <w:pPr>
        <w:spacing w:after="0" w:line="155"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1"/>
          <w:szCs w:val="21"/>
          <w:b w:val="1"/>
          <w:bCs w:val="1"/>
          <w:color w:val="auto"/>
        </w:rPr>
        <w:t>OWNERSHIP OF FIVE PERCENT OR LESS OF A CLASS</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52" w:lineRule="exact"/>
        <w:rPr>
          <w:sz w:val="20"/>
          <w:szCs w:val="20"/>
          <w:color w:val="auto"/>
        </w:rPr>
      </w:pPr>
    </w:p>
    <w:p>
      <w:pPr>
        <w:ind w:left="1800" w:right="940" w:hanging="1687"/>
        <w:spacing w:after="0" w:line="256" w:lineRule="auto"/>
        <w:tabs>
          <w:tab w:leader="none" w:pos="17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22"/>
          <w:szCs w:val="22"/>
          <w:b w:val="1"/>
          <w:bCs w:val="1"/>
          <w:color w:val="auto"/>
        </w:rPr>
        <w:t xml:space="preserve">OWNERSHIP OF MORE THAN FIVE PERCENT ON BEHALF OF ANOTHER PERSON </w:t>
      </w:r>
      <w:r>
        <w:rPr>
          <w:rFonts w:ascii="Arial" w:cs="Arial" w:eastAsia="Arial" w:hAnsi="Arial"/>
          <w:sz w:val="22"/>
          <w:szCs w:val="22"/>
          <w:color w:val="auto"/>
        </w:rPr>
        <w:t>Not applicable.</w:t>
      </w:r>
    </w:p>
    <w:p>
      <w:pPr>
        <w:sectPr>
          <w:pgSz w:w="11900" w:h="16838" w:orient="portrait"/>
          <w:cols w:equalWidth="0" w:num="1">
            <w:col w:w="11240"/>
          </w:cols>
          <w:pgMar w:left="320" w:top="220" w:right="339" w:bottom="1440" w:gutter="0" w:footer="0" w:header="0"/>
          <w:type w:val="continuous"/>
        </w:sectPr>
      </w:pPr>
    </w:p>
    <w:bookmarkStart w:id="9" w:name="page10"/>
    <w:bookmarkEnd w:id="9"/>
    <w:p>
      <w:pPr>
        <w:spacing w:after="0"/>
        <w:tabs>
          <w:tab w:leader="none" w:pos="5420" w:val="left"/>
          <w:tab w:leader="none" w:pos="97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10 of 12 Pages</w:t>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both"/>
        <w:ind w:left="1800" w:right="100" w:hanging="1687"/>
        <w:spacing w:after="0" w:line="238" w:lineRule="auto"/>
        <w:tabs>
          <w:tab w:leader="none" w:pos="17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ind w:left="180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ind w:left="1800" w:right="1980" w:hanging="1687"/>
        <w:spacing w:after="0" w:line="256" w:lineRule="auto"/>
        <w:tabs>
          <w:tab w:leader="none" w:pos="17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22"/>
          <w:szCs w:val="22"/>
          <w:b w:val="1"/>
          <w:bCs w:val="1"/>
          <w:color w:val="auto"/>
        </w:rPr>
        <w:t xml:space="preserve">IDENTIFICATION AND CLASSIFICATION OF MEMBERS OF THE GROUP </w:t>
      </w:r>
      <w:r>
        <w:rPr>
          <w:rFonts w:ascii="Arial" w:cs="Arial" w:eastAsia="Arial" w:hAnsi="Arial"/>
          <w:sz w:val="22"/>
          <w:szCs w:val="22"/>
          <w:color w:val="auto"/>
        </w:rPr>
        <w:t>Not applicable.</w:t>
      </w:r>
    </w:p>
    <w:p>
      <w:pPr>
        <w:spacing w:after="0" w:line="189"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21"/>
          <w:szCs w:val="21"/>
          <w:b w:val="1"/>
          <w:bCs w:val="1"/>
          <w:color w:val="auto"/>
        </w:rPr>
        <w:t>NOTICE OF DISSOLUTION OF GROUP</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Not applicable.</w:t>
      </w:r>
    </w:p>
    <w:p>
      <w:pPr>
        <w:spacing w:after="0" w:line="209"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22"/>
          <w:szCs w:val="22"/>
          <w:b w:val="1"/>
          <w:bCs w:val="1"/>
          <w:color w:val="auto"/>
        </w:rPr>
        <w:t>CERTIFICATION</w:t>
      </w:r>
    </w:p>
    <w:p>
      <w:pPr>
        <w:spacing w:after="0" w:line="1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Each of the Reporting Persons hereby makes the following certification:</w:t>
      </w:r>
    </w:p>
    <w:p>
      <w:pPr>
        <w:spacing w:after="0" w:line="215" w:lineRule="exact"/>
        <w:rPr>
          <w:sz w:val="20"/>
          <w:szCs w:val="20"/>
          <w:color w:val="auto"/>
        </w:rPr>
      </w:pPr>
    </w:p>
    <w:p>
      <w:pPr>
        <w:ind w:left="1800" w:right="240"/>
        <w:spacing w:after="0" w:line="287" w:lineRule="auto"/>
        <w:rPr>
          <w:sz w:val="20"/>
          <w:szCs w:val="20"/>
          <w:color w:val="auto"/>
        </w:rPr>
      </w:pPr>
      <w:r>
        <w:rPr>
          <w:rFonts w:ascii="Arial" w:cs="Arial" w:eastAsia="Arial" w:hAnsi="Arial"/>
          <w:sz w:val="19"/>
          <w:szCs w:val="19"/>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0" w:right="339" w:bottom="1440" w:gutter="0" w:footer="0" w:header="0"/>
          <w:type w:val="continuous"/>
        </w:sectPr>
      </w:pPr>
    </w:p>
    <w:bookmarkStart w:id="10" w:name="page11"/>
    <w:bookmarkEnd w:id="10"/>
    <w:p>
      <w:pPr>
        <w:spacing w:after="0"/>
        <w:tabs>
          <w:tab w:leader="none" w:pos="5420" w:val="left"/>
          <w:tab w:leader="none" w:pos="974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11 of 12 Pages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May 27,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L.P.</w:t>
      </w:r>
    </w:p>
    <w:p>
      <w:pPr>
        <w:spacing w:after="0" w:line="238" w:lineRule="auto"/>
        <w:rPr>
          <w:sz w:val="20"/>
          <w:szCs w:val="20"/>
          <w:color w:val="auto"/>
        </w:rPr>
      </w:pPr>
      <w:r>
        <w:rPr>
          <w:rFonts w:ascii="Arial" w:cs="Arial" w:eastAsia="Arial" w:hAnsi="Arial"/>
          <w:sz w:val="22"/>
          <w:szCs w:val="22"/>
          <w:color w:val="auto"/>
        </w:rPr>
        <w:t>By: Adage Capital Partners GP, L.L.C.,</w:t>
      </w:r>
    </w:p>
    <w:p>
      <w:pPr>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Adage Capital Advisors,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GP, L.L.C.</w:t>
      </w:r>
    </w:p>
    <w:p>
      <w:pPr>
        <w:spacing w:after="0" w:line="238" w:lineRule="auto"/>
        <w:rPr>
          <w:sz w:val="20"/>
          <w:szCs w:val="20"/>
          <w:color w:val="auto"/>
        </w:rPr>
      </w:pPr>
      <w:r>
        <w:rPr>
          <w:rFonts w:ascii="Arial" w:cs="Arial" w:eastAsia="Arial" w:hAnsi="Arial"/>
          <w:sz w:val="22"/>
          <w:szCs w:val="22"/>
          <w:color w:val="auto"/>
        </w:rPr>
        <w:t>By: Adage Capital Advisors, L.L.C.,</w:t>
      </w: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ROBERT ATCHINSON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ROBERT ATCHINSON, individually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PHILLIP GROSS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Phillip Gross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PHILLIP GROSS, individually</w:t>
      </w:r>
    </w:p>
    <w:p>
      <w:pPr>
        <w:sectPr>
          <w:pgSz w:w="11900" w:h="16838" w:orient="portrait"/>
          <w:cols w:equalWidth="0" w:num="1">
            <w:col w:w="11240"/>
          </w:cols>
          <w:pgMar w:left="320" w:top="220" w:right="339" w:bottom="1440" w:gutter="0" w:footer="0" w:header="0"/>
        </w:sectPr>
      </w:pPr>
    </w:p>
    <w:bookmarkStart w:id="11" w:name="page12"/>
    <w:bookmarkEnd w:id="11"/>
    <w:p>
      <w:pPr>
        <w:spacing w:after="0"/>
        <w:tabs>
          <w:tab w:leader="none" w:pos="5420" w:val="left"/>
          <w:tab w:leader="none" w:pos="97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5"/>
          <w:szCs w:val="15"/>
          <w:b w:val="1"/>
          <w:bCs w:val="1"/>
          <w:color w:val="auto"/>
        </w:rPr>
        <w:t>Page 12 of 12 Pages</w:t>
      </w:r>
    </w:p>
    <w:p>
      <w:pPr>
        <w:spacing w:after="0" w:line="341"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EXHIBIT 1</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JOINT FILING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RULE 13d-1(k)</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DATE: May 27,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L.P.</w:t>
      </w:r>
    </w:p>
    <w:p>
      <w:pPr>
        <w:spacing w:after="0" w:line="238" w:lineRule="auto"/>
        <w:rPr>
          <w:sz w:val="20"/>
          <w:szCs w:val="20"/>
          <w:color w:val="auto"/>
        </w:rPr>
      </w:pPr>
      <w:r>
        <w:rPr>
          <w:rFonts w:ascii="Arial" w:cs="Arial" w:eastAsia="Arial" w:hAnsi="Arial"/>
          <w:sz w:val="22"/>
          <w:szCs w:val="22"/>
          <w:color w:val="auto"/>
        </w:rPr>
        <w:t>By: Adage Capital Partners GP, L.L.C.,</w:t>
      </w:r>
    </w:p>
    <w:p>
      <w:pPr>
        <w:spacing w:after="0"/>
        <w:rPr>
          <w:sz w:val="20"/>
          <w:szCs w:val="20"/>
          <w:color w:val="auto"/>
        </w:rPr>
      </w:pPr>
      <w:r>
        <w:rPr>
          <w:rFonts w:ascii="Arial" w:cs="Arial" w:eastAsia="Arial" w:hAnsi="Arial"/>
          <w:sz w:val="22"/>
          <w:szCs w:val="22"/>
          <w:color w:val="auto"/>
        </w:rPr>
        <w:t>its general partner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Adage Capital Advisors,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PARTNERS GP, L.L.C.</w:t>
      </w:r>
    </w:p>
    <w:p>
      <w:pPr>
        <w:spacing w:after="0" w:line="238" w:lineRule="auto"/>
        <w:rPr>
          <w:sz w:val="20"/>
          <w:szCs w:val="20"/>
          <w:color w:val="auto"/>
        </w:rPr>
      </w:pPr>
      <w:r>
        <w:rPr>
          <w:rFonts w:ascii="Arial" w:cs="Arial" w:eastAsia="Arial" w:hAnsi="Arial"/>
          <w:sz w:val="22"/>
          <w:szCs w:val="22"/>
          <w:color w:val="auto"/>
        </w:rPr>
        <w:t>By: Adage Capital Advisors, L.L.C.,</w:t>
      </w:r>
    </w:p>
    <w:p>
      <w:pPr>
        <w:spacing w:after="0"/>
        <w:rPr>
          <w:sz w:val="20"/>
          <w:szCs w:val="20"/>
          <w:color w:val="auto"/>
        </w:rPr>
      </w:pPr>
      <w:r>
        <w:rPr>
          <w:rFonts w:ascii="Arial" w:cs="Arial" w:eastAsia="Arial" w:hAnsi="Arial"/>
          <w:sz w:val="22"/>
          <w:szCs w:val="22"/>
          <w:color w:val="auto"/>
        </w:rPr>
        <w:t>its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ADAGE CAPITAL ADVISORS,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238" w:lineRule="auto"/>
        <w:rPr>
          <w:sz w:val="20"/>
          <w:szCs w:val="20"/>
          <w:color w:val="auto"/>
        </w:rPr>
      </w:pPr>
      <w:r>
        <w:rPr>
          <w:rFonts w:ascii="Arial" w:cs="Arial" w:eastAsia="Arial" w:hAnsi="Arial"/>
          <w:sz w:val="22"/>
          <w:szCs w:val="22"/>
          <w:color w:val="auto"/>
        </w:rPr>
        <w:t>Name: Robert Atchinson</w:t>
      </w:r>
    </w:p>
    <w:p>
      <w:pPr>
        <w:spacing w:after="0"/>
        <w:rPr>
          <w:sz w:val="20"/>
          <w:szCs w:val="20"/>
          <w:color w:val="auto"/>
        </w:rPr>
      </w:pPr>
      <w:r>
        <w:rPr>
          <w:rFonts w:ascii="Arial" w:cs="Arial" w:eastAsia="Arial" w:hAnsi="Arial"/>
          <w:sz w:val="22"/>
          <w:szCs w:val="22"/>
          <w:color w:val="auto"/>
        </w:rPr>
        <w:t>Title: Managing Member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ROBERT ATCHINSON, individually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Phillip Gross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PHILLIP GROSS, individually</w:t>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9">
    <w:nsid w:val="4DB127F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2022-05-28T02:42:51Z</dcterms:created>
  <dcterms:modified xsi:type="dcterms:W3CDTF">2022-05-28T02:42:51Z</dcterms:modified>
</cp:coreProperties>
</file>