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May 9, 2024 </w:t>
      </w:r>
    </w:p>
    <w:p>
      <w:pPr>
        <w:pStyle w:val="TextBody"/>
        <w:bidi w:val="0"/>
        <w:spacing w:before="0" w:after="0"/>
        <w:jc w:val="center"/>
        <w:rPr/>
      </w:pPr>
      <w:r>
        <w:rPr/>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658" w:type="dxa"/>
        <w:jc w:val="left"/>
        <w:tblInd w:w="0" w:type="dxa"/>
        <w:tblLayout w:type="fixed"/>
        <w:tblCellMar>
          <w:top w:w="28" w:type="dxa"/>
          <w:left w:w="28" w:type="dxa"/>
          <w:bottom w:w="28" w:type="dxa"/>
          <w:right w:w="28" w:type="dxa"/>
        </w:tblCellMar>
      </w:tblPr>
      <w:tblGrid>
        <w:gridCol w:w="1555"/>
        <w:gridCol w:w="1367"/>
        <w:gridCol w:w="1367"/>
        <w:gridCol w:w="515"/>
        <w:gridCol w:w="515"/>
        <w:gridCol w:w="51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65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libri;sans-serif" w:hAnsi="Calibri;sans-serif"/>
                <w:b/>
                <w:color w:val="000000"/>
                <w:sz w:val="20"/>
              </w:rPr>
            </w:pPr>
            <w:r>
              <w:rPr>
                <w:rFonts w:ascii="Calibri;sans-serif" w:hAnsi="Calibri;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2024, OPAL Fuels Inc. (the "Company") issued a press release regarding its financial results for the three months ended March 31, 2024. A copy of the press release is furnished as Exhibit 99.1 hereto.</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measure adjusts net income for interest and financing expense, net, net (income) loss attributable to non-controlling interests, depreciation, amortization and accretion expense, adjustments to reflect Adjusted EBITDA from equity method investments, loss on warrant exchange, unrealized (gain) loss on derivative instruments, non-cash charges, one-time non-recurring expenses and major maintenance on renewable power.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limited as an analytical tool and should not be considered in isolation from, or as a substitute for, the Company’s GAAP results. The Company expects to continue reporting non-GAAP financial measures, adjusting for the items described above(and/or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511"/>
        <w:gridCol w:w="451"/>
        <w:gridCol w:w="453"/>
        <w:gridCol w:w="109"/>
        <w:gridCol w:w="109"/>
        <w:gridCol w:w="109"/>
        <w:gridCol w:w="2478"/>
        <w:gridCol w:w="2478"/>
        <w:gridCol w:w="3507"/>
      </w:tblGrid>
      <w:tr>
        <w:trPr/>
        <w:tc>
          <w:tcPr>
            <w:tcW w:w="5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opalfuelsq12024earningsrel.htm">
              <w:r>
                <w:rPr>
                  <w:rStyle w:val="InternetLink"/>
                  <w:rFonts w:ascii="Times New Roman;sans-serif" w:hAnsi="Times New Roman;sans-serif"/>
                  <w:b w:val="false"/>
                  <w:color w:val="0000FF"/>
                  <w:sz w:val="20"/>
                  <w:u w:val="single"/>
                </w:rPr>
                <w:t>Press release, issued by OPAL Fuels Inc., dated May 9, 2024</w:t>
              </w:r>
            </w:hyperlink>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May 9, 2024</w:t>
      </w:r>
    </w:p>
    <w:tbl>
      <w:tblPr>
        <w:tblW w:w="3498" w:type="dxa"/>
        <w:jc w:val="right"/>
        <w:tblInd w:w="0" w:type="dxa"/>
        <w:tblLayout w:type="fixed"/>
        <w:tblCellMar>
          <w:top w:w="28" w:type="dxa"/>
          <w:left w:w="28" w:type="dxa"/>
          <w:bottom w:w="28" w:type="dxa"/>
          <w:right w:w="28" w:type="dxa"/>
        </w:tblCellMar>
      </w:tblPr>
      <w:tblGrid>
        <w:gridCol w:w="312"/>
        <w:gridCol w:w="273"/>
        <w:gridCol w:w="273"/>
        <w:gridCol w:w="768"/>
        <w:gridCol w:w="768"/>
        <w:gridCol w:w="1104"/>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49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Contino</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752600" cy="4667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52600" cy="466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369" w:before="0" w:after="0"/>
        <w:jc w:val="left"/>
        <w:rPr>
          <w:rFonts w:ascii="Times New Roman;sans-serif" w:hAnsi="Times New Roman;sans-serif"/>
          <w:b/>
          <w:color w:val="000000"/>
          <w:sz w:val="22"/>
        </w:rPr>
      </w:pPr>
      <w:r>
        <w:rPr>
          <w:rFonts w:ascii="Times New Roman;sans-serif" w:hAnsi="Times New Roman;sans-serif"/>
          <w:b/>
          <w:color w:val="000000"/>
          <w:sz w:val="22"/>
        </w:rPr>
        <w:t>FOR IMMEDIATE RELEASE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OPAL Fuels Reports First Quarter 2024 Results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WHITE PLAINS, N.Y. – (May 9, 2024) – OPAL Fuels Inc. (“OPAL Fuels” or the “Company”) (Nasdaq: OPAL), a vertically integrated leader in the capture and conversion of biogas into low carbon intensity renewable natural gas (RNG) and renewable electricity, today announced financial and operating results for the three months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"First quarter financial and operational results reflect the strength of our integrated business model and provide the foundation for what we view as an important year of progressive growth in production and earnings at OPAL Fuels," said co-CEO Adam Comora. "Benefiting from continuing industry tailwinds that support the capture of naturally occurring methane emissions and converting them into productive, low carbon intensity energy products, we remain well positioned to deliver on our financial and strategic goals over the balance of the year." </w:t>
      </w:r>
    </w:p>
    <w:p>
      <w:pPr>
        <w:pStyle w:val="TextBody"/>
        <w:bidi w:val="0"/>
        <w:spacing w:before="0" w:after="0"/>
        <w:jc w:val="left"/>
        <w:rPr/>
      </w:pPr>
      <w:r>
        <w:rPr/>
      </w:r>
    </w:p>
    <w:p>
      <w:pPr>
        <w:pStyle w:val="TextBody"/>
        <w:bidi w:val="0"/>
        <w:spacing w:lineRule="auto" w:line="288" w:before="0" w:after="0"/>
        <w:ind w:left="0" w:right="0" w:firstLine="7"/>
        <w:jc w:val="both"/>
        <w:rPr>
          <w:rFonts w:ascii="Times New Roman;sans-serif" w:hAnsi="Times New Roman;sans-serif"/>
          <w:b w:val="false"/>
          <w:color w:val="000000"/>
          <w:sz w:val="24"/>
        </w:rPr>
      </w:pPr>
      <w:r>
        <w:rPr>
          <w:rFonts w:ascii="Times New Roman;sans-serif" w:hAnsi="Times New Roman;sans-serif"/>
          <w:b w:val="false"/>
          <w:color w:val="000000"/>
          <w:sz w:val="24"/>
        </w:rPr>
        <w:t>"Operationally, we continue to see strong results from our RNG assets," said co-CEO Jonathan Maurer. "Additionally, our business segments' performance is in-line with our expectations, a testament to our team's capabilities in managing our RNG portfolio production, dispensing network, and renewable power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"Importantly, we are executing on our strategic priorities," stated Maurer. "We continue to move projects into construction and operation. We are very excited to announce that our ninth RNG facility, Prince William, has recently commenced operations and is expected to contribute meaningfully as it ramps production as we move through the year. Prince William brings our operating portfolio of RNG projects up to 7.0 million annual MMBtu design capacity."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"Our Sapphire and Polk RNG construction projects remain on track to commence operations in the third and fourth quarter, respectively, and, with these additions, we expect to end the year with 8.8 million annual MMBtu of design capacity. Importantly, we have also begun construction on our fifteenth RNG project, Cottonwood, which has 0.7 million annual MMBtu of design capacity, and brings our aggregate portfolio of operating and in-construction RNG projects to 10.3 million annual MMBtu of design capacity."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are encouraged by both the growth we've been able to deliver as well as the quality of our projects, which ramp-up quickly and operate at high levels of productivity," continued Comora. "Looking ahead, RNG fundamentals continue to be supportive of OPAL Fuels' business model and we remain well positioned to achieve our objectives." </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Financial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Revenue for the three months ended March 31, 2024, was $65.0 million, up 51%, compared to the same period last year.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Net income for the three months ended March 31, 2024, was $0.7 million compared to a net loss of $7.3 million in the same period last year.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Basic and diluted Net loss per share attributable to Class A common shareholders for the three months ended March 31, 2024 were $0.01.</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Adjusted EBITDA</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for the three months ended March 31, 2024, was $15.2 million, up by $16.8 million compared to the same period last year.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At March 31, 2024, RNG Pending Monetization totaled $20.7 million.</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Operational Highlights</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RNG produced was 0.8 million MMBtu, for the three months ended March 31, 2024, up 33%, compared to the prior-year period.</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RNG sold as transportation fuel was 16.4 million GGEs for the three months ended March 31, 2024, up 98% compared to the prior-year period.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Fuel Station Services segment sold, dispensed, and serviced an aggregate of 35.0 million GGEs of transportation fuel for the three months ended March 31, 2024, a 8% increase compared to the prior-year period.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Construction Update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Prince William RNG project has recently completed construction and commenced the start-up phase of commercial operations. This project, owned 100% by OPAL Fuels, represents approximately 1.7 million MMBtu of annual design capacity.</w:t>
      </w:r>
      <w:r>
        <w:rPr>
          <w:rFonts w:ascii="Times New Roman;sans-serif" w:hAnsi="Times New Roman;sans-serif"/>
          <w:b w:val="false"/>
          <w:color w:val="000000"/>
          <w:sz w:val="16"/>
        </w:rPr>
        <w:t>2</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Sapphire RNG project continues to be on track to commence commercial operations in the third quarter of 2024. This project represents approximately 0.8 million MMBtu for OPAL Fuels’ 50% ownership share of annual design capacity.</w:t>
      </w:r>
      <w:r>
        <w:rPr>
          <w:rFonts w:ascii="Times New Roman;sans-serif" w:hAnsi="Times New Roman;sans-serif"/>
          <w:b w:val="false"/>
          <w:color w:val="000000"/>
          <w:sz w:val="16"/>
        </w:rPr>
        <w:t>3</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This is a non-GAAP measure. A reconciliation of non-GAAP financial measure to comparable GAAP measure has been provided in the financial tables included in this press release. An explanation of this measure and how it is calculated is also included below under the heading “Non-GAAP Financial Measures."</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0"/>
        </w:rPr>
        <w:t xml:space="preserve">Design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Reflects OPAL Fuels' proportional share with respect to RNG projects owned with joint venture partners.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Polk County (Florida) RNG project continues to be on track to commence commercial operations in the fourth quarter of 2024. This project, owned 100% by OPAL Fuels, represents approximately 1.1 million MMBtu of annual design capacity.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Atlantic RNG project is expected to commence commercial operations in </w:t>
      </w:r>
      <w:r>
        <w:rPr>
          <w:rFonts w:ascii="Times New Roman;sans-serif" w:hAnsi="Times New Roman;sans-serif"/>
          <w:b w:val="false"/>
          <w:color w:val="000000"/>
          <w:sz w:val="24"/>
          <w:shd w:fill="FFFFFF" w:val="clear"/>
        </w:rPr>
        <w:t>mid-2025.</w:t>
      </w:r>
      <w:r>
        <w:rPr>
          <w:color w:val="000000"/>
        </w:rPr>
        <w:t xml:space="preserve"> </w:t>
      </w:r>
      <w:r>
        <w:rPr>
          <w:rFonts w:ascii="Times New Roman;sans-serif" w:hAnsi="Times New Roman;sans-serif"/>
          <w:b w:val="false"/>
          <w:color w:val="000000"/>
          <w:sz w:val="24"/>
        </w:rPr>
        <w:t xml:space="preserve">This project represents approximately 0.3 million MMBtu for OPAL Fuels’ 50% ownership share of annual design capacity.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We recently commenced construction on the Cottonwood landfill RNG project. This project, owned 100% by OPAL Fuels, represents approximately 0.7 million MMBtu of annual design capacity.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Results of Operations</w:t>
      </w:r>
    </w:p>
    <w:p>
      <w:pPr>
        <w:pStyle w:val="TextBody"/>
        <w:bidi w:val="0"/>
        <w:spacing w:before="0" w:after="0"/>
        <w:jc w:val="both"/>
        <w:rPr/>
      </w:pPr>
      <w:r>
        <w:rPr/>
      </w:r>
    </w:p>
    <w:p>
      <w:pPr>
        <w:pStyle w:val="TextBody"/>
        <w:bidi w:val="0"/>
        <w:spacing w:before="0" w:after="0"/>
        <w:jc w:val="both"/>
        <w:rPr/>
      </w:pPr>
      <w:r>
        <w:rPr/>
      </w:r>
    </w:p>
    <w:tbl>
      <w:tblPr>
        <w:tblW w:w="8720" w:type="dxa"/>
        <w:jc w:val="left"/>
        <w:tblInd w:w="0" w:type="dxa"/>
        <w:tblLayout w:type="fixed"/>
        <w:tblCellMar>
          <w:top w:w="28" w:type="dxa"/>
          <w:left w:w="28" w:type="dxa"/>
          <w:bottom w:w="28" w:type="dxa"/>
          <w:right w:w="28" w:type="dxa"/>
        </w:tblCellMar>
      </w:tblPr>
      <w:tblGrid>
        <w:gridCol w:w="1442"/>
        <w:gridCol w:w="1263"/>
        <w:gridCol w:w="1269"/>
        <w:gridCol w:w="109"/>
        <w:gridCol w:w="109"/>
        <w:gridCol w:w="109"/>
        <w:gridCol w:w="109"/>
        <w:gridCol w:w="109"/>
        <w:gridCol w:w="241"/>
        <w:gridCol w:w="241"/>
        <w:gridCol w:w="467"/>
        <w:gridCol w:w="1598"/>
        <w:gridCol w:w="241"/>
        <w:gridCol w:w="109"/>
        <w:gridCol w:w="109"/>
        <w:gridCol w:w="109"/>
        <w:gridCol w:w="211"/>
        <w:gridCol w:w="721"/>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thousands of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Renewable Power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Consolidated Adjusted EBITDA</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81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Excludes revenues from equity method investments.</w:t>
      </w:r>
    </w:p>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This is a non-GAAP measure. A reconciliation of non-GAAP financial measure to comparable GAAP measure has been provided in the financial tables included in this press release. An explanation of this measure and how it is calculated is also included below under the heading “Non-GAAP Financial Measures."</w:t>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Results of Operations from equity method investments </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61"/>
        <w:gridCol w:w="1550"/>
        <w:gridCol w:w="1555"/>
        <w:gridCol w:w="109"/>
        <w:gridCol w:w="109"/>
        <w:gridCol w:w="109"/>
        <w:gridCol w:w="832"/>
        <w:gridCol w:w="832"/>
        <w:gridCol w:w="834"/>
        <w:gridCol w:w="109"/>
        <w:gridCol w:w="109"/>
        <w:gridCol w:w="109"/>
        <w:gridCol w:w="196"/>
        <w:gridCol w:w="646"/>
        <w:gridCol w:w="109"/>
        <w:gridCol w:w="109"/>
        <w:gridCol w:w="109"/>
        <w:gridCol w:w="109"/>
        <w:gridCol w:w="196"/>
        <w:gridCol w:w="556"/>
        <w:gridCol w:w="157"/>
      </w:tblGrid>
      <w:tr>
        <w:trPr/>
        <w:tc>
          <w:tcPr>
            <w:tcW w:w="176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514" w:type="dxa"/>
            <w:gridSpan w:val="12"/>
            <w:tcBorders/>
          </w:tcPr>
          <w:p>
            <w:pPr>
              <w:pStyle w:val="TableContents"/>
              <w:bidi w:val="0"/>
              <w:spacing w:before="0" w:after="283"/>
              <w:jc w:val="left"/>
              <w:rPr>
                <w:sz w:val="4"/>
                <w:szCs w:val="4"/>
              </w:rPr>
            </w:pPr>
            <w:r>
              <w:rPr>
                <w:sz w:val="4"/>
                <w:szCs w:val="4"/>
              </w:rPr>
            </w:r>
          </w:p>
        </w:tc>
      </w:tr>
      <w:tr>
        <w:trPr/>
        <w:tc>
          <w:tcPr>
            <w:tcW w:w="48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OPAL's share of revenues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OPAL's share of gross profit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OPAL's share of net income from equity method investments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OPAL's share of Adjusted EBITDA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Net income from equity method investments represents our portion of the net income from equity method investments including $1,430 of amortization expense related to basis differences for the three months ended March 31, 2024.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Landfill RNG Facility Capacity and Utilization Summary</w:t>
      </w:r>
    </w:p>
    <w:p>
      <w:pPr>
        <w:pStyle w:val="TextBody"/>
        <w:bidi w:val="0"/>
        <w:spacing w:before="0" w:after="0"/>
        <w:jc w:val="both"/>
        <w:rPr/>
      </w:pPr>
      <w:r>
        <w:rPr/>
      </w:r>
    </w:p>
    <w:tbl>
      <w:tblPr>
        <w:tblW w:w="9051" w:type="dxa"/>
        <w:jc w:val="left"/>
        <w:tblInd w:w="0" w:type="dxa"/>
        <w:tblLayout w:type="fixed"/>
        <w:tblCellMar>
          <w:top w:w="28" w:type="dxa"/>
          <w:left w:w="28" w:type="dxa"/>
          <w:bottom w:w="28" w:type="dxa"/>
          <w:right w:w="28" w:type="dxa"/>
        </w:tblCellMar>
      </w:tblPr>
      <w:tblGrid>
        <w:gridCol w:w="1722"/>
        <w:gridCol w:w="1512"/>
        <w:gridCol w:w="1521"/>
        <w:gridCol w:w="109"/>
        <w:gridCol w:w="109"/>
        <w:gridCol w:w="109"/>
        <w:gridCol w:w="109"/>
        <w:gridCol w:w="428"/>
        <w:gridCol w:w="428"/>
        <w:gridCol w:w="428"/>
        <w:gridCol w:w="428"/>
        <w:gridCol w:w="1076"/>
        <w:gridCol w:w="109"/>
        <w:gridCol w:w="109"/>
        <w:gridCol w:w="109"/>
        <w:gridCol w:w="203"/>
        <w:gridCol w:w="203"/>
        <w:gridCol w:w="339"/>
      </w:tblGrid>
      <w:tr>
        <w:trPr/>
        <w:tc>
          <w:tcPr>
            <w:tcW w:w="172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72" w:type="dxa"/>
            <w:gridSpan w:val="6"/>
            <w:tcBorders/>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Landfill RNG Facility Capacity and Utilization</w:t>
            </w:r>
            <w:r>
              <w:rPr>
                <w:rFonts w:ascii="Times New Roman;sans-serif" w:hAnsi="Times New Roman;sans-serif"/>
                <w:b/>
                <w:color w:val="000000"/>
                <w:sz w:val="13"/>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Design Capacity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of Inlet Gas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Inlet Design Capacity Utilization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Utilization of Inlet Gas %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including the ramp up period for new projects. The Company generally expects Utilization of Inlet Gas to be in the range of 80% to 90%.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 xml:space="preserve">Data not available for the Company's dairy projects, i.e., Sunoma and Biotown.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Utilization of Inlet Gas % is lower for the three months ended March 31, 2024 primarily due to Emerald RNG project which is in the start up phase as it commenced operations in fourth quarter of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RNG Pending Monetization Summary</w:t>
      </w:r>
    </w:p>
    <w:tbl>
      <w:tblPr>
        <w:tblW w:w="10205" w:type="dxa"/>
        <w:jc w:val="left"/>
        <w:tblInd w:w="0" w:type="dxa"/>
        <w:tblLayout w:type="fixed"/>
        <w:tblCellMar>
          <w:top w:w="28" w:type="dxa"/>
          <w:left w:w="28" w:type="dxa"/>
          <w:bottom w:w="28" w:type="dxa"/>
          <w:right w:w="28" w:type="dxa"/>
        </w:tblCellMar>
      </w:tblPr>
      <w:tblGrid>
        <w:gridCol w:w="1938"/>
        <w:gridCol w:w="1681"/>
        <w:gridCol w:w="1669"/>
        <w:gridCol w:w="109"/>
        <w:gridCol w:w="109"/>
        <w:gridCol w:w="109"/>
        <w:gridCol w:w="211"/>
        <w:gridCol w:w="736"/>
        <w:gridCol w:w="109"/>
        <w:gridCol w:w="109"/>
        <w:gridCol w:w="109"/>
        <w:gridCol w:w="109"/>
        <w:gridCol w:w="394"/>
        <w:gridCol w:w="1180"/>
        <w:gridCol w:w="203"/>
        <w:gridCol w:w="109"/>
        <w:gridCol w:w="109"/>
        <w:gridCol w:w="109"/>
        <w:gridCol w:w="211"/>
        <w:gridCol w:w="736"/>
        <w:gridCol w:w="156"/>
      </w:tblGrid>
      <w:tr>
        <w:trPr/>
        <w:tc>
          <w:tcPr>
            <w:tcW w:w="1938"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1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000's)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Stored Gas Metrics </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Stored RNG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RNG production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period RNG volumes dispensed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Stored RNG (MMBtus)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ending balance Stored RNG using quarter end price </w:t>
            </w:r>
            <w:r>
              <w:rPr>
                <w:rFonts w:ascii="Times New Roman;sans-serif" w:hAnsi="Times New Roman;sans-serif"/>
                <w:b/>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5,720</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18,873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RIN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Generated in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RIN credit balance (Available for sale)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D3 price per RIN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RINs using quarter end price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LCFS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(net share)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Generated in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LCFS credit balance (Available for sale)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LCFS credit price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LCFSs using quarter end price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1,350</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Value of RECs using quarter end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realized sales price - 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realized sales price - LCFS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Value of RNG Pending Monetization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7,153</w:t>
            </w:r>
            <w:r>
              <w:rPr>
                <w:color w:val="000000"/>
              </w:rPr>
              <w:t>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20,679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Reflects OPAL’s ownership share of Stored RNG (i.e., net of joint venture partners’ ownership) including equity method investments</w:t>
      </w:r>
    </w:p>
    <w:p>
      <w:pPr>
        <w:pStyle w:val="TextBody"/>
        <w:bidi w:val="0"/>
        <w:spacing w:before="0" w:after="0"/>
        <w:jc w:val="both"/>
        <w:rPr/>
      </w:pPr>
      <w:r>
        <w:rPr/>
      </w:r>
    </w:p>
    <w:p>
      <w:pPr>
        <w:pStyle w:val="TextBody"/>
        <w:bidi w:val="0"/>
        <w:spacing w:lineRule="auto" w:line="268"/>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Liquidity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of March 31, 2024, we have drawn approximately $186.6 million, and utilized $13.6 million of our revolver availability to issue letters of credit, under the $500 million senior secured credit facility we entered into in September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shd w:fill="FFFFFF" w:val="clear"/>
        </w:rPr>
        <w:t xml:space="preserve">As of </w:t>
      </w:r>
      <w:r>
        <w:rPr>
          <w:rFonts w:ascii="Times New Roman;sans-serif" w:hAnsi="Times New Roman;sans-serif"/>
          <w:b w:val="false"/>
          <w:color w:val="000000"/>
          <w:sz w:val="24"/>
        </w:rPr>
        <w:t>March 31, 2024</w:t>
      </w:r>
      <w:r>
        <w:rPr>
          <w:rFonts w:ascii="Times New Roman;sans-serif" w:hAnsi="Times New Roman;sans-serif"/>
          <w:b w:val="false"/>
          <w:color w:val="000000"/>
          <w:sz w:val="24"/>
          <w:shd w:fill="FFFFFF" w:val="clear"/>
        </w:rPr>
        <w:t xml:space="preserve">, our liquidity was </w:t>
      </w:r>
      <w:r>
        <w:rPr>
          <w:rFonts w:ascii="Times New Roman;sans-serif" w:hAnsi="Times New Roman;sans-serif"/>
          <w:b w:val="false"/>
          <w:color w:val="000000"/>
          <w:sz w:val="24"/>
        </w:rPr>
        <w:t>$334.0 million</w:t>
      </w:r>
      <w:r>
        <w:rPr>
          <w:rFonts w:ascii="Times New Roman;sans-serif" w:hAnsi="Times New Roman;sans-serif"/>
          <w:b w:val="false"/>
          <w:color w:val="000000"/>
          <w:sz w:val="24"/>
          <w:shd w:fill="FFFFFF" w:val="clear"/>
        </w:rPr>
        <w:t xml:space="preserve">, consisting of </w:t>
      </w:r>
      <w:r>
        <w:rPr>
          <w:rFonts w:ascii="Times New Roman;sans-serif" w:hAnsi="Times New Roman;sans-serif"/>
          <w:b w:val="false"/>
          <w:color w:val="000000"/>
          <w:sz w:val="24"/>
        </w:rPr>
        <w:t>$299.8 million</w:t>
      </w:r>
      <w:r>
        <w:rPr>
          <w:color w:val="000000"/>
          <w:shd w:fill="FFFFFF" w:val="clear"/>
        </w:rPr>
        <w:t xml:space="preserve"> </w:t>
      </w:r>
      <w:r>
        <w:rPr>
          <w:rFonts w:ascii="Times New Roman;sans-serif" w:hAnsi="Times New Roman;sans-serif"/>
          <w:b w:val="false"/>
          <w:color w:val="000000"/>
          <w:sz w:val="24"/>
          <w:shd w:fill="FFFFFF" w:val="clear"/>
        </w:rPr>
        <w:t xml:space="preserve">of </w:t>
      </w:r>
      <w:r>
        <w:rPr>
          <w:rFonts w:ascii="Times New Roman;sans-serif" w:hAnsi="Times New Roman;sans-serif"/>
          <w:b w:val="false"/>
          <w:color w:val="000000"/>
          <w:sz w:val="24"/>
        </w:rPr>
        <w:t>availability</w:t>
      </w:r>
      <w:r>
        <w:rPr>
          <w:color w:val="000000"/>
          <w:shd w:fill="FFFFFF" w:val="clear"/>
        </w:rPr>
        <w:t xml:space="preserve"> </w:t>
      </w:r>
      <w:r>
        <w:rPr>
          <w:rFonts w:ascii="Times New Roman;sans-serif" w:hAnsi="Times New Roman;sans-serif"/>
          <w:b w:val="false"/>
          <w:color w:val="000000"/>
          <w:sz w:val="24"/>
          <w:shd w:fill="FFFFFF" w:val="clear"/>
        </w:rPr>
        <w:t xml:space="preserve">under the above referenced credit facility, and </w:t>
      </w:r>
      <w:r>
        <w:rPr>
          <w:rFonts w:ascii="Times New Roman;sans-serif" w:hAnsi="Times New Roman;sans-serif"/>
          <w:b w:val="false"/>
          <w:color w:val="000000"/>
          <w:sz w:val="24"/>
        </w:rPr>
        <w:t>$34.2 million</w:t>
      </w:r>
      <w:r>
        <w:rPr>
          <w:color w:val="000000"/>
          <w:shd w:fill="FFFFFF" w:val="clear"/>
        </w:rPr>
        <w:t xml:space="preserve"> </w:t>
      </w:r>
      <w:r>
        <w:rPr>
          <w:rFonts w:ascii="Times New Roman;sans-serif" w:hAnsi="Times New Roman;sans-serif"/>
          <w:b w:val="false"/>
          <w:color w:val="000000"/>
          <w:sz w:val="24"/>
          <w:shd w:fill="FFFFFF" w:val="clear"/>
        </w:rPr>
        <w:t xml:space="preserve">of cash, cash equivalents, and short-term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We believe our liquidity and anticipated cash flows from operations are sufficient to meet our existing funding needs.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Capital Expenditures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the first quarter of 2024, OPAL Fuels invested $26.8 million across RNG projects in construction and OPAL Fuels proprietary fueling stations in construction as compared to $38.8 million in the prior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for the three months ended March 31, 2024, the Company's portion of capital expenditures in unconsolidated entities was $10.9 million. This represents our share of capital expenditures incurred for the Atlantic and Sapphire projects.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Earnings Call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webcast to review OPAL Fuels’ First Quarter 2024 results is being held tomorrow, May 10, 2023 at 11:00 AM Eastern Daylight Time.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Materials to be discussed in the webcast will be available before the call on the Company's website.</w:t>
      </w:r>
    </w:p>
    <w:p>
      <w:pPr>
        <w:pStyle w:val="TextBody"/>
        <w:bidi w:val="0"/>
        <w:spacing w:before="0" w:after="0"/>
        <w:jc w:val="left"/>
        <w:rPr/>
      </w:pPr>
      <w:r>
        <w:rPr/>
      </w:r>
    </w:p>
    <w:p>
      <w:pPr>
        <w:pStyle w:val="TextBody"/>
        <w:bidi w:val="0"/>
        <w:spacing w:lineRule="auto" w:line="25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Participants may access the call at https://edge.media-server.com/mmc/p/pychvfvq Investors can also listen to a webcast of the presentation on the company’s Investor Relations website at https://investors.opalfuels.com/news-events/events-presentations.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Glossary of terms</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Environmental Attributes” </w:t>
      </w:r>
      <w:r>
        <w:rPr>
          <w:rFonts w:ascii="Times New Roman;sans-serif" w:hAnsi="Times New Roman;sans-serif"/>
          <w:b w:val="false"/>
          <w:color w:val="000000"/>
          <w:sz w:val="24"/>
        </w:rPr>
        <w:t>refer to federal, state, and local government incentives in the United States, provided in the form of 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GGE” </w:t>
      </w:r>
      <w:r>
        <w:rPr>
          <w:rFonts w:ascii="Times New Roman;sans-serif" w:hAnsi="Times New Roman;sans-serif"/>
          <w:b w:val="false"/>
          <w:color w:val="000000"/>
          <w:sz w:val="24"/>
        </w:rPr>
        <w:t xml:space="preserve">refers to Gasoline gallon equivalent. It is used to measure the total volume of RNG production that OPAL Fuels expects to dispense each year. The conversion ratio is 1MMBtu equal to 7.74 GGE. </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LFG” </w:t>
      </w:r>
      <w:r>
        <w:rPr>
          <w:rFonts w:ascii="Times New Roman;sans-serif" w:hAnsi="Times New Roman;sans-serif"/>
          <w:b w:val="false"/>
          <w:color w:val="000000"/>
          <w:sz w:val="24"/>
        </w:rPr>
        <w:t>refers to landfill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MMBtu” </w:t>
      </w:r>
      <w:r>
        <w:rPr>
          <w:rFonts w:ascii="Times New Roman;sans-serif" w:hAnsi="Times New Roman;sans-serif"/>
          <w:b w:val="false"/>
          <w:color w:val="000000"/>
          <w:sz w:val="24"/>
        </w:rPr>
        <w:t xml:space="preserve">refers to million British thermal units. </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Renewable Power” </w:t>
      </w:r>
      <w:r>
        <w:rPr>
          <w:rFonts w:ascii="Times New Roman;sans-serif" w:hAnsi="Times New Roman;sans-serif"/>
          <w:b w:val="false"/>
          <w:color w:val="000000"/>
          <w:sz w:val="24"/>
        </w:rPr>
        <w:t>refers to electricity generated from renewable sources.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RNG” </w:t>
      </w:r>
      <w:r>
        <w:rPr>
          <w:rFonts w:ascii="Times New Roman;sans-serif" w:hAnsi="Times New Roman;sans-serif"/>
          <w:b w:val="false"/>
          <w:color w:val="000000"/>
          <w:sz w:val="24"/>
        </w:rPr>
        <w:t>refers to renewable natural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D3” </w:t>
      </w:r>
      <w:r>
        <w:rPr>
          <w:rFonts w:ascii="Times New Roman;sans-serif" w:hAnsi="Times New Roman;sans-serif"/>
          <w:b w:val="false"/>
          <w:color w:val="000000"/>
          <w:sz w:val="24"/>
        </w:rPr>
        <w:t>refers to cellulosic biofuel with a 60% GHG reduction requirement.</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RIN” </w:t>
      </w:r>
      <w:r>
        <w:rPr>
          <w:rFonts w:ascii="Times New Roman;sans-serif" w:hAnsi="Times New Roman;sans-serif"/>
          <w:b w:val="false"/>
          <w:color w:val="000000"/>
          <w:sz w:val="24"/>
        </w:rPr>
        <w:t>refers to Renewal Identification Numbers.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EPA” </w:t>
      </w:r>
      <w:r>
        <w:rPr>
          <w:rFonts w:ascii="Times New Roman;sans-serif" w:hAnsi="Times New Roman;sans-serif"/>
          <w:b w:val="false"/>
          <w:color w:val="000000"/>
          <w:sz w:val="24"/>
        </w:rPr>
        <w:t>refers to the Environmental Protection Agency.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About OPAL Fuels Inc.</w:t>
      </w:r>
    </w:p>
    <w:p>
      <w:pPr>
        <w:pStyle w:val="TextBody"/>
        <w:bidi w:val="0"/>
        <w:spacing w:lineRule="auto" w:line="288" w:before="0" w:after="0"/>
        <w:jc w:val="both"/>
        <w:rPr/>
      </w:pPr>
      <w:r>
        <w:rPr>
          <w:rFonts w:ascii="Times New Roman;sans-serif" w:hAnsi="Times New Roman;sans-serif"/>
          <w:b w:val="false"/>
          <w:color w:val="000000"/>
          <w:sz w:val="24"/>
        </w:rPr>
        <w:t>OPAL Fuels Inc. (Nasdaq: OPAL) is a leader in the capture and conversion of biogas into low carbon intensity renewable natural gas (RNG) and renewable electricity. OPAL Fuels is also a leader in the marketing and distribution of RNG to heavy duty trucking and other hard to de-carbonize industrial sectors. To learn more about OPAL Fuels and how it is leading the effort to capture North America’s harmful methane emissions and decarbonize the economy. For additional information p</w:t>
      </w:r>
      <w:r>
        <w:rPr>
          <w:rFonts w:ascii="Times New Roman;sans-serif" w:hAnsi="Times New Roman;sans-serif"/>
          <w:b w:val="false"/>
          <w:color w:val="212121"/>
          <w:sz w:val="24"/>
        </w:rPr>
        <w:t xml:space="preserve">lease visit </w:t>
      </w:r>
      <w:r>
        <w:rPr>
          <w:rFonts w:ascii="Times New Roman;sans-serif" w:hAnsi="Times New Roman;sans-serif"/>
          <w:b w:val="false"/>
          <w:color w:val="0078D4"/>
          <w:sz w:val="24"/>
        </w:rPr>
        <w:t>www.opalfuels.com.</w:t>
      </w:r>
    </w:p>
    <w:p>
      <w:pPr>
        <w:pStyle w:val="TextBody"/>
        <w:bidi w:val="0"/>
        <w:spacing w:before="0" w:after="0"/>
        <w:jc w:val="both"/>
        <w:rPr/>
      </w:pPr>
      <w:r>
        <w:rPr/>
      </w:r>
    </w:p>
    <w:p>
      <w:pPr>
        <w:pStyle w:val="TextBody"/>
        <w:bidi w:val="0"/>
        <w:spacing w:lineRule="auto" w:line="240" w:before="0" w:after="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filed on March 15, 2024,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Disclaimer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Contact information</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Todd Firestone</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Investor Relations &amp; Corporate Development</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914-705-4001</w:t>
      </w:r>
    </w:p>
    <w:p>
      <w:pPr>
        <w:pStyle w:val="TextBody"/>
        <w:bidi w:val="0"/>
        <w:spacing w:lineRule="auto" w:line="369"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investors@opalfuels.com</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Media </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Michelle Stein </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Corporate Communications</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(914) 421-5314</w:t>
      </w:r>
    </w:p>
    <w:p>
      <w:pPr>
        <w:pStyle w:val="TextBody"/>
        <w:bidi w:val="0"/>
        <w:spacing w:lineRule="auto" w:line="312" w:before="0" w:after="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mstein@opalfuels.com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69"/>
        <w:gridCol w:w="2408"/>
        <w:gridCol w:w="2403"/>
        <w:gridCol w:w="196"/>
        <w:gridCol w:w="740"/>
        <w:gridCol w:w="109"/>
        <w:gridCol w:w="109"/>
        <w:gridCol w:w="109"/>
        <w:gridCol w:w="109"/>
        <w:gridCol w:w="207"/>
        <w:gridCol w:w="779"/>
        <w:gridCol w:w="167"/>
      </w:tblGrid>
      <w:tr>
        <w:trPr/>
        <w:tc>
          <w:tcPr>
            <w:tcW w:w="286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$1,160 and $166 at March 31, 2024 and December 31, 2023, respectively, related to consolidated VIEs)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$334 and $33 at March 31, 2024 and December 31, 2023,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$1,012 and $4,395 at March 31, 2024 and December 31, 2023,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 (includes $29 and $29 at March 31, 2024 and December 31, 2023,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$113 and $107 at March 31, 2024 and December 31, 2023,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128,073 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$26,254 and $26,626 at March 31, 2024 and December 31, 2023,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339,493 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8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$1,957 and $1,850 at March 31, 2024 and December 31, 2023,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$11 and $744 at March 31, 2024 and December 31, 2023, respectively, related to consolidated VIEs)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$802 and $1,046 at March 31, 2024 and December 31, 2023, respectively, related to consolidated VIEs)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capital expenses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$861 and $647 at March 31, 2024 and December 31, 2023, respectively, related to consolidated VIEs)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768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028"/>
        <w:gridCol w:w="2355"/>
        <w:gridCol w:w="2367"/>
        <w:gridCol w:w="196"/>
        <w:gridCol w:w="736"/>
        <w:gridCol w:w="109"/>
        <w:gridCol w:w="109"/>
        <w:gridCol w:w="109"/>
        <w:gridCol w:w="109"/>
        <w:gridCol w:w="196"/>
        <w:gridCol w:w="736"/>
        <w:gridCol w:w="155"/>
      </w:tblGrid>
      <w:tr>
        <w:trPr/>
        <w:tc>
          <w:tcPr>
            <w:tcW w:w="3028"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$1,652 and $1,608 at March 31,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(includes $94 and $92 at March 31,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$19,609 and $20,010 at March 31,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(includes $1,297 and $211 at March 31,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802,720 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March 31, 2024; 30,022,288 and 29,701,146 shares, issued and outstanding at March 31,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March 31, 2024; 71,500,000 and 0 shares issued and outstanding as of March 31, 2024 and December 31,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March 31, 2024; and None issued and outstanding as of March 31, 2024 and December 31,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March 31, 2024; 72,899,037 and 144,399,037 shares issued and outstanding at March 31, 2024 and December 31,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shares at March 31, 2024 and December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(478,807)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(477,852)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deficit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200" w:after="200"/>
        <w:jc w:val="left"/>
        <w:rPr/>
      </w:pPr>
      <w:r>
        <w:rPr/>
      </w:r>
    </w:p>
    <w:p>
      <w:pPr>
        <w:pStyle w:val="TextBody"/>
        <w:bidi w:val="0"/>
        <w:spacing w:lineRule="auto" w:line="288" w:before="200" w:after="200"/>
        <w:jc w:val="center"/>
        <w:rPr>
          <w:rFonts w:ascii="Times New Roman;sans-serif" w:hAnsi="Times New Roman;sans-serif"/>
          <w:b/>
          <w:color w:val="000000"/>
          <w:sz w:val="24"/>
        </w:rPr>
      </w:pPr>
      <w:r>
        <w:rPr>
          <w:rFonts w:ascii="Times New Roman;sans-serif" w:hAnsi="Times New Roman;sans-serif"/>
          <w:b/>
          <w:color w:val="000000"/>
          <w:sz w:val="24"/>
        </w:rPr>
        <w:t>OPAL FUELS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of U.S. dollars, except share and per share data)</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tbl>
      <w:tblPr>
        <w:tblW w:w="10205" w:type="dxa"/>
        <w:jc w:val="left"/>
        <w:tblInd w:w="0" w:type="dxa"/>
        <w:tblLayout w:type="fixed"/>
        <w:tblCellMar>
          <w:top w:w="28" w:type="dxa"/>
          <w:left w:w="28" w:type="dxa"/>
          <w:bottom w:w="28" w:type="dxa"/>
          <w:right w:w="28" w:type="dxa"/>
        </w:tblCellMar>
      </w:tblPr>
      <w:tblGrid>
        <w:gridCol w:w="2318"/>
        <w:gridCol w:w="1871"/>
        <w:gridCol w:w="1884"/>
        <w:gridCol w:w="109"/>
        <w:gridCol w:w="109"/>
        <w:gridCol w:w="109"/>
        <w:gridCol w:w="414"/>
        <w:gridCol w:w="414"/>
        <w:gridCol w:w="415"/>
        <w:gridCol w:w="109"/>
        <w:gridCol w:w="109"/>
        <w:gridCol w:w="109"/>
        <w:gridCol w:w="196"/>
        <w:gridCol w:w="646"/>
        <w:gridCol w:w="109"/>
        <w:gridCol w:w="109"/>
        <w:gridCol w:w="109"/>
        <w:gridCol w:w="109"/>
        <w:gridCol w:w="196"/>
        <w:gridCol w:w="601"/>
        <w:gridCol w:w="160"/>
      </w:tblGrid>
      <w:tr>
        <w:trPr/>
        <w:tc>
          <w:tcPr>
            <w:tcW w:w="2318"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2562" w:type="dxa"/>
            <w:gridSpan w:val="12"/>
            <w:tcBorders/>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$15,495 and $4,715 for the three months ended March 31, 2024 and 2023,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$8,669 and $2,042 for the three months ended March 31, 2024 and 2023,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$1,526 and $1,527 for the three months ended March 31, 2024 and 2023,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 up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53,527 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Dividends on redeemable preferred non-controlling interests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Class A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27,368,204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27,383,562</w:t>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27,368,204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27,383,562</w:t>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before="200" w:after="200"/>
        <w:jc w:val="left"/>
        <w:rPr/>
      </w:pPr>
      <w:r>
        <w:rPr/>
      </w:r>
    </w:p>
    <w:p>
      <w:pPr>
        <w:pStyle w:val="TextBody"/>
        <w:bidi w:val="0"/>
        <w:spacing w:lineRule="auto" w:line="288" w:before="200" w:after="200"/>
        <w:jc w:val="center"/>
        <w:rPr>
          <w:rFonts w:ascii="Times New Roman;sans-serif" w:hAnsi="Times New Roman;sans-serif"/>
          <w:b/>
          <w:color w:val="000000"/>
          <w:sz w:val="24"/>
        </w:rPr>
      </w:pPr>
      <w:r>
        <w:rPr>
          <w:rFonts w:ascii="Times New Roman;sans-serif" w:hAnsi="Times New Roman;sans-serif"/>
          <w:b/>
          <w:color w:val="000000"/>
          <w:sz w:val="24"/>
        </w:rPr>
        <w:t>OPAL FUELS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of U.S. dollars)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tbl>
      <w:tblPr>
        <w:tblW w:w="7941" w:type="dxa"/>
        <w:jc w:val="center"/>
        <w:tblInd w:w="0" w:type="dxa"/>
        <w:tblLayout w:type="fixed"/>
        <w:tblCellMar>
          <w:top w:w="28" w:type="dxa"/>
          <w:left w:w="28" w:type="dxa"/>
          <w:bottom w:w="28" w:type="dxa"/>
          <w:right w:w="28" w:type="dxa"/>
        </w:tblCellMar>
      </w:tblPr>
      <w:tblGrid>
        <w:gridCol w:w="1732"/>
        <w:gridCol w:w="1525"/>
        <w:gridCol w:w="1528"/>
        <w:gridCol w:w="109"/>
        <w:gridCol w:w="109"/>
        <w:gridCol w:w="109"/>
        <w:gridCol w:w="229"/>
        <w:gridCol w:w="866"/>
        <w:gridCol w:w="118"/>
        <w:gridCol w:w="118"/>
        <w:gridCol w:w="118"/>
        <w:gridCol w:w="118"/>
        <w:gridCol w:w="229"/>
        <w:gridCol w:w="866"/>
        <w:gridCol w:w="167"/>
      </w:tblGrid>
      <w:tr>
        <w:trPr/>
        <w:tc>
          <w:tcPr>
            <w:tcW w:w="1732"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(32,676)</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(37,399)</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4"/>
        </w:rPr>
      </w:pPr>
      <w:r>
        <w:rPr>
          <w:rFonts w:ascii="Times New Roman;sans-serif" w:hAnsi="Times New Roman;sans-serif"/>
          <w:b/>
          <w:color w:val="000000"/>
          <w:sz w:val="24"/>
        </w:rPr>
        <w:t>Non-GAAP Financial Measures (Unaudited)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Adjusted EBITDA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supplement the Company's unaudited condensed consolidated financial statements presented in accordance with GAAP, the Company uses a non-GAAP financial measure that it calls adjusted EBITDA ("Adjusted EBITDA"). This non-GAAP measure adjusts net income for interest and financing expense, net, loss on debt extinguishment, net (income) loss attributable to non-controlling interests, depreciation, amortization and accretion expense, adjustments to reflect Adjusted EBITDA from equity method investments, loss on warrant exchange, unrealized (gain) loss on derivative instruments, non-cash charges, one-time non-recurring expenses, major maintenance on renewable power and gain on deconsolidation of VIEs.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presents the reconciliation of our Net loss to Adjusted EBITDA:</w:t>
      </w:r>
    </w:p>
    <w:p>
      <w:pPr>
        <w:pStyle w:val="TextBody"/>
        <w:bidi w:val="0"/>
        <w:spacing w:before="0" w:after="0"/>
        <w:jc w:val="left"/>
        <w:rPr/>
      </w:pPr>
      <w:r>
        <w:rPr/>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GAAP Net income to Adjusted EBITDA </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 and 2023</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p>
      <w:pPr>
        <w:pStyle w:val="TextBody"/>
        <w:bidi w:val="0"/>
        <w:spacing w:before="0" w:after="0"/>
        <w:jc w:val="left"/>
        <w:rPr/>
      </w:pPr>
      <w:r>
        <w:rPr/>
      </w:r>
    </w:p>
    <w:tbl>
      <w:tblPr>
        <w:tblW w:w="14601" w:type="dxa"/>
        <w:jc w:val="left"/>
        <w:tblInd w:w="0" w:type="dxa"/>
        <w:tblLayout w:type="fixed"/>
        <w:tblCellMar>
          <w:top w:w="28" w:type="dxa"/>
          <w:left w:w="28" w:type="dxa"/>
          <w:bottom w:w="28" w:type="dxa"/>
          <w:right w:w="28" w:type="dxa"/>
        </w:tblCellMar>
      </w:tblPr>
      <w:tblGrid>
        <w:gridCol w:w="915"/>
        <w:gridCol w:w="280"/>
        <w:gridCol w:w="231"/>
        <w:gridCol w:w="109"/>
        <w:gridCol w:w="109"/>
        <w:gridCol w:w="109"/>
        <w:gridCol w:w="211"/>
        <w:gridCol w:w="721"/>
        <w:gridCol w:w="109"/>
        <w:gridCol w:w="109"/>
        <w:gridCol w:w="109"/>
        <w:gridCol w:w="109"/>
        <w:gridCol w:w="211"/>
        <w:gridCol w:w="616"/>
        <w:gridCol w:w="109"/>
        <w:gridCol w:w="109"/>
        <w:gridCol w:w="109"/>
        <w:gridCol w:w="109"/>
        <w:gridCol w:w="213"/>
        <w:gridCol w:w="622"/>
        <w:gridCol w:w="111"/>
        <w:gridCol w:w="109"/>
        <w:gridCol w:w="109"/>
        <w:gridCol w:w="109"/>
        <w:gridCol w:w="211"/>
        <w:gridCol w:w="736"/>
        <w:gridCol w:w="109"/>
        <w:gridCol w:w="109"/>
        <w:gridCol w:w="109"/>
        <w:gridCol w:w="109"/>
        <w:gridCol w:w="211"/>
        <w:gridCol w:w="721"/>
        <w:gridCol w:w="109"/>
        <w:gridCol w:w="109"/>
        <w:gridCol w:w="109"/>
        <w:gridCol w:w="109"/>
        <w:gridCol w:w="211"/>
        <w:gridCol w:w="631"/>
        <w:gridCol w:w="109"/>
        <w:gridCol w:w="109"/>
        <w:gridCol w:w="109"/>
        <w:gridCol w:w="109"/>
        <w:gridCol w:w="211"/>
        <w:gridCol w:w="616"/>
        <w:gridCol w:w="109"/>
        <w:gridCol w:w="109"/>
        <w:gridCol w:w="109"/>
        <w:gridCol w:w="109"/>
        <w:gridCol w:w="213"/>
        <w:gridCol w:w="622"/>
        <w:gridCol w:w="111"/>
        <w:gridCol w:w="109"/>
        <w:gridCol w:w="109"/>
        <w:gridCol w:w="109"/>
        <w:gridCol w:w="211"/>
        <w:gridCol w:w="736"/>
        <w:gridCol w:w="109"/>
        <w:gridCol w:w="109"/>
        <w:gridCol w:w="109"/>
        <w:gridCol w:w="109"/>
        <w:gridCol w:w="211"/>
        <w:gridCol w:w="631"/>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3"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34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to reflect Adjusted EBITDA from equity method investments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warrant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One-time non-recurring charges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Net income (loss) by segment is included in our quarterly report on Form 10 Q. Net loss for RNG Fuel includes our portion of net income on our equity method investments.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Includes interest, depreciation, amortization and accretion on equity method investments.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Unrealized (gain) loss on derivative instruments includes change in fair value of commodity swaps, earnout liabilities and put option on a forward purchase agreement. </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 xml:space="preserve">Non-cash charges include stock-based compensation expense, certain expenses included in selling, general and administrative expenses relating to employee benefit accruals, inventory write down charges included in cost of sales - RNG fuel and loss on disposal of assets.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3"/>
        </w:rPr>
        <w:t xml:space="preserve">(5) </w:t>
      </w:r>
      <w:r>
        <w:rPr>
          <w:rFonts w:ascii="Times New Roman;sans-serif" w:hAnsi="Times New Roman;sans-serif"/>
          <w:b w:val="false"/>
          <w:color w:val="000000"/>
          <w:sz w:val="20"/>
        </w:rPr>
        <w:t>One-time non-recurring charges include (i) certain expenses related to development expenses on our RNG facilities such as lease expenses and legal costs incurred during construction phase that could not be capitalized per GAAP.</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6034</Words>
  <Characters>33880</Characters>
  <CharactersWithSpaces>39485</CharactersWithSpaces>
  <Paragraphs>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