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2422.xml.htm"/>
      <w:bookmarkStart w:id="1" w:name="kswkform4_17751624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Birck Darrell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AVENUE, SUITE 1450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937"/>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36,708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36,708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46"/>
        <w:gridCol w:w="921"/>
        <w:gridCol w:w="801"/>
        <w:gridCol w:w="936"/>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73,414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111,576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111,576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(5)</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62,326</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(6)(7)(8)(9)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shares held by the Company to satisfy tax withholding requirements on vesting of restricted stock units. The total value of securities withheld was based on a price of $2.52 per share, the closing price of Class A common stock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31, 2025, the Reporting Person was granted 110,122 restricted stock units ("RSUs") pursuant to the terms of the Issuer's 2022 Omnibus Equity Incentive Plan (the "Plan"). RSUs were scheduled to vest in three (3) equal installments on each of the following dates: (i) March 31, 2026, (ii) March 31, 2027, and (iii) March 31, 2028,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2026, the Reporting Person was granted 111,576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Granted pursuant to the Issuer's 2022 Omnibus Equity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Upon the occurrence of a termination by reason of the Reporting Person's death, any unvested portion of the Option shall accelerate and vest in full.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7903"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1153</Words>
  <Characters>6017</Characters>
  <CharactersWithSpaces>7068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